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游乐场设备项目可行性建设方案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73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_Toc31739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60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_Toc20160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_Toc22241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2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_Toc13982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2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_Toc692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_Toc8574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_Toc11567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_Toc15965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_Toc26822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_Toc8097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93" w:history="1">
        <w:r>
          <w:rPr>
            <w:rFonts w:ascii="仿宋" w:eastAsia="仿宋" w:hAnsi="仿宋" w:cs="仿宋" w:hint="eastAsia"/>
            <w:lang w:eastAsia="zh-CN"/>
          </w:rPr>
          <w:t>三、背景、必要性分析</w:t>
        </w:r>
        <w:r>
          <w:tab/>
        </w:r>
        <w:r>
          <w:fldChar w:fldCharType="begin"/>
        </w:r>
        <w:r>
          <w:instrText xml:space="preserve"> PAGEREF _Toc10493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7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_Toc21137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4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_Toc22154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4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_Toc4974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69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_Toc24969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_Toc2901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4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_Toc10824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2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_Toc11872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37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_Toc7537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_Toc17310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_Toc1703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_Toc11725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95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_Toc29895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_Toc777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6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_Toc9576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_Toc12999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83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_Toc22883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7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_Toc13527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0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_Toc16980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01" w:history="1">
        <w:r>
          <w:rPr>
            <w:rFonts w:ascii="仿宋" w:eastAsia="仿宋" w:hAnsi="仿宋" w:cs="仿宋" w:hint="eastAsia"/>
            <w:lang w:eastAsia="zh-CN"/>
          </w:rPr>
          <w:t>八、项目变更管理</w:t>
        </w:r>
        <w:r>
          <w:tab/>
        </w:r>
        <w:r>
          <w:fldChar w:fldCharType="begin"/>
        </w:r>
        <w:r>
          <w:instrText xml:space="preserve"> PAGEREF _Toc20801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1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_Toc31101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3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_Toc20533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_Toc12915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0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_Toc6770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11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_Toc12411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3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_Toc21953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_Toc31615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55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_Toc9855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9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_Toc31239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5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_Toc17995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64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_Toc32664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916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_Toc24916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3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_Toc7013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24" w:history="1">
        <w:r>
          <w:rPr>
            <w:rFonts w:ascii="仿宋" w:eastAsia="仿宋" w:hAnsi="仿宋" w:cs="仿宋" w:hint="eastAsia"/>
            <w:lang w:eastAsia="zh-CN"/>
          </w:rPr>
          <w:t>十二、资金管理与财务规划</w:t>
        </w:r>
        <w:r>
          <w:tab/>
        </w:r>
        <w:r>
          <w:fldChar w:fldCharType="begin"/>
        </w:r>
        <w:r>
          <w:instrText xml:space="preserve"> PAGEREF _Toc30424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9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_Toc4409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0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_Toc7890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7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_Toc30467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3" w:history="1">
        <w:r>
          <w:rPr>
            <w:rFonts w:ascii="仿宋" w:eastAsia="仿宋" w:hAnsi="仿宋" w:cs="仿宋" w:hint="eastAsia"/>
            <w:lang w:eastAsia="zh-CN"/>
          </w:rPr>
          <w:t>十三、企业合规与伦理</w:t>
        </w:r>
        <w:r>
          <w:tab/>
        </w:r>
        <w:r>
          <w:fldChar w:fldCharType="begin"/>
        </w:r>
        <w:r>
          <w:instrText xml:space="preserve"> PAGEREF _Toc26093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_Toc875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_Toc14896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_Toc15954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8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_Toc30218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7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_Toc2617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3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_Toc17563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5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_Toc30165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0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_Toc12660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1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_Toc32611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_Toc1824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32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_Toc32632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3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_Toc31543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7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_Toc24407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00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_Toc23500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0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_Toc7970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4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_Toc20844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00" w:history="1">
        <w:r>
          <w:rPr>
            <w:rFonts w:ascii="仿宋" w:eastAsia="仿宋" w:hAnsi="仿宋" w:cs="仿宋" w:hint="eastAsia"/>
            <w:lang w:eastAsia="zh-CN"/>
          </w:rPr>
          <w:t>十八、知识产权管理与保护</w:t>
        </w:r>
        <w:r>
          <w:tab/>
        </w:r>
        <w:r>
          <w:fldChar w:fldCharType="begin"/>
        </w:r>
        <w:r>
          <w:instrText xml:space="preserve"> PAGEREF _Toc4700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2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_Toc8722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1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_Toc11661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8" w:history="1">
        <w:r>
          <w:rPr>
            <w:rFonts w:ascii="仿宋" w:eastAsia="仿宋" w:hAnsi="仿宋" w:cs="仿宋" w:hint="eastAsia"/>
            <w:lang w:eastAsia="zh-CN"/>
          </w:rPr>
          <w:t>十九、质量管理与控制</w:t>
        </w:r>
        <w:r>
          <w:tab/>
        </w:r>
        <w:r>
          <w:fldChar w:fldCharType="begin"/>
        </w:r>
        <w:r>
          <w:instrText xml:space="preserve"> PAGEREF _Toc1208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_Toc22033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0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_Toc21100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73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160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241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游乐场设备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982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92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857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游乐场设备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游乐场设备项目将进行详细的生态影响评估，确保不会对当地的动植物种群和自然栖息地造成负面影响。如果项目地点附近有重要的生物栖息地或生态敏感区，项目将重新考虑建设地点或采取相应的保护措施。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游乐场设备项目将积极采用可持续材料，如再生塑料和生物降解材料，以减少对环境的影响。项目还将推行废物减量和回收计划，例如通过再利用工业废料或建立回收系统。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游乐场设备项目还将参与当地的环保活动和计划，如资助当地的环境保护项目或与社区合作进行环保宣传活动。通过这些活动，项目不仅能够提高自身的环境表现，还能在当地社区中树立积极的环保形象。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156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水资源和水体生态影响：游乐场设备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游乐场设备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游乐场设备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965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游乐场设备项目将采用绿色屋顶和生态墙等环境友好型建筑设计，这些设计不仅有助于改善空气质量，还能为城市野生动植物提供栖息地。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游乐场设备项目将建立高效的废水处理系统，确保所有工业废水在排放前都经过适当处理，达到或超过环保标准。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游乐场设备项目将致力于使用清洁能源，如太阳能和风能，减少对化石燃料的依赖。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游乐场设备项目将举办环保教育研讨会，向员工和当地社区普及环保知识，提升对环境保护重要性的认识。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682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在游乐场设备项目启动前，将进行一系列深入的地质调查，包括钻探和土壤取样，以深入了解项目区域的地层结构和土壤组成。特别是对于土壤的承载能力和地下水位的深度进行详细评估。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游乐场设备项目将通过地下水位监测系统定期检测水位变化，以预测和预防由高地下水位可能引起的地基问题。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游乐场设备项目将进行详尽的水文和地形分析，以识别可能的洪水和泥石流风险区。基于这些分析，项目将设计防洪设施，如提高地基、构建防洪墙和排水沟。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游乐场设备项目还将考虑建设排水系统，以减少地表水对土壤稳定性的影响。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完成初始的地质风险评估后，游乐场设备项目将安装长期地质监测设备，如倾斜仪、裂缝计和地下水位计，以持续监测地质条件的变化。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809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https://d.book118.com/475313231013011042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游乐场设备项目可行性建设方案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游乐场设备项目可行性建设方案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游乐场设备项目可行性建设方案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游乐场设备项目可行性建设方案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游乐场设备项目可行性建设方案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游乐场设备项目可行性建设方案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游乐场设备项目可行性建设方案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游乐场设备项目可行性建设方案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游乐场设备项目可行性建设方案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游乐场设备项目可行性建设方案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游乐场设备项目可行性建设方案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游乐场设备项目可行性建设方案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3F7773"/>
    <w:rsid w:val="1A3F77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47531323101301104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2024-01-06T21:31:00Z</dcterms:created>
  <dcterms:modified xsi:type="dcterms:W3CDTF">2024-01-06T21:31:35Z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59186380FC01431988F2D4775F5486E2_11</vt:lpwstr>
  </property>
  <property fmtid="{D5CDD505-2E9C-101B-9397-08002B2CF9AE}" pid="3" name="KSOProductBuildVer">
    <vt:lpwstr>2052-12.1.0.16120</vt:lpwstr>
  </property>
</Properties>
</file>