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eastAsia="仿宋_GB2312"/>
          <w:sz w:val="36"/>
          <w:szCs w:val="36"/>
        </w:rPr>
      </w:pPr>
      <w:bookmarkStart w:id="0" w:name="_Hlk57883707"/>
    </w:p>
    <w:p>
      <w:pPr>
        <w:rPr>
          <w:rFonts w:eastAsia="仿宋_GB2312"/>
          <w:sz w:val="36"/>
          <w:szCs w:val="36"/>
        </w:rPr>
      </w:pPr>
    </w:p>
    <w:p>
      <w:pPr>
        <w:rPr>
          <w:rFonts w:eastAsia="仿宋_GB2312"/>
          <w:sz w:val="36"/>
          <w:szCs w:val="36"/>
        </w:rPr>
      </w:pPr>
    </w:p>
    <w:p>
      <w:pPr>
        <w:rPr>
          <w:rFonts w:eastAsia="仿宋_GB2312"/>
          <w:sz w:val="36"/>
          <w:szCs w:val="36"/>
        </w:rPr>
      </w:pPr>
    </w:p>
    <w:bookmarkEnd w:id="0"/>
    <w:p>
      <w:pPr>
        <w:adjustRightInd w:val="0"/>
        <w:snapToGrid w:val="0"/>
        <w:jc w:val="center"/>
        <w:outlineLvl w:val="0"/>
        <w:rPr>
          <w:rFonts w:eastAsia="方正小标宋_GBK"/>
          <w:bCs/>
          <w:sz w:val="72"/>
          <w:szCs w:val="72"/>
        </w:rPr>
      </w:pPr>
      <w:r>
        <w:rPr>
          <w:rFonts w:eastAsia="方正小标宋_GBK"/>
          <w:bCs/>
          <w:sz w:val="72"/>
          <w:szCs w:val="72"/>
        </w:rPr>
        <w:t>建设项目环境影响报告表</w:t>
      </w:r>
    </w:p>
    <w:p>
      <w:pPr>
        <w:adjustRightInd w:val="0"/>
        <w:snapToGrid w:val="0"/>
        <w:spacing w:before="192" w:beforeLines="80"/>
        <w:jc w:val="center"/>
        <w:rPr>
          <w:rFonts w:eastAsia="楷体_GB2312"/>
          <w:bCs/>
          <w:sz w:val="48"/>
          <w:szCs w:val="48"/>
        </w:rPr>
      </w:pPr>
      <w:r>
        <w:rPr>
          <w:rFonts w:eastAsia="楷体_GB2312"/>
          <w:bCs/>
          <w:sz w:val="48"/>
          <w:szCs w:val="48"/>
        </w:rPr>
        <w:t>（生态影响类）</w:t>
      </w:r>
    </w:p>
    <w:p>
      <w:pPr>
        <w:adjustRightInd w:val="0"/>
        <w:snapToGrid w:val="0"/>
        <w:spacing w:before="192" w:beforeLines="80"/>
        <w:jc w:val="center"/>
        <w:rPr>
          <w:rFonts w:eastAsia="仿宋_GB2312"/>
          <w:sz w:val="36"/>
          <w:szCs w:val="36"/>
          <w:u w:val="single"/>
        </w:rPr>
      </w:pPr>
      <w:r>
        <w:rPr>
          <w:rFonts w:eastAsia="仿宋_GB2312"/>
          <w:sz w:val="36"/>
          <w:szCs w:val="36"/>
        </w:rPr>
        <w:t>（</w:t>
      </w:r>
      <w:r>
        <w:rPr>
          <w:rFonts w:eastAsia="仿宋_GB2312" w:hint="eastAsia"/>
          <w:sz w:val="36"/>
          <w:szCs w:val="36"/>
        </w:rPr>
        <w:t>报批</w:t>
      </w:r>
      <w:r>
        <w:rPr>
          <w:rFonts w:eastAsia="仿宋_GB2312"/>
          <w:sz w:val="36"/>
          <w:szCs w:val="36"/>
        </w:rPr>
        <w:t>稿）</w:t>
      </w:r>
    </w:p>
    <w:p>
      <w:pPr>
        <w:jc w:val="center"/>
        <w:rPr>
          <w:rFonts w:eastAsia="仿宋"/>
          <w:sz w:val="52"/>
          <w:szCs w:val="52"/>
        </w:rPr>
      </w:pPr>
      <w:bookmarkStart w:id="1" w:name="_Hlk57883728"/>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bookmarkEnd w:id="1"/>
    <w:p>
      <w:pPr>
        <w:adjustRightInd w:val="0"/>
        <w:snapToGrid w:val="0"/>
        <w:spacing w:line="288" w:lineRule="auto"/>
        <w:ind w:left="1800" w:hanging="1800" w:hangingChars="500"/>
        <w:rPr>
          <w:rFonts w:eastAsia="仿宋_GB2312"/>
          <w:sz w:val="36"/>
          <w:szCs w:val="36"/>
          <w:u w:val="single"/>
        </w:rPr>
      </w:pPr>
      <w:r>
        <w:rPr>
          <w:rFonts w:eastAsia="仿宋_GB2312"/>
          <w:sz w:val="36"/>
          <w:szCs w:val="36"/>
        </w:rPr>
        <w:t xml:space="preserve">项目名称： </w:t>
      </w:r>
      <w:r>
        <w:rPr>
          <w:rFonts w:eastAsia="仿宋_GB2312"/>
          <w:sz w:val="36"/>
          <w:szCs w:val="36"/>
          <w:u w:val="single"/>
        </w:rPr>
        <w:t xml:space="preserve"> 雅安文教新城基础设施及功能配套建设项目（二期）一标段配套道路工程   </w:t>
      </w:r>
    </w:p>
    <w:p>
      <w:pPr>
        <w:adjustRightInd w:val="0"/>
        <w:snapToGrid w:val="0"/>
        <w:spacing w:line="288" w:lineRule="auto"/>
        <w:ind w:left="1810" w:hanging="1800" w:leftChars="5" w:hangingChars="500"/>
        <w:rPr>
          <w:rFonts w:eastAsia="仿宋_GB2312"/>
          <w:sz w:val="36"/>
          <w:szCs w:val="36"/>
          <w:u w:val="single"/>
        </w:rPr>
      </w:pPr>
      <w:r>
        <w:rPr>
          <w:rFonts w:eastAsia="仿宋_GB2312"/>
          <w:sz w:val="36"/>
          <w:szCs w:val="36"/>
        </w:rPr>
        <w:t>建设单位（盖章）：</w:t>
      </w:r>
      <w:r>
        <w:rPr>
          <w:rFonts w:eastAsia="仿宋_GB2312"/>
          <w:sz w:val="36"/>
          <w:szCs w:val="36"/>
          <w:u w:val="single"/>
        </w:rPr>
        <w:t xml:space="preserve">雅安蜀天新城开发建设有限责任公司               </w:t>
      </w:r>
    </w:p>
    <w:p>
      <w:pPr>
        <w:adjustRightInd w:val="0"/>
        <w:snapToGrid w:val="0"/>
        <w:spacing w:line="288" w:lineRule="auto"/>
        <w:jc w:val="center"/>
        <w:rPr>
          <w:rFonts w:eastAsia="仿宋_GB2312"/>
          <w:sz w:val="36"/>
          <w:szCs w:val="36"/>
          <w:u w:val="single"/>
        </w:rPr>
      </w:pPr>
      <w:r>
        <w:rPr>
          <w:rFonts w:eastAsia="仿宋_GB2312"/>
          <w:sz w:val="36"/>
          <w:szCs w:val="36"/>
        </w:rPr>
        <w:t>编制日期：</w:t>
      </w:r>
      <w:r>
        <w:rPr>
          <w:rFonts w:eastAsia="仿宋_GB2312"/>
          <w:sz w:val="36"/>
          <w:szCs w:val="36"/>
          <w:u w:val="single"/>
        </w:rPr>
        <w:t xml:space="preserve">                     </w:t>
      </w:r>
      <w:r>
        <w:rPr>
          <w:rFonts w:eastAsia="仿宋_GB2312" w:hint="eastAsia"/>
          <w:sz w:val="36"/>
          <w:szCs w:val="36"/>
          <w:u w:val="single"/>
        </w:rPr>
        <w:t>二○</w:t>
      </w:r>
      <w:r>
        <w:rPr>
          <w:rFonts w:eastAsia="仿宋_GB2312"/>
          <w:sz w:val="36"/>
          <w:szCs w:val="36"/>
          <w:u w:val="single"/>
        </w:rPr>
        <w:t>二二年十</w:t>
      </w:r>
      <w:r>
        <w:rPr>
          <w:rFonts w:eastAsia="仿宋_GB2312" w:hint="eastAsia"/>
          <w:sz w:val="36"/>
          <w:szCs w:val="36"/>
          <w:u w:val="single"/>
        </w:rPr>
        <w:t>一</w:t>
      </w:r>
      <w:r>
        <w:rPr>
          <w:rFonts w:eastAsia="仿宋_GB2312"/>
          <w:sz w:val="36"/>
          <w:szCs w:val="36"/>
          <w:u w:val="single"/>
        </w:rPr>
        <w:t xml:space="preserve">月                   </w:t>
      </w:r>
    </w:p>
    <w:p>
      <w:pPr>
        <w:adjustRightInd w:val="0"/>
        <w:snapToGrid w:val="0"/>
        <w:spacing w:line="288" w:lineRule="auto"/>
        <w:ind w:firstLine="1040"/>
        <w:rPr>
          <w:rFonts w:eastAsia="仿宋_GB2312"/>
          <w:sz w:val="36"/>
          <w:szCs w:val="36"/>
          <w:u w:val="single"/>
        </w:rPr>
      </w:pPr>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p>
      <w:pPr>
        <w:adjustRightInd w:val="0"/>
        <w:snapToGrid w:val="0"/>
        <w:spacing w:line="288" w:lineRule="auto"/>
        <w:jc w:val="center"/>
        <w:rPr>
          <w:rFonts w:eastAsia="楷体_GB2312"/>
          <w:sz w:val="36"/>
          <w:szCs w:val="36"/>
        </w:rPr>
      </w:pPr>
      <w:r>
        <w:rPr>
          <w:rFonts w:eastAsia="楷体_GB2312"/>
          <w:sz w:val="36"/>
          <w:szCs w:val="36"/>
        </w:rPr>
        <w:t>中华人民共和国生态环境部制</w:t>
      </w:r>
    </w:p>
    <w:p>
      <w:pPr>
        <w:adjustRightInd w:val="0"/>
        <w:snapToGrid w:val="0"/>
        <w:spacing w:line="288" w:lineRule="auto"/>
        <w:ind w:firstLine="1040"/>
        <w:rPr>
          <w:rFonts w:eastAsia="仿宋_GB2312"/>
          <w:sz w:val="36"/>
          <w:szCs w:val="36"/>
        </w:rPr>
        <w:sectPr>
          <w:footerReference w:type="even" r:id="rId6"/>
          <w:footerReference w:type="default" r:id="rId7"/>
          <w:pgSz w:w="11906" w:h="16838"/>
          <w:pgMar w:top="1701" w:right="1531" w:bottom="1701" w:left="1531" w:header="851" w:footer="1077" w:gutter="0"/>
          <w:pgNumType w:start="21"/>
          <w:cols w:num="1" w:space="720"/>
          <w:docGrid w:linePitch="312" w:charSpace="0"/>
        </w:sectPr>
      </w:pPr>
    </w:p>
    <w:p>
      <w:pPr>
        <w:pStyle w:val="NormalWeb"/>
        <w:jc w:val="center"/>
        <w:outlineLvl w:val="0"/>
        <w:rPr>
          <w:rFonts w:ascii="Times New Roman" w:eastAsia="黑体" w:hAnsi="Times New Roman"/>
          <w:snapToGrid w:val="0"/>
          <w:sz w:val="30"/>
          <w:szCs w:val="30"/>
        </w:rPr>
      </w:pPr>
      <w:bookmarkStart w:id="2" w:name="_GoBack"/>
      <w:bookmarkEnd w:id="2"/>
      <w:r>
        <w:rPr>
          <w:rFonts w:ascii="Times New Roman" w:eastAsia="黑体" w:hAnsi="Times New Roman"/>
          <w:snapToGrid w:val="0"/>
          <w:sz w:val="30"/>
          <w:szCs w:val="30"/>
        </w:rPr>
        <w:t>一、建设项目基本情况</w:t>
      </w: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2043"/>
        <w:gridCol w:w="2218"/>
        <w:gridCol w:w="10"/>
        <w:gridCol w:w="2598"/>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362"/>
        </w:trPr>
        <w:tc>
          <w:tcPr>
            <w:tcW w:w="2226" w:type="dxa"/>
            <w:tcMar>
              <w:top w:w="16" w:type="dxa"/>
              <w:left w:w="16" w:type="dxa"/>
              <w:right w:w="16" w:type="dxa"/>
            </w:tcMar>
            <w:vAlign w:val="center"/>
          </w:tcPr>
          <w:p>
            <w:pPr>
              <w:adjustRightInd w:val="0"/>
              <w:snapToGrid w:val="0"/>
              <w:jc w:val="center"/>
              <w:rPr>
                <w:szCs w:val="21"/>
              </w:rPr>
            </w:pPr>
            <w:r>
              <w:rPr>
                <w:szCs w:val="21"/>
              </w:rPr>
              <w:t>建设项目名称</w:t>
            </w:r>
          </w:p>
        </w:tc>
        <w:tc>
          <w:tcPr>
            <w:tcW w:w="6813" w:type="dxa"/>
            <w:gridSpan w:val="4"/>
            <w:vAlign w:val="center"/>
          </w:tcPr>
          <w:p>
            <w:pPr>
              <w:adjustRightInd w:val="0"/>
              <w:snapToGrid w:val="0"/>
              <w:jc w:val="center"/>
              <w:rPr>
                <w:szCs w:val="21"/>
              </w:rPr>
            </w:pPr>
            <w:r>
              <w:rPr>
                <w:szCs w:val="21"/>
              </w:rPr>
              <w:t>雅安文教新城基础设施及功能配套建设项目（二期）一标段配套道路工程</w:t>
            </w:r>
          </w:p>
        </w:tc>
      </w:tr>
      <w:tr>
        <w:tblPrEx>
          <w:tblW w:w="9039" w:type="dxa"/>
          <w:tblInd w:w="16" w:type="dxa"/>
          <w:tblCellMar>
            <w:top w:w="0" w:type="dxa"/>
            <w:left w:w="0" w:type="dxa"/>
            <w:bottom w:w="0" w:type="dxa"/>
            <w:right w:w="0" w:type="dxa"/>
          </w:tblCellMar>
        </w:tblPrEx>
        <w:trPr>
          <w:trHeight w:val="355"/>
        </w:trPr>
        <w:tc>
          <w:tcPr>
            <w:tcW w:w="2226" w:type="dxa"/>
            <w:tcMar>
              <w:top w:w="16" w:type="dxa"/>
              <w:left w:w="16" w:type="dxa"/>
              <w:right w:w="16" w:type="dxa"/>
            </w:tcMar>
            <w:vAlign w:val="center"/>
          </w:tcPr>
          <w:p>
            <w:pPr>
              <w:adjustRightInd w:val="0"/>
              <w:snapToGrid w:val="0"/>
              <w:jc w:val="center"/>
              <w:rPr>
                <w:szCs w:val="21"/>
              </w:rPr>
            </w:pPr>
            <w:r>
              <w:rPr>
                <w:szCs w:val="21"/>
              </w:rPr>
              <w:t>项目代码</w:t>
            </w:r>
          </w:p>
        </w:tc>
        <w:tc>
          <w:tcPr>
            <w:tcW w:w="6813" w:type="dxa"/>
            <w:gridSpan w:val="4"/>
            <w:vAlign w:val="center"/>
          </w:tcPr>
          <w:p>
            <w:pPr>
              <w:adjustRightInd w:val="0"/>
              <w:snapToGrid w:val="0"/>
              <w:jc w:val="center"/>
              <w:rPr>
                <w:rFonts w:hint="default"/>
                <w:szCs w:val="21"/>
              </w:rPr>
            </w:pPr>
            <w:r>
              <w:rPr>
                <w:szCs w:val="21"/>
              </w:rPr>
              <w:t>2105-511802-04-01-3</w:t>
            </w:r>
            <w:r>
              <w:rPr>
                <w:rFonts w:hint="eastAsia"/>
                <w:szCs w:val="21"/>
                <w:lang w:val="en-US" w:eastAsia="zh-CN"/>
              </w:rPr>
              <w:t>*****</w:t>
            </w:r>
          </w:p>
        </w:tc>
      </w:tr>
      <w:tr>
        <w:tblPrEx>
          <w:tblW w:w="9039" w:type="dxa"/>
          <w:tblInd w:w="16" w:type="dxa"/>
          <w:tblCellMar>
            <w:top w:w="0" w:type="dxa"/>
            <w:left w:w="0" w:type="dxa"/>
            <w:bottom w:w="0" w:type="dxa"/>
            <w:right w:w="0" w:type="dxa"/>
          </w:tblCellMar>
        </w:tblPrEx>
        <w:trPr>
          <w:trHeight w:val="362"/>
        </w:trPr>
        <w:tc>
          <w:tcPr>
            <w:tcW w:w="2226" w:type="dxa"/>
            <w:tcMar>
              <w:top w:w="16" w:type="dxa"/>
              <w:left w:w="16" w:type="dxa"/>
              <w:right w:w="16" w:type="dxa"/>
            </w:tcMar>
            <w:vAlign w:val="center"/>
          </w:tcPr>
          <w:p>
            <w:pPr>
              <w:adjustRightInd w:val="0"/>
              <w:snapToGrid w:val="0"/>
              <w:jc w:val="center"/>
              <w:rPr>
                <w:szCs w:val="21"/>
              </w:rPr>
            </w:pPr>
            <w:r>
              <w:rPr>
                <w:szCs w:val="21"/>
              </w:rPr>
              <w:t>建设单位联系人</w:t>
            </w:r>
          </w:p>
        </w:tc>
        <w:tc>
          <w:tcPr>
            <w:tcW w:w="2043" w:type="dxa"/>
            <w:vAlign w:val="center"/>
          </w:tcPr>
          <w:p>
            <w:pPr>
              <w:adjustRightInd w:val="0"/>
              <w:snapToGrid w:val="0"/>
              <w:jc w:val="center"/>
              <w:rPr>
                <w:szCs w:val="21"/>
              </w:rPr>
            </w:pPr>
            <w:r>
              <w:rPr>
                <w:rFonts w:hint="eastAsia"/>
                <w:szCs w:val="21"/>
                <w:lang w:val="en-US" w:eastAsia="zh-CN"/>
              </w:rPr>
              <w:t>**</w:t>
            </w:r>
            <w:r>
              <w:rPr>
                <w:szCs w:val="21"/>
              </w:rPr>
              <w:t xml:space="preserve"> </w:t>
            </w:r>
          </w:p>
        </w:tc>
        <w:tc>
          <w:tcPr>
            <w:tcW w:w="2228" w:type="dxa"/>
            <w:gridSpan w:val="2"/>
            <w:vAlign w:val="center"/>
          </w:tcPr>
          <w:p>
            <w:pPr>
              <w:adjustRightInd w:val="0"/>
              <w:snapToGrid w:val="0"/>
              <w:jc w:val="center"/>
              <w:rPr>
                <w:szCs w:val="21"/>
              </w:rPr>
            </w:pPr>
            <w:r>
              <w:rPr>
                <w:szCs w:val="21"/>
              </w:rPr>
              <w:t>联系方式</w:t>
            </w:r>
          </w:p>
        </w:tc>
        <w:tc>
          <w:tcPr>
            <w:tcW w:w="2542" w:type="dxa"/>
            <w:vAlign w:val="center"/>
          </w:tcPr>
          <w:p>
            <w:pPr>
              <w:adjustRightInd w:val="0"/>
              <w:snapToGrid w:val="0"/>
              <w:jc w:val="center"/>
              <w:rPr>
                <w:rFonts w:hint="default"/>
                <w:szCs w:val="21"/>
              </w:rPr>
            </w:pPr>
            <w:r>
              <w:rPr>
                <w:szCs w:val="21"/>
              </w:rPr>
              <w:t>1</w:t>
            </w:r>
            <w:r>
              <w:rPr>
                <w:rFonts w:hint="eastAsia"/>
                <w:szCs w:val="21"/>
                <w:lang w:val="en-US" w:eastAsia="zh-CN"/>
              </w:rPr>
              <w:t>*********</w:t>
            </w:r>
          </w:p>
        </w:tc>
      </w:tr>
      <w:tr>
        <w:tblPrEx>
          <w:tblW w:w="9039" w:type="dxa"/>
          <w:tblInd w:w="16" w:type="dxa"/>
          <w:tblCellMar>
            <w:top w:w="0" w:type="dxa"/>
            <w:left w:w="0" w:type="dxa"/>
            <w:bottom w:w="0" w:type="dxa"/>
            <w:right w:w="0" w:type="dxa"/>
          </w:tblCellMar>
        </w:tblPrEx>
        <w:trPr>
          <w:trHeight w:val="362"/>
        </w:trPr>
        <w:tc>
          <w:tcPr>
            <w:tcW w:w="2226" w:type="dxa"/>
            <w:tcMar>
              <w:top w:w="16" w:type="dxa"/>
              <w:left w:w="16" w:type="dxa"/>
              <w:right w:w="16" w:type="dxa"/>
            </w:tcMar>
            <w:vAlign w:val="center"/>
          </w:tcPr>
          <w:p>
            <w:pPr>
              <w:adjustRightInd w:val="0"/>
              <w:snapToGrid w:val="0"/>
              <w:jc w:val="center"/>
              <w:rPr>
                <w:szCs w:val="21"/>
              </w:rPr>
            </w:pPr>
            <w:r>
              <w:rPr>
                <w:szCs w:val="21"/>
              </w:rPr>
              <w:t>建设地点</w:t>
            </w:r>
          </w:p>
        </w:tc>
        <w:tc>
          <w:tcPr>
            <w:tcW w:w="6813" w:type="dxa"/>
            <w:gridSpan w:val="4"/>
            <w:vAlign w:val="center"/>
          </w:tcPr>
          <w:p>
            <w:pPr>
              <w:adjustRightInd w:val="0"/>
              <w:snapToGrid w:val="0"/>
              <w:jc w:val="center"/>
              <w:rPr>
                <w:szCs w:val="21"/>
              </w:rPr>
            </w:pPr>
            <w:r>
              <w:rPr>
                <w:szCs w:val="21"/>
              </w:rPr>
              <w:t>四川省雅安市雨城区</w:t>
            </w:r>
            <w:r>
              <w:rPr>
                <w:rFonts w:hint="eastAsia"/>
                <w:szCs w:val="21"/>
                <w:lang w:val="en-US" w:eastAsia="zh-CN"/>
              </w:rPr>
              <w:t>**</w:t>
            </w:r>
            <w:r>
              <w:rPr>
                <w:szCs w:val="21"/>
              </w:rPr>
              <w:t>镇</w:t>
            </w:r>
          </w:p>
        </w:tc>
      </w:tr>
      <w:tr>
        <w:tblPrEx>
          <w:tblW w:w="9039" w:type="dxa"/>
          <w:tblInd w:w="16" w:type="dxa"/>
          <w:tblCellMar>
            <w:top w:w="0" w:type="dxa"/>
            <w:left w:w="0" w:type="dxa"/>
            <w:bottom w:w="0" w:type="dxa"/>
            <w:right w:w="0" w:type="dxa"/>
          </w:tblCellMar>
        </w:tblPrEx>
        <w:trPr>
          <w:trHeight w:val="355"/>
        </w:trPr>
        <w:tc>
          <w:tcPr>
            <w:tcW w:w="2226" w:type="dxa"/>
            <w:tcMar>
              <w:top w:w="16" w:type="dxa"/>
              <w:left w:w="16" w:type="dxa"/>
              <w:right w:w="16" w:type="dxa"/>
            </w:tcMar>
            <w:vAlign w:val="center"/>
          </w:tcPr>
          <w:p>
            <w:pPr>
              <w:adjustRightInd w:val="0"/>
              <w:snapToGrid w:val="0"/>
              <w:jc w:val="center"/>
              <w:rPr>
                <w:szCs w:val="21"/>
              </w:rPr>
            </w:pPr>
            <w:r>
              <w:rPr>
                <w:szCs w:val="21"/>
              </w:rPr>
              <w:t>地理坐标</w:t>
            </w:r>
          </w:p>
        </w:tc>
        <w:tc>
          <w:tcPr>
            <w:tcW w:w="6813" w:type="dxa"/>
            <w:gridSpan w:val="4"/>
            <w:vAlign w:val="center"/>
          </w:tcPr>
          <w:p>
            <w:pPr>
              <w:adjustRightInd w:val="0"/>
              <w:snapToGrid w:val="0"/>
              <w:jc w:val="center"/>
              <w:rPr>
                <w:szCs w:val="21"/>
              </w:rPr>
            </w:pPr>
            <w:r>
              <w:rPr>
                <w:szCs w:val="21"/>
              </w:rPr>
              <w:t>起点坐标（桩号K0+000）：东经103°5′11.62"，北纬29°58′22.77"</w:t>
            </w:r>
          </w:p>
          <w:p>
            <w:pPr>
              <w:adjustRightInd w:val="0"/>
              <w:snapToGrid w:val="0"/>
              <w:jc w:val="center"/>
              <w:rPr>
                <w:szCs w:val="21"/>
              </w:rPr>
            </w:pPr>
            <w:r>
              <w:rPr>
                <w:szCs w:val="21"/>
              </w:rPr>
              <w:t>终点坐标（桩号K3+029.095）：东经103°6′51.81"，北纬29°58′19.06"</w:t>
            </w:r>
          </w:p>
        </w:tc>
      </w:tr>
      <w:tr>
        <w:tblPrEx>
          <w:tblW w:w="9039" w:type="dxa"/>
          <w:tblInd w:w="16" w:type="dxa"/>
          <w:tblCellMar>
            <w:top w:w="0" w:type="dxa"/>
            <w:left w:w="0" w:type="dxa"/>
            <w:bottom w:w="0" w:type="dxa"/>
            <w:right w:w="0" w:type="dxa"/>
          </w:tblCellMar>
        </w:tblPrEx>
        <w:trPr>
          <w:trHeight w:val="715"/>
        </w:trPr>
        <w:tc>
          <w:tcPr>
            <w:tcW w:w="2226" w:type="dxa"/>
            <w:tcMar>
              <w:top w:w="16" w:type="dxa"/>
              <w:left w:w="16" w:type="dxa"/>
              <w:right w:w="16" w:type="dxa"/>
            </w:tcMar>
            <w:vAlign w:val="center"/>
          </w:tcPr>
          <w:p>
            <w:pPr>
              <w:adjustRightInd w:val="0"/>
              <w:snapToGrid w:val="0"/>
              <w:jc w:val="center"/>
              <w:rPr>
                <w:szCs w:val="21"/>
              </w:rPr>
            </w:pPr>
            <w:r>
              <w:rPr>
                <w:szCs w:val="21"/>
              </w:rPr>
              <w:t>建设项目</w:t>
            </w:r>
          </w:p>
          <w:p>
            <w:pPr>
              <w:adjustRightInd w:val="0"/>
              <w:snapToGrid w:val="0"/>
              <w:jc w:val="center"/>
              <w:rPr>
                <w:szCs w:val="21"/>
              </w:rPr>
            </w:pPr>
            <w:r>
              <w:rPr>
                <w:szCs w:val="21"/>
              </w:rPr>
              <w:t>行业类别</w:t>
            </w:r>
          </w:p>
        </w:tc>
        <w:tc>
          <w:tcPr>
            <w:tcW w:w="2043" w:type="dxa"/>
            <w:vAlign w:val="center"/>
          </w:tcPr>
          <w:p>
            <w:pPr>
              <w:adjustRightInd w:val="0"/>
              <w:snapToGrid w:val="0"/>
              <w:jc w:val="center"/>
              <w:rPr>
                <w:szCs w:val="21"/>
              </w:rPr>
            </w:pPr>
            <w:r>
              <w:rPr>
                <w:szCs w:val="21"/>
              </w:rPr>
              <w:t>E4819 铁路、道路、隧道和桥梁工程建筑</w:t>
            </w:r>
          </w:p>
        </w:tc>
        <w:tc>
          <w:tcPr>
            <w:tcW w:w="2218" w:type="dxa"/>
            <w:vAlign w:val="center"/>
          </w:tcPr>
          <w:p>
            <w:pPr>
              <w:adjustRightInd w:val="0"/>
              <w:snapToGrid w:val="0"/>
              <w:jc w:val="center"/>
              <w:rPr>
                <w:szCs w:val="21"/>
              </w:rPr>
            </w:pPr>
            <w:r>
              <w:rPr>
                <w:szCs w:val="21"/>
              </w:rPr>
              <w:t>用地（用海）面积（m</w:t>
            </w:r>
            <w:r>
              <w:rPr>
                <w:szCs w:val="21"/>
                <w:vertAlign w:val="superscript"/>
              </w:rPr>
              <w:t>2</w:t>
            </w:r>
            <w:r>
              <w:rPr>
                <w:szCs w:val="21"/>
              </w:rPr>
              <w:t>）/长度（km）</w:t>
            </w:r>
          </w:p>
        </w:tc>
        <w:tc>
          <w:tcPr>
            <w:tcW w:w="2552" w:type="dxa"/>
            <w:gridSpan w:val="2"/>
            <w:vAlign w:val="center"/>
          </w:tcPr>
          <w:p>
            <w:pPr>
              <w:adjustRightInd w:val="0"/>
              <w:snapToGrid w:val="0"/>
              <w:jc w:val="center"/>
              <w:rPr>
                <w:szCs w:val="21"/>
              </w:rPr>
            </w:pPr>
            <w:r>
              <w:rPr>
                <w:szCs w:val="21"/>
              </w:rPr>
              <w:t>道路长度3.029km，道路红线宽度20m</w:t>
            </w:r>
          </w:p>
        </w:tc>
      </w:tr>
      <w:tr>
        <w:tblPrEx>
          <w:tblW w:w="9039" w:type="dxa"/>
          <w:tblInd w:w="16" w:type="dxa"/>
          <w:tblCellMar>
            <w:top w:w="0" w:type="dxa"/>
            <w:left w:w="0" w:type="dxa"/>
            <w:bottom w:w="0" w:type="dxa"/>
            <w:right w:w="0" w:type="dxa"/>
          </w:tblCellMar>
        </w:tblPrEx>
        <w:trPr>
          <w:trHeight w:val="104"/>
        </w:trPr>
        <w:tc>
          <w:tcPr>
            <w:tcW w:w="2226" w:type="dxa"/>
            <w:tcMar>
              <w:top w:w="16" w:type="dxa"/>
              <w:left w:w="16" w:type="dxa"/>
              <w:right w:w="16" w:type="dxa"/>
            </w:tcMar>
            <w:vAlign w:val="center"/>
          </w:tcPr>
          <w:p>
            <w:pPr>
              <w:adjustRightInd w:val="0"/>
              <w:snapToGrid w:val="0"/>
              <w:jc w:val="center"/>
              <w:rPr>
                <w:szCs w:val="21"/>
              </w:rPr>
            </w:pPr>
            <w:r>
              <w:rPr>
                <w:szCs w:val="21"/>
              </w:rPr>
              <w:t>建设性质</w:t>
            </w:r>
          </w:p>
        </w:tc>
        <w:tc>
          <w:tcPr>
            <w:tcW w:w="2043" w:type="dxa"/>
            <w:vAlign w:val="center"/>
          </w:tcPr>
          <w:p>
            <w:pPr>
              <w:adjustRightInd w:val="0"/>
              <w:snapToGrid w:val="0"/>
              <w:jc w:val="left"/>
              <w:rPr>
                <w:szCs w:val="21"/>
              </w:rPr>
            </w:pPr>
            <w:r>
              <w:rPr>
                <w:szCs w:val="21"/>
              </w:rPr>
              <w:t>√新建（迁建）</w:t>
            </w:r>
          </w:p>
          <w:p>
            <w:pPr>
              <w:adjustRightInd w:val="0"/>
              <w:snapToGrid w:val="0"/>
              <w:jc w:val="left"/>
              <w:rPr>
                <w:szCs w:val="21"/>
              </w:rPr>
            </w:pPr>
            <w:r>
              <w:rPr>
                <w:szCs w:val="21"/>
              </w:rPr>
              <w:t>□改建</w:t>
            </w:r>
          </w:p>
          <w:p>
            <w:pPr>
              <w:adjustRightInd w:val="0"/>
              <w:snapToGrid w:val="0"/>
              <w:jc w:val="left"/>
              <w:rPr>
                <w:szCs w:val="21"/>
              </w:rPr>
            </w:pPr>
            <w:r>
              <w:rPr>
                <w:szCs w:val="21"/>
              </w:rPr>
              <w:t>□扩建</w:t>
            </w:r>
          </w:p>
          <w:p>
            <w:pPr>
              <w:adjustRightInd w:val="0"/>
              <w:snapToGrid w:val="0"/>
              <w:jc w:val="left"/>
              <w:rPr>
                <w:szCs w:val="21"/>
              </w:rPr>
            </w:pPr>
            <w:r>
              <w:rPr>
                <w:szCs w:val="21"/>
              </w:rPr>
              <w:t>□技术改造</w:t>
            </w:r>
          </w:p>
        </w:tc>
        <w:tc>
          <w:tcPr>
            <w:tcW w:w="2218" w:type="dxa"/>
            <w:vAlign w:val="center"/>
          </w:tcPr>
          <w:p>
            <w:pPr>
              <w:adjustRightInd w:val="0"/>
              <w:snapToGrid w:val="0"/>
              <w:jc w:val="center"/>
              <w:rPr>
                <w:szCs w:val="21"/>
              </w:rPr>
            </w:pPr>
            <w:r>
              <w:rPr>
                <w:szCs w:val="21"/>
              </w:rPr>
              <w:t>建设项目</w:t>
            </w:r>
          </w:p>
          <w:p>
            <w:pPr>
              <w:adjustRightInd w:val="0"/>
              <w:snapToGrid w:val="0"/>
              <w:jc w:val="center"/>
              <w:rPr>
                <w:szCs w:val="21"/>
              </w:rPr>
            </w:pPr>
            <w:r>
              <w:rPr>
                <w:szCs w:val="21"/>
              </w:rPr>
              <w:t>申报情形</w:t>
            </w:r>
          </w:p>
        </w:tc>
        <w:tc>
          <w:tcPr>
            <w:tcW w:w="2552" w:type="dxa"/>
            <w:gridSpan w:val="2"/>
            <w:vAlign w:val="center"/>
          </w:tcPr>
          <w:p>
            <w:pPr>
              <w:adjustRightInd w:val="0"/>
              <w:snapToGrid w:val="0"/>
              <w:jc w:val="left"/>
              <w:rPr>
                <w:szCs w:val="21"/>
              </w:rPr>
            </w:pPr>
            <w:r>
              <w:rPr>
                <w:szCs w:val="21"/>
              </w:rPr>
              <w:t>√首次申报项目</w:t>
            </w:r>
          </w:p>
          <w:p>
            <w:pPr>
              <w:adjustRightInd w:val="0"/>
              <w:snapToGrid w:val="0"/>
              <w:jc w:val="left"/>
              <w:rPr>
                <w:szCs w:val="21"/>
              </w:rPr>
            </w:pPr>
            <w:r>
              <w:rPr>
                <w:szCs w:val="21"/>
              </w:rPr>
              <w:t>□不予批准后再次申报项目</w:t>
            </w:r>
          </w:p>
          <w:p>
            <w:pPr>
              <w:adjustRightInd w:val="0"/>
              <w:snapToGrid w:val="0"/>
              <w:jc w:val="left"/>
              <w:rPr>
                <w:szCs w:val="21"/>
              </w:rPr>
            </w:pPr>
            <w:r>
              <w:rPr>
                <w:szCs w:val="21"/>
              </w:rPr>
              <w:t>□超五年重新审核项目</w:t>
            </w:r>
          </w:p>
          <w:p>
            <w:pPr>
              <w:adjustRightInd w:val="0"/>
              <w:snapToGrid w:val="0"/>
              <w:rPr>
                <w:szCs w:val="21"/>
              </w:rPr>
            </w:pPr>
            <w:r>
              <w:rPr>
                <w:szCs w:val="21"/>
              </w:rPr>
              <w:t>□重大变动重新报批项目</w:t>
            </w:r>
          </w:p>
        </w:tc>
      </w:tr>
      <w:tr>
        <w:tblPrEx>
          <w:tblW w:w="9039" w:type="dxa"/>
          <w:tblInd w:w="16" w:type="dxa"/>
          <w:tblCellMar>
            <w:top w:w="0" w:type="dxa"/>
            <w:left w:w="0" w:type="dxa"/>
            <w:bottom w:w="0" w:type="dxa"/>
            <w:right w:w="0" w:type="dxa"/>
          </w:tblCellMar>
        </w:tblPrEx>
        <w:trPr>
          <w:trHeight w:val="762"/>
        </w:trPr>
        <w:tc>
          <w:tcPr>
            <w:tcW w:w="2226" w:type="dxa"/>
            <w:tcMar>
              <w:top w:w="16" w:type="dxa"/>
              <w:left w:w="16" w:type="dxa"/>
              <w:right w:w="16" w:type="dxa"/>
            </w:tcMar>
            <w:vAlign w:val="center"/>
          </w:tcPr>
          <w:p>
            <w:pPr>
              <w:adjustRightInd w:val="0"/>
              <w:snapToGrid w:val="0"/>
              <w:jc w:val="center"/>
              <w:rPr>
                <w:szCs w:val="21"/>
              </w:rPr>
            </w:pPr>
            <w:r>
              <w:rPr>
                <w:szCs w:val="21"/>
              </w:rPr>
              <w:t>项目审批（核准/</w:t>
            </w:r>
          </w:p>
          <w:p>
            <w:pPr>
              <w:adjustRightInd w:val="0"/>
              <w:snapToGrid w:val="0"/>
              <w:jc w:val="center"/>
              <w:rPr>
                <w:szCs w:val="21"/>
              </w:rPr>
            </w:pPr>
            <w:r>
              <w:rPr>
                <w:szCs w:val="21"/>
              </w:rPr>
              <w:t>备案）部门（选填）</w:t>
            </w:r>
          </w:p>
        </w:tc>
        <w:tc>
          <w:tcPr>
            <w:tcW w:w="2043" w:type="dxa"/>
            <w:vAlign w:val="center"/>
          </w:tcPr>
          <w:p>
            <w:pPr>
              <w:adjustRightInd w:val="0"/>
              <w:snapToGrid w:val="0"/>
              <w:jc w:val="center"/>
              <w:rPr>
                <w:szCs w:val="21"/>
              </w:rPr>
            </w:pPr>
            <w:r>
              <w:t>雅安市雨城区发展和改革局</w:t>
            </w:r>
          </w:p>
        </w:tc>
        <w:tc>
          <w:tcPr>
            <w:tcW w:w="2218" w:type="dxa"/>
            <w:vAlign w:val="center"/>
          </w:tcPr>
          <w:p>
            <w:pPr>
              <w:adjustRightInd w:val="0"/>
              <w:snapToGrid w:val="0"/>
              <w:jc w:val="center"/>
              <w:rPr>
                <w:szCs w:val="21"/>
              </w:rPr>
            </w:pPr>
            <w:r>
              <w:rPr>
                <w:szCs w:val="21"/>
              </w:rPr>
              <w:t>项目审批（核准/</w:t>
            </w:r>
          </w:p>
          <w:p>
            <w:pPr>
              <w:adjustRightInd w:val="0"/>
              <w:snapToGrid w:val="0"/>
              <w:jc w:val="center"/>
              <w:rPr>
                <w:szCs w:val="21"/>
              </w:rPr>
            </w:pPr>
            <w:r>
              <w:rPr>
                <w:szCs w:val="21"/>
              </w:rPr>
              <w:t>备案）文号（选填）</w:t>
            </w:r>
          </w:p>
        </w:tc>
        <w:tc>
          <w:tcPr>
            <w:tcW w:w="2552" w:type="dxa"/>
            <w:gridSpan w:val="2"/>
            <w:vAlign w:val="center"/>
          </w:tcPr>
          <w:p>
            <w:pPr>
              <w:adjustRightInd w:val="0"/>
              <w:snapToGrid w:val="0"/>
              <w:jc w:val="center"/>
              <w:rPr>
                <w:szCs w:val="21"/>
              </w:rPr>
            </w:pPr>
            <w:r>
              <w:rPr>
                <w:rFonts w:hint="eastAsia"/>
                <w:lang w:eastAsia="zh-CN"/>
              </w:rPr>
              <w:t>雨发改审批[2021]***</w:t>
            </w:r>
            <w:r>
              <w:t>号</w:t>
            </w:r>
          </w:p>
        </w:tc>
      </w:tr>
      <w:tr>
        <w:tblPrEx>
          <w:tblW w:w="9039" w:type="dxa"/>
          <w:tblInd w:w="16" w:type="dxa"/>
          <w:tblCellMar>
            <w:top w:w="0" w:type="dxa"/>
            <w:left w:w="0" w:type="dxa"/>
            <w:bottom w:w="0" w:type="dxa"/>
            <w:right w:w="0" w:type="dxa"/>
          </w:tblCellMar>
        </w:tblPrEx>
        <w:trPr>
          <w:trHeight w:val="355"/>
        </w:trPr>
        <w:tc>
          <w:tcPr>
            <w:tcW w:w="2226" w:type="dxa"/>
            <w:tcMar>
              <w:top w:w="16" w:type="dxa"/>
              <w:left w:w="16" w:type="dxa"/>
              <w:right w:w="16" w:type="dxa"/>
            </w:tcMar>
            <w:vAlign w:val="center"/>
          </w:tcPr>
          <w:p>
            <w:pPr>
              <w:adjustRightInd w:val="0"/>
              <w:snapToGrid w:val="0"/>
              <w:jc w:val="center"/>
              <w:rPr>
                <w:szCs w:val="21"/>
              </w:rPr>
            </w:pPr>
            <w:r>
              <w:rPr>
                <w:szCs w:val="21"/>
              </w:rPr>
              <w:t>总投资（万元）</w:t>
            </w:r>
          </w:p>
        </w:tc>
        <w:tc>
          <w:tcPr>
            <w:tcW w:w="2043" w:type="dxa"/>
            <w:vAlign w:val="center"/>
          </w:tcPr>
          <w:p>
            <w:pPr>
              <w:adjustRightInd w:val="0"/>
              <w:snapToGrid w:val="0"/>
              <w:jc w:val="center"/>
              <w:rPr>
                <w:rFonts w:hint="eastAsia"/>
                <w:szCs w:val="21"/>
              </w:rPr>
            </w:pPr>
            <w:r>
              <w:rPr>
                <w:rFonts w:hint="eastAsia"/>
                <w:szCs w:val="21"/>
                <w:lang w:eastAsia="zh-CN"/>
              </w:rPr>
              <w:t>******</w:t>
            </w:r>
          </w:p>
        </w:tc>
        <w:tc>
          <w:tcPr>
            <w:tcW w:w="2218" w:type="dxa"/>
            <w:tcMar>
              <w:top w:w="16" w:type="dxa"/>
              <w:left w:w="16" w:type="dxa"/>
              <w:right w:w="16" w:type="dxa"/>
            </w:tcMar>
            <w:vAlign w:val="center"/>
          </w:tcPr>
          <w:p>
            <w:pPr>
              <w:adjustRightInd w:val="0"/>
              <w:snapToGrid w:val="0"/>
              <w:jc w:val="center"/>
              <w:rPr>
                <w:szCs w:val="21"/>
              </w:rPr>
            </w:pPr>
            <w:r>
              <w:rPr>
                <w:szCs w:val="21"/>
              </w:rPr>
              <w:t>环保投资（万元）</w:t>
            </w:r>
          </w:p>
        </w:tc>
        <w:tc>
          <w:tcPr>
            <w:tcW w:w="2552" w:type="dxa"/>
            <w:gridSpan w:val="2"/>
            <w:vAlign w:val="center"/>
          </w:tcPr>
          <w:p>
            <w:pPr>
              <w:adjustRightInd w:val="0"/>
              <w:snapToGrid w:val="0"/>
              <w:jc w:val="center"/>
              <w:rPr>
                <w:szCs w:val="21"/>
              </w:rPr>
            </w:pPr>
            <w:r>
              <w:rPr>
                <w:szCs w:val="21"/>
              </w:rPr>
              <w:t>1030.18</w:t>
            </w:r>
          </w:p>
        </w:tc>
      </w:tr>
      <w:tr>
        <w:tblPrEx>
          <w:tblW w:w="9039" w:type="dxa"/>
          <w:tblInd w:w="16" w:type="dxa"/>
          <w:tblCellMar>
            <w:top w:w="0" w:type="dxa"/>
            <w:left w:w="0" w:type="dxa"/>
            <w:bottom w:w="0" w:type="dxa"/>
            <w:right w:w="0" w:type="dxa"/>
          </w:tblCellMar>
        </w:tblPrEx>
        <w:trPr>
          <w:trHeight w:val="364"/>
        </w:trPr>
        <w:tc>
          <w:tcPr>
            <w:tcW w:w="2226" w:type="dxa"/>
            <w:tcMar>
              <w:top w:w="16" w:type="dxa"/>
              <w:left w:w="16" w:type="dxa"/>
              <w:right w:w="16" w:type="dxa"/>
            </w:tcMar>
            <w:vAlign w:val="center"/>
          </w:tcPr>
          <w:p>
            <w:pPr>
              <w:adjustRightInd w:val="0"/>
              <w:snapToGrid w:val="0"/>
              <w:jc w:val="center"/>
              <w:rPr>
                <w:szCs w:val="21"/>
              </w:rPr>
            </w:pPr>
            <w:r>
              <w:rPr>
                <w:szCs w:val="21"/>
              </w:rPr>
              <w:t>环保投资占比（%）</w:t>
            </w:r>
          </w:p>
        </w:tc>
        <w:tc>
          <w:tcPr>
            <w:tcW w:w="2043" w:type="dxa"/>
            <w:vAlign w:val="center"/>
          </w:tcPr>
          <w:p>
            <w:pPr>
              <w:adjustRightInd w:val="0"/>
              <w:snapToGrid w:val="0"/>
              <w:jc w:val="center"/>
              <w:rPr>
                <w:szCs w:val="21"/>
              </w:rPr>
            </w:pPr>
            <w:r>
              <w:t>5.62%</w:t>
            </w:r>
          </w:p>
        </w:tc>
        <w:tc>
          <w:tcPr>
            <w:tcW w:w="2218" w:type="dxa"/>
            <w:tcMar>
              <w:top w:w="16" w:type="dxa"/>
              <w:left w:w="16" w:type="dxa"/>
              <w:right w:w="16" w:type="dxa"/>
            </w:tcMar>
            <w:vAlign w:val="center"/>
          </w:tcPr>
          <w:p>
            <w:pPr>
              <w:adjustRightInd w:val="0"/>
              <w:snapToGrid w:val="0"/>
              <w:jc w:val="center"/>
              <w:rPr>
                <w:szCs w:val="21"/>
              </w:rPr>
            </w:pPr>
            <w:r>
              <w:rPr>
                <w:szCs w:val="21"/>
              </w:rPr>
              <w:t>施工工期</w:t>
            </w:r>
          </w:p>
        </w:tc>
        <w:tc>
          <w:tcPr>
            <w:tcW w:w="2552" w:type="dxa"/>
            <w:gridSpan w:val="2"/>
            <w:vAlign w:val="center"/>
          </w:tcPr>
          <w:p>
            <w:pPr>
              <w:adjustRightInd w:val="0"/>
              <w:snapToGrid w:val="0"/>
              <w:jc w:val="center"/>
              <w:rPr>
                <w:szCs w:val="21"/>
              </w:rPr>
            </w:pPr>
            <w:r>
              <w:rPr>
                <w:szCs w:val="21"/>
              </w:rPr>
              <w:t>20个月</w:t>
            </w:r>
          </w:p>
        </w:tc>
      </w:tr>
      <w:tr>
        <w:tblPrEx>
          <w:tblW w:w="9039" w:type="dxa"/>
          <w:tblInd w:w="16" w:type="dxa"/>
          <w:tblCellMar>
            <w:top w:w="0" w:type="dxa"/>
            <w:left w:w="0" w:type="dxa"/>
            <w:bottom w:w="0" w:type="dxa"/>
            <w:right w:w="0" w:type="dxa"/>
          </w:tblCellMar>
        </w:tblPrEx>
        <w:trPr>
          <w:trHeight w:val="911"/>
        </w:trPr>
        <w:tc>
          <w:tcPr>
            <w:tcW w:w="2226" w:type="dxa"/>
            <w:tcMar>
              <w:top w:w="16" w:type="dxa"/>
              <w:left w:w="16" w:type="dxa"/>
              <w:right w:w="16" w:type="dxa"/>
            </w:tcMar>
            <w:vAlign w:val="center"/>
          </w:tcPr>
          <w:p>
            <w:pPr>
              <w:adjustRightInd w:val="0"/>
              <w:snapToGrid w:val="0"/>
              <w:jc w:val="center"/>
              <w:rPr>
                <w:szCs w:val="21"/>
              </w:rPr>
            </w:pPr>
            <w:r>
              <w:rPr>
                <w:szCs w:val="21"/>
              </w:rPr>
              <w:t>是否开工建设</w:t>
            </w:r>
          </w:p>
        </w:tc>
        <w:tc>
          <w:tcPr>
            <w:tcW w:w="6813" w:type="dxa"/>
            <w:gridSpan w:val="4"/>
            <w:vAlign w:val="center"/>
          </w:tcPr>
          <w:p>
            <w:pPr>
              <w:adjustRightInd w:val="0"/>
              <w:snapToGrid w:val="0"/>
              <w:ind w:firstLine="105"/>
              <w:jc w:val="left"/>
              <w:rPr>
                <w:szCs w:val="21"/>
              </w:rPr>
            </w:pPr>
            <w:r>
              <w:rPr>
                <w:szCs w:val="21"/>
              </w:rPr>
              <w:t>√否</w:t>
            </w:r>
          </w:p>
          <w:p>
            <w:pPr>
              <w:adjustRightInd w:val="0"/>
              <w:snapToGrid w:val="0"/>
              <w:ind w:firstLine="92"/>
              <w:jc w:val="left"/>
              <w:rPr>
                <w:szCs w:val="21"/>
              </w:rPr>
            </w:pPr>
            <w:r>
              <w:rPr>
                <w:szCs w:val="21"/>
              </w:rPr>
              <w:t>□是：</w:t>
            </w:r>
            <w:r>
              <w:rPr>
                <w:szCs w:val="21"/>
                <w:u w:val="single"/>
              </w:rPr>
              <w:t xml:space="preserve">                             </w:t>
            </w:r>
          </w:p>
        </w:tc>
      </w:tr>
      <w:tr>
        <w:tblPrEx>
          <w:tblW w:w="9039" w:type="dxa"/>
          <w:tblInd w:w="16" w:type="dxa"/>
          <w:tblCellMar>
            <w:top w:w="0" w:type="dxa"/>
            <w:left w:w="0" w:type="dxa"/>
            <w:bottom w:w="0" w:type="dxa"/>
            <w:right w:w="0" w:type="dxa"/>
          </w:tblCellMar>
        </w:tblPrEx>
        <w:trPr>
          <w:trHeight w:val="911"/>
        </w:trPr>
        <w:tc>
          <w:tcPr>
            <w:tcW w:w="2226" w:type="dxa"/>
            <w:tcMar>
              <w:top w:w="16" w:type="dxa"/>
              <w:left w:w="16" w:type="dxa"/>
              <w:right w:w="16" w:type="dxa"/>
            </w:tcMar>
            <w:vAlign w:val="center"/>
          </w:tcPr>
          <w:p>
            <w:pPr>
              <w:autoSpaceDE w:val="0"/>
              <w:autoSpaceDN w:val="0"/>
              <w:adjustRightInd w:val="0"/>
              <w:snapToGrid w:val="0"/>
              <w:jc w:val="center"/>
              <w:rPr>
                <w:kern w:val="0"/>
                <w:szCs w:val="21"/>
              </w:rPr>
            </w:pPr>
            <w:r>
              <w:rPr>
                <w:kern w:val="0"/>
                <w:szCs w:val="21"/>
              </w:rPr>
              <w:t>专项评价设置情况</w:t>
            </w:r>
          </w:p>
        </w:tc>
        <w:tc>
          <w:tcPr>
            <w:tcW w:w="6813" w:type="dxa"/>
            <w:gridSpan w:val="4"/>
            <w:tcMar>
              <w:top w:w="16" w:type="dxa"/>
              <w:left w:w="16" w:type="dxa"/>
              <w:right w:w="16" w:type="dxa"/>
            </w:tcMar>
            <w:vAlign w:val="center"/>
          </w:tcPr>
          <w:p>
            <w:pPr>
              <w:pStyle w:val="003"/>
              <w:ind w:firstLine="420"/>
              <w:rPr>
                <w:color w:val="auto"/>
              </w:rPr>
            </w:pPr>
            <w:r>
              <w:rPr>
                <w:color w:val="auto"/>
              </w:rPr>
              <w:t>根据</w:t>
            </w:r>
            <w:r>
              <w:rPr>
                <w:rFonts w:hint="eastAsia"/>
                <w:color w:val="auto"/>
              </w:rPr>
              <w:t>《建设项目环境影响报告表编制技术指南（生态影响类）（试行）》</w:t>
            </w:r>
            <w:r>
              <w:rPr>
                <w:i/>
                <w:iCs/>
                <w:color w:val="auto"/>
              </w:rPr>
              <w:t>表1 专项评价设置表</w:t>
            </w:r>
            <w:r>
              <w:rPr>
                <w:color w:val="auto"/>
              </w:rPr>
              <w:t>判定，本项目类别为城市道路（含桥梁）项目，需要设置</w:t>
            </w:r>
            <w:r>
              <w:rPr>
                <w:b/>
                <w:bCs/>
                <w:color w:val="auto"/>
                <w:u w:val="single"/>
              </w:rPr>
              <w:t>噪声专项评价。</w:t>
            </w:r>
          </w:p>
          <w:p>
            <w:pPr>
              <w:pStyle w:val="0020"/>
              <w:rPr>
                <w:color w:val="auto"/>
              </w:rPr>
            </w:pPr>
            <w:r>
              <w:rPr>
                <w:color w:val="auto"/>
              </w:rPr>
              <w:t>表1-1 专项评价设置表</w:t>
            </w:r>
          </w:p>
          <w:tbl>
            <w:tblPr>
              <w:tblStyle w:val="TableNormal"/>
              <w:tblW w:w="5000" w:type="pct"/>
              <w:jc w:val="center"/>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CellMar>
                <w:top w:w="0" w:type="dxa"/>
                <w:left w:w="0" w:type="dxa"/>
                <w:bottom w:w="0" w:type="dxa"/>
                <w:right w:w="0" w:type="dxa"/>
              </w:tblCellMar>
            </w:tblPr>
            <w:tblGrid>
              <w:gridCol w:w="1786"/>
              <w:gridCol w:w="5051"/>
            </w:tblGrid>
            <w:tr>
              <w:tblPrEx>
                <w:tblW w:w="5000" w:type="pct"/>
                <w:jc w:val="center"/>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CellMar>
                  <w:top w:w="0" w:type="dxa"/>
                  <w:left w:w="0" w:type="dxa"/>
                  <w:bottom w:w="0" w:type="dxa"/>
                  <w:right w:w="0" w:type="dxa"/>
                </w:tblCellMar>
              </w:tblPrEx>
              <w:trPr>
                <w:trHeight w:val="340"/>
                <w:jc w:val="center"/>
              </w:trPr>
              <w:tc>
                <w:tcPr>
                  <w:tcW w:w="1306" w:type="pct"/>
                  <w:vAlign w:val="center"/>
                </w:tcPr>
                <w:p>
                  <w:pPr>
                    <w:autoSpaceDE w:val="0"/>
                    <w:autoSpaceDN w:val="0"/>
                    <w:adjustRightInd w:val="0"/>
                    <w:snapToGrid w:val="0"/>
                    <w:jc w:val="center"/>
                    <w:rPr>
                      <w:sz w:val="18"/>
                      <w:szCs w:val="18"/>
                    </w:rPr>
                  </w:pPr>
                  <w:r>
                    <w:rPr>
                      <w:sz w:val="18"/>
                      <w:szCs w:val="18"/>
                    </w:rPr>
                    <w:t>专项评价的类别</w:t>
                  </w:r>
                </w:p>
              </w:tc>
              <w:tc>
                <w:tcPr>
                  <w:tcW w:w="3694" w:type="pct"/>
                  <w:vAlign w:val="center"/>
                </w:tcPr>
                <w:p>
                  <w:pPr>
                    <w:autoSpaceDE w:val="0"/>
                    <w:autoSpaceDN w:val="0"/>
                    <w:adjustRightInd w:val="0"/>
                    <w:snapToGrid w:val="0"/>
                    <w:jc w:val="center"/>
                    <w:rPr>
                      <w:sz w:val="18"/>
                      <w:szCs w:val="18"/>
                    </w:rPr>
                  </w:pPr>
                  <w:r>
                    <w:rPr>
                      <w:sz w:val="18"/>
                      <w:szCs w:val="18"/>
                    </w:rPr>
                    <w:t>涉及项目类别</w:t>
                  </w:r>
                </w:p>
              </w:tc>
            </w:tr>
            <w:tr>
              <w:tblPrEx>
                <w:tblW w:w="5000" w:type="pct"/>
                <w:jc w:val="center"/>
                <w:tblCellMar>
                  <w:top w:w="0" w:type="dxa"/>
                  <w:left w:w="0" w:type="dxa"/>
                  <w:bottom w:w="0" w:type="dxa"/>
                  <w:right w:w="0" w:type="dxa"/>
                </w:tblCellMar>
              </w:tblPrEx>
              <w:trPr>
                <w:trHeight w:val="340"/>
                <w:jc w:val="center"/>
              </w:trPr>
              <w:tc>
                <w:tcPr>
                  <w:tcW w:w="1306" w:type="pct"/>
                  <w:vAlign w:val="center"/>
                </w:tcPr>
                <w:p>
                  <w:pPr>
                    <w:autoSpaceDE w:val="0"/>
                    <w:autoSpaceDN w:val="0"/>
                    <w:adjustRightInd w:val="0"/>
                    <w:snapToGrid w:val="0"/>
                    <w:jc w:val="center"/>
                    <w:rPr>
                      <w:sz w:val="18"/>
                      <w:szCs w:val="18"/>
                    </w:rPr>
                  </w:pPr>
                  <w:r>
                    <w:rPr>
                      <w:sz w:val="18"/>
                      <w:szCs w:val="18"/>
                    </w:rPr>
                    <w:t>地表水</w:t>
                  </w:r>
                </w:p>
              </w:tc>
              <w:tc>
                <w:tcPr>
                  <w:tcW w:w="3694" w:type="pct"/>
                  <w:vAlign w:val="center"/>
                </w:tcPr>
                <w:p>
                  <w:pPr>
                    <w:autoSpaceDE w:val="0"/>
                    <w:autoSpaceDN w:val="0"/>
                    <w:adjustRightInd w:val="0"/>
                    <w:snapToGrid w:val="0"/>
                    <w:rPr>
                      <w:sz w:val="18"/>
                      <w:szCs w:val="18"/>
                    </w:rPr>
                  </w:pPr>
                  <w:r>
                    <w:rPr>
                      <w:sz w:val="18"/>
                      <w:szCs w:val="18"/>
                    </w:rPr>
                    <w:t>水力发电：引水式发电、涉及调峰发电的项目；人工湖、人工湿地：全部；</w:t>
                  </w:r>
                </w:p>
                <w:p>
                  <w:pPr>
                    <w:autoSpaceDE w:val="0"/>
                    <w:autoSpaceDN w:val="0"/>
                    <w:adjustRightInd w:val="0"/>
                    <w:snapToGrid w:val="0"/>
                    <w:rPr>
                      <w:sz w:val="18"/>
                      <w:szCs w:val="18"/>
                    </w:rPr>
                  </w:pPr>
                  <w:r>
                    <w:rPr>
                      <w:sz w:val="18"/>
                      <w:szCs w:val="18"/>
                    </w:rPr>
                    <w:t>水库：全部；</w:t>
                  </w:r>
                </w:p>
                <w:p>
                  <w:pPr>
                    <w:autoSpaceDE w:val="0"/>
                    <w:autoSpaceDN w:val="0"/>
                    <w:adjustRightInd w:val="0"/>
                    <w:snapToGrid w:val="0"/>
                    <w:rPr>
                      <w:sz w:val="18"/>
                      <w:szCs w:val="18"/>
                    </w:rPr>
                  </w:pPr>
                  <w:r>
                    <w:rPr>
                      <w:sz w:val="18"/>
                      <w:szCs w:val="18"/>
                    </w:rPr>
                    <w:t>引水工程：全部（配套的管线工程等除外）； 防洪除涝工程：包含水库的项目；</w:t>
                  </w:r>
                </w:p>
                <w:p>
                  <w:pPr>
                    <w:autoSpaceDE w:val="0"/>
                    <w:autoSpaceDN w:val="0"/>
                    <w:adjustRightInd w:val="0"/>
                    <w:snapToGrid w:val="0"/>
                    <w:rPr>
                      <w:sz w:val="18"/>
                      <w:szCs w:val="18"/>
                    </w:rPr>
                  </w:pPr>
                  <w:r>
                    <w:rPr>
                      <w:sz w:val="18"/>
                      <w:szCs w:val="18"/>
                    </w:rPr>
                    <w:t>河湖整治：涉及清淤且底泥存在重金属污染的项目</w:t>
                  </w:r>
                </w:p>
              </w:tc>
            </w:tr>
            <w:tr>
              <w:tblPrEx>
                <w:tblW w:w="5000" w:type="pct"/>
                <w:jc w:val="center"/>
                <w:tblCellMar>
                  <w:top w:w="0" w:type="dxa"/>
                  <w:left w:w="0" w:type="dxa"/>
                  <w:bottom w:w="0" w:type="dxa"/>
                  <w:right w:w="0" w:type="dxa"/>
                </w:tblCellMar>
              </w:tblPrEx>
              <w:trPr>
                <w:trHeight w:val="340"/>
                <w:jc w:val="center"/>
              </w:trPr>
              <w:tc>
                <w:tcPr>
                  <w:tcW w:w="1306" w:type="pct"/>
                  <w:vAlign w:val="center"/>
                </w:tcPr>
                <w:p>
                  <w:pPr>
                    <w:autoSpaceDE w:val="0"/>
                    <w:autoSpaceDN w:val="0"/>
                    <w:adjustRightInd w:val="0"/>
                    <w:snapToGrid w:val="0"/>
                    <w:jc w:val="center"/>
                    <w:rPr>
                      <w:sz w:val="18"/>
                      <w:szCs w:val="18"/>
                    </w:rPr>
                  </w:pPr>
                  <w:r>
                    <w:rPr>
                      <w:sz w:val="18"/>
                      <w:szCs w:val="18"/>
                    </w:rPr>
                    <w:t>地下水</w:t>
                  </w:r>
                </w:p>
              </w:tc>
              <w:tc>
                <w:tcPr>
                  <w:tcW w:w="3694" w:type="pct"/>
                  <w:vAlign w:val="center"/>
                </w:tcPr>
                <w:p>
                  <w:pPr>
                    <w:autoSpaceDE w:val="0"/>
                    <w:autoSpaceDN w:val="0"/>
                    <w:adjustRightInd w:val="0"/>
                    <w:snapToGrid w:val="0"/>
                    <w:rPr>
                      <w:sz w:val="18"/>
                      <w:szCs w:val="18"/>
                    </w:rPr>
                  </w:pPr>
                  <w:r>
                    <w:rPr>
                      <w:sz w:val="18"/>
                      <w:szCs w:val="18"/>
                    </w:rPr>
                    <w:t>陆地石油和天然气开采：全部；地下水（含矿泉水）开采：全部；</w:t>
                  </w:r>
                </w:p>
                <w:p>
                  <w:pPr>
                    <w:autoSpaceDE w:val="0"/>
                    <w:autoSpaceDN w:val="0"/>
                    <w:adjustRightInd w:val="0"/>
                    <w:snapToGrid w:val="0"/>
                    <w:rPr>
                      <w:sz w:val="18"/>
                      <w:szCs w:val="18"/>
                    </w:rPr>
                  </w:pPr>
                  <w:r>
                    <w:rPr>
                      <w:sz w:val="18"/>
                      <w:szCs w:val="18"/>
                    </w:rPr>
                    <w:t>水利、水电、交通等：含穿越可溶岩地层隧道的项目</w:t>
                  </w:r>
                </w:p>
              </w:tc>
            </w:tr>
            <w:tr>
              <w:tblPrEx>
                <w:tblW w:w="5000" w:type="pct"/>
                <w:jc w:val="center"/>
                <w:tblCellMar>
                  <w:top w:w="0" w:type="dxa"/>
                  <w:left w:w="0" w:type="dxa"/>
                  <w:bottom w:w="0" w:type="dxa"/>
                  <w:right w:w="0" w:type="dxa"/>
                </w:tblCellMar>
              </w:tblPrEx>
              <w:trPr>
                <w:trHeight w:val="340"/>
                <w:jc w:val="center"/>
              </w:trPr>
              <w:tc>
                <w:tcPr>
                  <w:tcW w:w="1306" w:type="pct"/>
                  <w:vAlign w:val="center"/>
                </w:tcPr>
                <w:p>
                  <w:pPr>
                    <w:autoSpaceDE w:val="0"/>
                    <w:autoSpaceDN w:val="0"/>
                    <w:adjustRightInd w:val="0"/>
                    <w:snapToGrid w:val="0"/>
                    <w:jc w:val="center"/>
                    <w:rPr>
                      <w:sz w:val="18"/>
                      <w:szCs w:val="18"/>
                    </w:rPr>
                  </w:pPr>
                  <w:r>
                    <w:rPr>
                      <w:sz w:val="18"/>
                      <w:szCs w:val="18"/>
                    </w:rPr>
                    <w:t>生态</w:t>
                  </w:r>
                </w:p>
              </w:tc>
              <w:tc>
                <w:tcPr>
                  <w:tcW w:w="3694" w:type="pct"/>
                  <w:vAlign w:val="center"/>
                </w:tcPr>
                <w:p>
                  <w:pPr>
                    <w:autoSpaceDE w:val="0"/>
                    <w:autoSpaceDN w:val="0"/>
                    <w:adjustRightInd w:val="0"/>
                    <w:snapToGrid w:val="0"/>
                    <w:rPr>
                      <w:sz w:val="18"/>
                      <w:szCs w:val="18"/>
                    </w:rPr>
                  </w:pPr>
                  <w:r>
                    <w:rPr>
                      <w:sz w:val="18"/>
                      <w:szCs w:val="18"/>
                    </w:rPr>
                    <w:t>涉及环境敏感区（不包括饮用水水源保护区，以居住、医疗卫生、文化教育、科研、行政办公为主要功能的区域，以及文物保护单位）的项目</w:t>
                  </w:r>
                </w:p>
              </w:tc>
            </w:tr>
            <w:tr>
              <w:tblPrEx>
                <w:tblW w:w="5000" w:type="pct"/>
                <w:jc w:val="center"/>
                <w:tblCellMar>
                  <w:top w:w="0" w:type="dxa"/>
                  <w:left w:w="0" w:type="dxa"/>
                  <w:bottom w:w="0" w:type="dxa"/>
                  <w:right w:w="0" w:type="dxa"/>
                </w:tblCellMar>
              </w:tblPrEx>
              <w:trPr>
                <w:trHeight w:val="340"/>
                <w:jc w:val="center"/>
              </w:trPr>
              <w:tc>
                <w:tcPr>
                  <w:tcW w:w="1306" w:type="pct"/>
                  <w:vAlign w:val="center"/>
                </w:tcPr>
                <w:p>
                  <w:pPr>
                    <w:autoSpaceDE w:val="0"/>
                    <w:autoSpaceDN w:val="0"/>
                    <w:adjustRightInd w:val="0"/>
                    <w:snapToGrid w:val="0"/>
                    <w:jc w:val="center"/>
                    <w:rPr>
                      <w:sz w:val="18"/>
                      <w:szCs w:val="18"/>
                    </w:rPr>
                  </w:pPr>
                  <w:r>
                    <w:rPr>
                      <w:sz w:val="18"/>
                      <w:szCs w:val="18"/>
                    </w:rPr>
                    <w:t>大气</w:t>
                  </w:r>
                </w:p>
              </w:tc>
              <w:tc>
                <w:tcPr>
                  <w:tcW w:w="3694" w:type="pct"/>
                  <w:vAlign w:val="center"/>
                </w:tcPr>
                <w:p>
                  <w:pPr>
                    <w:autoSpaceDE w:val="0"/>
                    <w:autoSpaceDN w:val="0"/>
                    <w:adjustRightInd w:val="0"/>
                    <w:snapToGrid w:val="0"/>
                    <w:rPr>
                      <w:sz w:val="18"/>
                      <w:szCs w:val="18"/>
                    </w:rPr>
                  </w:pPr>
                  <w:r>
                    <w:rPr>
                      <w:sz w:val="18"/>
                      <w:szCs w:val="18"/>
                    </w:rPr>
                    <w:t>油气、液体化工码头：全部；</w:t>
                  </w:r>
                </w:p>
                <w:p>
                  <w:pPr>
                    <w:autoSpaceDE w:val="0"/>
                    <w:autoSpaceDN w:val="0"/>
                    <w:adjustRightInd w:val="0"/>
                    <w:snapToGrid w:val="0"/>
                    <w:rPr>
                      <w:sz w:val="18"/>
                      <w:szCs w:val="18"/>
                    </w:rPr>
                  </w:pPr>
                  <w:r>
                    <w:rPr>
                      <w:sz w:val="18"/>
                      <w:szCs w:val="18"/>
                    </w:rPr>
                    <w:t>干散货（含煤炭、矿石）、件杂、多用途、通用码头：涉及粉尘、挥发性有机物排放的项目</w:t>
                  </w:r>
                </w:p>
              </w:tc>
            </w:tr>
            <w:tr>
              <w:tblPrEx>
                <w:tblW w:w="5000" w:type="pct"/>
                <w:jc w:val="center"/>
                <w:tblCellMar>
                  <w:top w:w="0" w:type="dxa"/>
                  <w:left w:w="0" w:type="dxa"/>
                  <w:bottom w:w="0" w:type="dxa"/>
                  <w:right w:w="0" w:type="dxa"/>
                </w:tblCellMar>
              </w:tblPrEx>
              <w:trPr>
                <w:trHeight w:val="340"/>
                <w:jc w:val="center"/>
              </w:trPr>
              <w:tc>
                <w:tcPr>
                  <w:tcW w:w="1306" w:type="pct"/>
                  <w:vAlign w:val="center"/>
                </w:tcPr>
                <w:p>
                  <w:pPr>
                    <w:autoSpaceDE w:val="0"/>
                    <w:autoSpaceDN w:val="0"/>
                    <w:adjustRightInd w:val="0"/>
                    <w:snapToGrid w:val="0"/>
                    <w:jc w:val="center"/>
                    <w:rPr>
                      <w:b/>
                      <w:bCs/>
                      <w:sz w:val="18"/>
                      <w:szCs w:val="18"/>
                    </w:rPr>
                  </w:pPr>
                  <w:r>
                    <w:rPr>
                      <w:b/>
                      <w:bCs/>
                      <w:sz w:val="18"/>
                      <w:szCs w:val="18"/>
                    </w:rPr>
                    <w:t>噪声</w:t>
                  </w:r>
                </w:p>
              </w:tc>
              <w:tc>
                <w:tcPr>
                  <w:tcW w:w="3694" w:type="pct"/>
                  <w:vAlign w:val="center"/>
                </w:tcPr>
                <w:p>
                  <w:pPr>
                    <w:autoSpaceDE w:val="0"/>
                    <w:autoSpaceDN w:val="0"/>
                    <w:adjustRightInd w:val="0"/>
                    <w:snapToGrid w:val="0"/>
                    <w:spacing w:after="0"/>
                    <w:rPr>
                      <w:b/>
                      <w:bCs/>
                      <w:sz w:val="18"/>
                      <w:szCs w:val="18"/>
                    </w:rPr>
                  </w:pPr>
                </w:p>
              </w:tc>
            </w:tr>
          </w:tbl>
          <w:p/>
        </w:tc>
      </w:tr>
    </w:tbl>
    <w:p>
      <w:pPr>
        <w:sectPr>
          <w:footerReference w:type="even" r:id="rId8"/>
          <w:footerReference w:type="default" r:id="rId9"/>
          <w:pgSz w:w="11906" w:h="16838"/>
          <w:pgMar w:top="1701" w:right="1531" w:bottom="1701" w:left="1531" w:header="851" w:footer="1077" w:gutter="0"/>
          <w:pgNumType w:fmt="numberInDash" w:start="1"/>
          <w:cols w:num="1" w:space="720"/>
          <w:docGrid w:linePitch="312" w:charSpace="0"/>
        </w:sectPr>
      </w:pP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6869"/>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911"/>
        </w:trPr>
        <w:tc>
          <w:tcPr>
            <w:tcW w:w="2226" w:type="dxa"/>
            <w:tcMar>
              <w:top w:w="16" w:type="dxa"/>
              <w:left w:w="16" w:type="dxa"/>
              <w:right w:w="16" w:type="dxa"/>
            </w:tcMar>
            <w:vAlign w:val="center"/>
          </w:tcPr>
          <w:p/>
        </w:tc>
        <w:tc>
          <w:tcPr>
            <w:tcW w:w="6813" w:type="dxa"/>
            <w:tcMar>
              <w:top w:w="16" w:type="dxa"/>
              <w:left w:w="16" w:type="dxa"/>
              <w:right w:w="16" w:type="dxa"/>
            </w:tcMar>
            <w:vAlign w:val="center"/>
          </w:tcPr>
          <w:tbl>
            <w:tblPr>
              <w:tblStyle w:val="TableNormal"/>
              <w:tblW w:w="5000" w:type="pct"/>
              <w:jc w:val="center"/>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CellMar>
                <w:top w:w="0" w:type="dxa"/>
                <w:left w:w="0" w:type="dxa"/>
                <w:bottom w:w="0" w:type="dxa"/>
                <w:right w:w="0" w:type="dxa"/>
              </w:tblCellMar>
            </w:tblPr>
            <w:tblGrid>
              <w:gridCol w:w="1786"/>
              <w:gridCol w:w="5051"/>
            </w:tblGrid>
            <w:tr>
              <w:tblPrEx>
                <w:tblW w:w="5000" w:type="pct"/>
                <w:jc w:val="center"/>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CellMar>
                  <w:top w:w="0" w:type="dxa"/>
                  <w:left w:w="0" w:type="dxa"/>
                  <w:bottom w:w="0" w:type="dxa"/>
                  <w:right w:w="0" w:type="dxa"/>
                </w:tblCellMar>
              </w:tblPrEx>
              <w:trPr>
                <w:trHeight w:val="340"/>
                <w:jc w:val="center"/>
              </w:trPr>
              <w:tc>
                <w:tcPr>
                  <w:tcW w:w="1306" w:type="pct"/>
                  <w:vAlign w:val="center"/>
                </w:tcPr>
                <w:p/>
              </w:tc>
              <w:tc>
                <w:tcPr>
                  <w:tcW w:w="3694" w:type="pct"/>
                  <w:vAlign w:val="center"/>
                </w:tcPr>
                <w:p>
                  <w:pPr>
                    <w:autoSpaceDE w:val="0"/>
                    <w:autoSpaceDN w:val="0"/>
                    <w:adjustRightInd w:val="0"/>
                    <w:snapToGrid w:val="0"/>
                    <w:spacing w:before="0"/>
                    <w:rPr>
                      <w:b/>
                      <w:bCs/>
                      <w:sz w:val="18"/>
                      <w:szCs w:val="18"/>
                    </w:rPr>
                  </w:pPr>
                  <w:r>
                    <w:rPr>
                      <w:b/>
                      <w:bCs/>
                      <w:sz w:val="18"/>
                      <w:szCs w:val="18"/>
                    </w:rPr>
                    <w:t>公路、铁路、机场等交通运输业涉及环境敏感区（以居住、医疗卫生、文化教育、科研、行政办公为主要功能的区域）的项目；</w:t>
                  </w:r>
                </w:p>
                <w:p>
                  <w:pPr>
                    <w:autoSpaceDE w:val="0"/>
                    <w:autoSpaceDN w:val="0"/>
                    <w:adjustRightInd w:val="0"/>
                    <w:snapToGrid w:val="0"/>
                    <w:rPr>
                      <w:b/>
                      <w:bCs/>
                      <w:sz w:val="18"/>
                      <w:szCs w:val="18"/>
                    </w:rPr>
                  </w:pPr>
                  <w:r>
                    <w:rPr>
                      <w:b/>
                      <w:bCs/>
                      <w:sz w:val="18"/>
                      <w:szCs w:val="18"/>
                    </w:rPr>
                    <w:t>城市道路（不含维护，不含支路、人行天桥、人行地道）：全部</w:t>
                  </w:r>
                </w:p>
              </w:tc>
            </w:tr>
            <w:tr>
              <w:tblPrEx>
                <w:tblW w:w="5000" w:type="pct"/>
                <w:jc w:val="center"/>
                <w:tblCellMar>
                  <w:top w:w="0" w:type="dxa"/>
                  <w:left w:w="0" w:type="dxa"/>
                  <w:bottom w:w="0" w:type="dxa"/>
                  <w:right w:w="0" w:type="dxa"/>
                </w:tblCellMar>
              </w:tblPrEx>
              <w:trPr>
                <w:trHeight w:val="340"/>
                <w:jc w:val="center"/>
              </w:trPr>
              <w:tc>
                <w:tcPr>
                  <w:tcW w:w="1306" w:type="pct"/>
                  <w:vAlign w:val="center"/>
                </w:tcPr>
                <w:p>
                  <w:pPr>
                    <w:autoSpaceDE w:val="0"/>
                    <w:autoSpaceDN w:val="0"/>
                    <w:adjustRightInd w:val="0"/>
                    <w:snapToGrid w:val="0"/>
                    <w:jc w:val="center"/>
                    <w:rPr>
                      <w:sz w:val="18"/>
                      <w:szCs w:val="18"/>
                    </w:rPr>
                  </w:pPr>
                  <w:r>
                    <w:rPr>
                      <w:sz w:val="18"/>
                      <w:szCs w:val="18"/>
                    </w:rPr>
                    <w:t>环境风险</w:t>
                  </w:r>
                </w:p>
              </w:tc>
              <w:tc>
                <w:tcPr>
                  <w:tcW w:w="3694" w:type="pct"/>
                  <w:vAlign w:val="center"/>
                </w:tcPr>
                <w:p>
                  <w:pPr>
                    <w:autoSpaceDE w:val="0"/>
                    <w:autoSpaceDN w:val="0"/>
                    <w:adjustRightInd w:val="0"/>
                    <w:snapToGrid w:val="0"/>
                    <w:rPr>
                      <w:sz w:val="18"/>
                      <w:szCs w:val="18"/>
                    </w:rPr>
                  </w:pPr>
                  <w:r>
                    <w:rPr>
                      <w:sz w:val="18"/>
                      <w:szCs w:val="18"/>
                    </w:rPr>
                    <w:t>石油和天然气开采：全部；油气、液体化工码头：全部；原油、成品油、天然气管线（不含城镇天然气管线、企业厂区内管线），危险化学品输送管线（不含企业厂区内管线）：全部</w:t>
                  </w:r>
                </w:p>
              </w:tc>
            </w:tr>
          </w:tbl>
          <w:p>
            <w:pPr>
              <w:pStyle w:val="0020"/>
              <w:rPr>
                <w:color w:val="auto"/>
              </w:rPr>
            </w:pPr>
          </w:p>
        </w:tc>
      </w:tr>
      <w:tr>
        <w:tblPrEx>
          <w:tblW w:w="9039" w:type="dxa"/>
          <w:tblInd w:w="16" w:type="dxa"/>
          <w:tblCellMar>
            <w:top w:w="0" w:type="dxa"/>
            <w:left w:w="0" w:type="dxa"/>
            <w:bottom w:w="0" w:type="dxa"/>
            <w:right w:w="0" w:type="dxa"/>
          </w:tblCellMar>
        </w:tblPrEx>
        <w:trPr>
          <w:trHeight w:val="911"/>
        </w:trPr>
        <w:tc>
          <w:tcPr>
            <w:tcW w:w="2226" w:type="dxa"/>
            <w:tcMar>
              <w:top w:w="16" w:type="dxa"/>
              <w:left w:w="16" w:type="dxa"/>
              <w:right w:w="16" w:type="dxa"/>
            </w:tcMar>
            <w:vAlign w:val="center"/>
          </w:tcPr>
          <w:p>
            <w:pPr>
              <w:autoSpaceDE w:val="0"/>
              <w:autoSpaceDN w:val="0"/>
              <w:adjustRightInd w:val="0"/>
              <w:snapToGrid w:val="0"/>
              <w:jc w:val="center"/>
              <w:rPr>
                <w:kern w:val="0"/>
                <w:szCs w:val="21"/>
              </w:rPr>
            </w:pPr>
            <w:r>
              <w:rPr>
                <w:szCs w:val="21"/>
              </w:rPr>
              <w:t>规划情况</w:t>
            </w:r>
          </w:p>
        </w:tc>
        <w:tc>
          <w:tcPr>
            <w:tcW w:w="6813" w:type="dxa"/>
            <w:tcMar>
              <w:top w:w="16" w:type="dxa"/>
              <w:left w:w="16" w:type="dxa"/>
              <w:right w:w="16" w:type="dxa"/>
            </w:tcMar>
            <w:vAlign w:val="center"/>
          </w:tcPr>
          <w:p>
            <w:pPr>
              <w:pStyle w:val="003"/>
              <w:ind w:firstLine="420"/>
              <w:rPr>
                <w:color w:val="auto"/>
                <w:shd w:val="clear" w:color="auto" w:fill="FFFFFF"/>
              </w:rPr>
            </w:pPr>
            <w:r>
              <w:rPr>
                <w:color w:val="auto"/>
                <w:shd w:val="clear" w:color="auto" w:fill="FFFFFF"/>
              </w:rPr>
              <w:t>1、《雅安市城市总体规划（2013-2030年</w:t>
            </w:r>
            <w:r>
              <w:rPr>
                <w:rFonts w:hint="eastAsia"/>
                <w:color w:val="auto"/>
                <w:shd w:val="clear" w:color="auto" w:fill="FFFFFF"/>
              </w:rPr>
              <w:t>）</w:t>
            </w:r>
            <w:r>
              <w:rPr>
                <w:color w:val="auto"/>
                <w:shd w:val="clear" w:color="auto" w:fill="FFFFFF"/>
              </w:rPr>
              <w:t>》，四川省人民政府，《关于雅安市城市总体规划的批复》（川府函〔2014〕156号）；</w:t>
            </w:r>
          </w:p>
          <w:p>
            <w:pPr>
              <w:pStyle w:val="003"/>
              <w:ind w:firstLine="420"/>
              <w:rPr>
                <w:color w:val="auto"/>
              </w:rPr>
            </w:pPr>
            <w:r>
              <w:rPr>
                <w:color w:val="auto"/>
                <w:shd w:val="clear" w:color="auto" w:fill="FFFFFF"/>
              </w:rPr>
              <w:t>2、《四川雅安工业园区控制性详细规划》，雅安市人民政府，《关于四川雅安工业园区控制性详细规划的批复》（雅府函〔2012〕259号）。</w:t>
            </w:r>
          </w:p>
        </w:tc>
      </w:tr>
      <w:tr>
        <w:tblPrEx>
          <w:tblW w:w="9039" w:type="dxa"/>
          <w:tblInd w:w="16" w:type="dxa"/>
          <w:tblCellMar>
            <w:top w:w="0" w:type="dxa"/>
            <w:left w:w="0" w:type="dxa"/>
            <w:bottom w:w="0" w:type="dxa"/>
            <w:right w:w="0" w:type="dxa"/>
          </w:tblCellMar>
        </w:tblPrEx>
        <w:trPr>
          <w:trHeight w:val="911"/>
        </w:trPr>
        <w:tc>
          <w:tcPr>
            <w:tcW w:w="2226" w:type="dxa"/>
            <w:tcMar>
              <w:top w:w="16" w:type="dxa"/>
              <w:left w:w="16" w:type="dxa"/>
              <w:right w:w="16" w:type="dxa"/>
            </w:tcMar>
            <w:vAlign w:val="center"/>
          </w:tcPr>
          <w:p>
            <w:pPr>
              <w:autoSpaceDE w:val="0"/>
              <w:autoSpaceDN w:val="0"/>
              <w:adjustRightInd w:val="0"/>
              <w:snapToGrid w:val="0"/>
              <w:jc w:val="center"/>
              <w:rPr>
                <w:szCs w:val="21"/>
              </w:rPr>
            </w:pPr>
            <w:r>
              <w:rPr>
                <w:szCs w:val="21"/>
              </w:rPr>
              <w:t>规划环境影响</w:t>
            </w:r>
          </w:p>
          <w:p>
            <w:pPr>
              <w:autoSpaceDE w:val="0"/>
              <w:autoSpaceDN w:val="0"/>
              <w:adjustRightInd w:val="0"/>
              <w:snapToGrid w:val="0"/>
              <w:jc w:val="center"/>
              <w:rPr>
                <w:kern w:val="0"/>
                <w:szCs w:val="21"/>
              </w:rPr>
            </w:pPr>
            <w:r>
              <w:rPr>
                <w:szCs w:val="21"/>
              </w:rPr>
              <w:t>评价情况</w:t>
            </w:r>
          </w:p>
        </w:tc>
        <w:tc>
          <w:tcPr>
            <w:tcW w:w="6813" w:type="dxa"/>
            <w:tcMar>
              <w:top w:w="16" w:type="dxa"/>
              <w:left w:w="16" w:type="dxa"/>
              <w:right w:w="16" w:type="dxa"/>
            </w:tcMar>
            <w:vAlign w:val="center"/>
          </w:tcPr>
          <w:p>
            <w:pPr>
              <w:pStyle w:val="003"/>
              <w:ind w:firstLine="420"/>
              <w:rPr>
                <w:color w:val="auto"/>
              </w:rPr>
            </w:pPr>
            <w:r>
              <w:rPr>
                <w:color w:val="auto"/>
              </w:rPr>
              <w:t>1、《四川雅安工业园区扩区规划环境影响报告书》，原四川省环境保护厅，关于印发《四川雅安工业园区扩区规划环境影响报告书》审查意见的函（川环建函〔2012〕30号）；</w:t>
            </w:r>
          </w:p>
          <w:p>
            <w:pPr>
              <w:pStyle w:val="003"/>
              <w:ind w:firstLine="420"/>
              <w:rPr>
                <w:color w:val="auto"/>
                <w:kern w:val="0"/>
                <w:szCs w:val="21"/>
              </w:rPr>
            </w:pPr>
            <w:r>
              <w:rPr>
                <w:color w:val="auto"/>
              </w:rPr>
              <w:t>2、《四川雅安经济开发区规划环境影响跟踪评价报告书》，原四川省生态环境厅，《关于四川雅安经济开发区规划环境影响跟踪评价工作意见的函》（川环建函〔2019〕84号）。</w:t>
            </w:r>
          </w:p>
        </w:tc>
      </w:tr>
      <w:tr>
        <w:tblPrEx>
          <w:tblW w:w="9039" w:type="dxa"/>
          <w:tblInd w:w="16" w:type="dxa"/>
          <w:tblCellMar>
            <w:top w:w="0" w:type="dxa"/>
            <w:left w:w="0" w:type="dxa"/>
            <w:bottom w:w="0" w:type="dxa"/>
            <w:right w:w="0" w:type="dxa"/>
          </w:tblCellMar>
        </w:tblPrEx>
        <w:trPr>
          <w:trHeight w:val="1557"/>
        </w:trPr>
        <w:tc>
          <w:tcPr>
            <w:tcW w:w="2226" w:type="dxa"/>
            <w:tcMar>
              <w:top w:w="16" w:type="dxa"/>
              <w:left w:w="16" w:type="dxa"/>
              <w:right w:w="16" w:type="dxa"/>
            </w:tcMar>
            <w:vAlign w:val="center"/>
          </w:tcPr>
          <w:p>
            <w:pPr>
              <w:autoSpaceDE w:val="0"/>
              <w:autoSpaceDN w:val="0"/>
              <w:adjustRightInd w:val="0"/>
              <w:snapToGrid w:val="0"/>
              <w:jc w:val="center"/>
              <w:rPr>
                <w:kern w:val="0"/>
                <w:szCs w:val="21"/>
              </w:rPr>
            </w:pPr>
            <w:r>
              <w:rPr>
                <w:kern w:val="0"/>
                <w:szCs w:val="21"/>
              </w:rPr>
              <w:t>规划及</w:t>
            </w:r>
            <w:r>
              <w:rPr>
                <w:szCs w:val="21"/>
              </w:rPr>
              <w:t>规划环境影响评价</w:t>
            </w:r>
            <w:r>
              <w:rPr>
                <w:kern w:val="0"/>
                <w:szCs w:val="21"/>
              </w:rPr>
              <w:t>符合性分析</w:t>
            </w:r>
          </w:p>
        </w:tc>
        <w:tc>
          <w:tcPr>
            <w:tcW w:w="6813" w:type="dxa"/>
            <w:tcMar>
              <w:top w:w="16" w:type="dxa"/>
              <w:left w:w="16" w:type="dxa"/>
              <w:right w:w="16" w:type="dxa"/>
            </w:tcMar>
            <w:vAlign w:val="center"/>
          </w:tcPr>
          <w:p>
            <w:pPr>
              <w:pStyle w:val="003"/>
              <w:ind w:firstLine="420"/>
              <w:rPr>
                <w:color w:val="auto"/>
              </w:rPr>
            </w:pPr>
            <w:r>
              <w:rPr>
                <w:color w:val="auto"/>
              </w:rPr>
              <w:t>1、与</w:t>
            </w:r>
            <w:r>
              <w:rPr>
                <w:color w:val="auto"/>
                <w:shd w:val="clear" w:color="auto" w:fill="FFFFFF"/>
              </w:rPr>
              <w:t>《雅安市城市总体规划（2013-2030年</w:t>
            </w:r>
            <w:r>
              <w:rPr>
                <w:rFonts w:hint="eastAsia"/>
                <w:color w:val="auto"/>
                <w:shd w:val="clear" w:color="auto" w:fill="FFFFFF"/>
              </w:rPr>
              <w:t>）</w:t>
            </w:r>
            <w:r>
              <w:rPr>
                <w:color w:val="auto"/>
                <w:shd w:val="clear" w:color="auto" w:fill="FFFFFF"/>
              </w:rPr>
              <w:t>》</w:t>
            </w:r>
            <w:r>
              <w:rPr>
                <w:color w:val="auto"/>
              </w:rPr>
              <w:t>符合性分析</w:t>
            </w:r>
          </w:p>
          <w:p>
            <w:pPr>
              <w:pStyle w:val="003"/>
              <w:ind w:firstLine="420"/>
              <w:rPr>
                <w:color w:val="auto"/>
              </w:rPr>
            </w:pPr>
            <w:r>
              <w:rPr>
                <w:color w:val="auto"/>
              </w:rPr>
              <w:t>《雅安市城市总体规划（2013-2030年）》“市域产业发展规划”中提到“工业发展以布局集中、产业集聚、土地集约为原则，形成“一核六园”的工业布局结构：一核：包括雅安国家农业科技园区和国家级工业园区“雅安经济开发区”（包括雅安经济开发区名山片区、永兴片区和</w:t>
            </w:r>
            <w:r>
              <w:rPr>
                <w:rFonts w:hint="eastAsia"/>
                <w:color w:val="auto"/>
                <w:lang w:eastAsia="zh-CN"/>
              </w:rPr>
              <w:t>**</w:t>
            </w:r>
            <w:r>
              <w:rPr>
                <w:color w:val="auto"/>
              </w:rPr>
              <w:t>片区）。六园：包括成雅工业园、天全县工业集中区、荥经县工业集中区、汉源工业园（含甘溪坝工业园和万里工业园）、石棉工业园、芦山县产业集中区”。 本项目为雅安经济开发区</w:t>
            </w:r>
            <w:r>
              <w:rPr>
                <w:rFonts w:hint="eastAsia"/>
                <w:color w:val="auto"/>
                <w:lang w:eastAsia="zh-CN"/>
              </w:rPr>
              <w:t>**</w:t>
            </w:r>
            <w:r>
              <w:rPr>
                <w:color w:val="auto"/>
              </w:rPr>
              <w:t>片区配套道路，符合雅安市城市总体规划要求。</w:t>
            </w:r>
          </w:p>
          <w:p>
            <w:pPr>
              <w:pStyle w:val="003"/>
              <w:ind w:firstLine="420"/>
              <w:rPr>
                <w:color w:val="auto"/>
              </w:rPr>
            </w:pPr>
            <w:r>
              <w:rPr>
                <w:color w:val="auto"/>
              </w:rPr>
              <w:t>2、与</w:t>
            </w:r>
            <w:r>
              <w:rPr>
                <w:color w:val="auto"/>
                <w:shd w:val="clear" w:color="auto" w:fill="FFFFFF"/>
              </w:rPr>
              <w:t>《四川雅安工业园区控制性详细规划》</w:t>
            </w:r>
            <w:r>
              <w:rPr>
                <w:color w:val="auto"/>
              </w:rPr>
              <w:t>符合性分析</w:t>
            </w:r>
          </w:p>
          <w:p>
            <w:pPr>
              <w:pStyle w:val="003"/>
              <w:ind w:firstLine="420"/>
              <w:rPr>
                <w:b/>
                <w:bCs/>
                <w:color w:val="auto"/>
                <w:u w:val="single"/>
                <w:shd w:val="clear" w:color="auto" w:fill="FFFFFF"/>
              </w:rPr>
            </w:pPr>
            <w:r>
              <w:rPr>
                <w:color w:val="auto"/>
                <w:shd w:val="clear" w:color="auto" w:fill="FFFFFF"/>
              </w:rPr>
              <w:t>《四川雅安工业园区控制性详细规划》</w:t>
            </w:r>
            <w:r>
              <w:rPr>
                <w:rFonts w:hint="eastAsia"/>
                <w:color w:val="auto"/>
                <w:shd w:val="clear" w:color="auto" w:fill="FFFFFF"/>
              </w:rPr>
              <w:t>包含本项目，</w:t>
            </w:r>
            <w:r>
              <w:rPr>
                <w:b/>
                <w:bCs/>
                <w:color w:val="auto"/>
                <w:u w:val="single"/>
              </w:rPr>
              <w:t>田湾路为本项目，园区定位为物流道路，衔接项目周边高速路（雅康高速、成渝环线高速）到文教新城货运功能</w:t>
            </w:r>
            <w:r>
              <w:rPr>
                <w:b/>
                <w:bCs/>
                <w:color w:val="auto"/>
                <w:u w:val="single"/>
                <w:lang w:val="zh-CN"/>
              </w:rPr>
              <w:t>，控制性详规中对园区道路提出红线控制要求，田湾路（本项目）道路红线应为20m，本次道路工程建设道路红线与控规要求一致，为20m</w:t>
            </w:r>
            <w:r>
              <w:rPr>
                <w:rFonts w:hint="eastAsia"/>
                <w:b/>
                <w:bCs/>
                <w:color w:val="auto"/>
                <w:u w:val="single"/>
                <w:lang w:val="zh-CN"/>
              </w:rPr>
              <w:t>。本项目满足</w:t>
            </w:r>
            <w:r>
              <w:rPr>
                <w:b/>
                <w:bCs/>
                <w:color w:val="auto"/>
                <w:u w:val="single"/>
                <w:shd w:val="clear" w:color="auto" w:fill="FFFFFF"/>
              </w:rPr>
              <w:t>《四川雅安工业园区控制性详细规划》</w:t>
            </w:r>
            <w:r>
              <w:rPr>
                <w:rFonts w:hint="eastAsia"/>
                <w:b/>
                <w:bCs/>
                <w:color w:val="auto"/>
                <w:u w:val="single"/>
                <w:shd w:val="clear" w:color="auto" w:fill="FFFFFF"/>
              </w:rPr>
              <w:t>对园区道路的管控要求。</w:t>
            </w:r>
          </w:p>
          <w:p>
            <w:pPr>
              <w:pStyle w:val="003"/>
              <w:ind w:firstLine="420"/>
              <w:rPr>
                <w:color w:val="auto"/>
                <w:kern w:val="0"/>
                <w:szCs w:val="21"/>
              </w:rPr>
            </w:pPr>
            <w:r>
              <w:rPr>
                <w:color w:val="auto"/>
                <w:kern w:val="0"/>
                <w:szCs w:val="21"/>
              </w:rPr>
              <w:t>3、与</w:t>
            </w:r>
            <w:r>
              <w:rPr>
                <w:color w:val="auto"/>
              </w:rPr>
              <w:t>《四川雅安经济开发区规划环境影响跟踪评价报告书》符合性分析</w:t>
            </w:r>
          </w:p>
          <w:p>
            <w:pPr>
              <w:pStyle w:val="003"/>
              <w:spacing w:after="0"/>
              <w:ind w:firstLine="420"/>
              <w:rPr>
                <w:color w:val="auto"/>
                <w:kern w:val="0"/>
                <w:szCs w:val="21"/>
              </w:rPr>
            </w:pPr>
          </w:p>
        </w:tc>
      </w:tr>
    </w:tbl>
    <w:p>
      <w:pPr>
        <w:sectPr>
          <w:footerReference w:type="even" r:id="rId10"/>
          <w:footerReference w:type="default" r:id="rId11"/>
          <w:type w:val="nextPage"/>
          <w:pgSz w:w="11906" w:h="16838"/>
          <w:pgMar w:top="1701" w:right="1531" w:bottom="1701" w:left="1531" w:header="851" w:footer="1077" w:gutter="0"/>
          <w:pgNumType w:fmt="numberInDash" w:start="2"/>
          <w:cols w:num="1" w:space="720"/>
          <w:titlePg w:val="0"/>
          <w:docGrid w:linePitch="312" w:charSpace="0"/>
        </w:sectPr>
      </w:pP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6869"/>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1557"/>
        </w:trPr>
        <w:tc>
          <w:tcPr>
            <w:tcW w:w="2226" w:type="dxa"/>
            <w:tcMar>
              <w:top w:w="16" w:type="dxa"/>
              <w:left w:w="16" w:type="dxa"/>
              <w:right w:w="16" w:type="dxa"/>
            </w:tcMar>
            <w:vAlign w:val="center"/>
          </w:tcPr>
          <w:p/>
        </w:tc>
        <w:tc>
          <w:tcPr>
            <w:tcW w:w="6813" w:type="dxa"/>
            <w:tcMar>
              <w:top w:w="16" w:type="dxa"/>
              <w:left w:w="16" w:type="dxa"/>
              <w:right w:w="16" w:type="dxa"/>
            </w:tcMar>
            <w:vAlign w:val="center"/>
          </w:tcPr>
          <w:p>
            <w:pPr>
              <w:pStyle w:val="003"/>
              <w:spacing w:before="0"/>
              <w:ind w:firstLine="420"/>
              <w:rPr>
                <w:color w:val="auto"/>
                <w:kern w:val="0"/>
                <w:szCs w:val="21"/>
              </w:rPr>
            </w:pPr>
            <w:r>
              <w:rPr>
                <w:color w:val="auto"/>
              </w:rPr>
              <w:t>四川雅安经济开发区前身为雅安市生态科技工业园区，成立于2002年，2006年升级为省级园区。2008年，经四川省发改委批准，雅安工业园区在现有规划面积的基础上向成雅高速以南拓展了6.95平方公里，拓展后的规划区面积达8.2平方公里，规划范围为现名山片区。园区拓展后的规划环评由原四川省环境保护局出具了审查意见（川环建[2008]257号）。2010年底，雅安市人民政府决定将</w:t>
            </w:r>
            <w:r>
              <w:rPr>
                <w:rFonts w:hint="eastAsia"/>
                <w:color w:val="auto"/>
                <w:lang w:eastAsia="zh-CN"/>
              </w:rPr>
              <w:t>**</w:t>
            </w:r>
            <w:r>
              <w:rPr>
                <w:color w:val="auto"/>
              </w:rPr>
              <w:t>工业集中区（由雅安市雨城区人民政府以雨府发</w:t>
            </w:r>
            <w:r>
              <w:rPr>
                <w:rFonts w:hint="eastAsia"/>
                <w:color w:val="auto"/>
              </w:rPr>
              <w:t>〔</w:t>
            </w:r>
            <w:r>
              <w:rPr>
                <w:color w:val="auto"/>
              </w:rPr>
              <w:t>2006</w:t>
            </w:r>
            <w:r>
              <w:rPr>
                <w:rFonts w:hint="eastAsia"/>
                <w:color w:val="auto"/>
              </w:rPr>
              <w:t>〕</w:t>
            </w:r>
            <w:r>
              <w:rPr>
                <w:color w:val="auto"/>
              </w:rPr>
              <w:t>39号文批准在</w:t>
            </w:r>
            <w:r>
              <w:rPr>
                <w:rFonts w:hint="eastAsia"/>
                <w:color w:val="auto"/>
                <w:lang w:eastAsia="zh-CN"/>
              </w:rPr>
              <w:t>**</w:t>
            </w:r>
            <w:r>
              <w:rPr>
                <w:color w:val="auto"/>
              </w:rPr>
              <w:t>镇设立，位于</w:t>
            </w:r>
            <w:r>
              <w:rPr>
                <w:rFonts w:hint="eastAsia"/>
                <w:color w:val="auto"/>
                <w:lang w:eastAsia="zh-CN"/>
              </w:rPr>
              <w:t>**</w:t>
            </w:r>
            <w:r>
              <w:rPr>
                <w:color w:val="auto"/>
              </w:rPr>
              <w:t>镇西北侧，规划面积6.68平方公里；规划发展的产业定位为化工建材、机械加工、农林产品加工为主）并入雅安工业园区。</w:t>
            </w:r>
            <w:r>
              <w:rPr>
                <w:color w:val="auto"/>
                <w:kern w:val="0"/>
                <w:szCs w:val="21"/>
              </w:rPr>
              <w:t>雅安工业园区管委会委托编制了《四川雅安工业园区扩区规划》和《四川雅安工业园区扩区规划环评》。2012年2月，扩区规划环评由原四川省环境保护厅出具了审查意见（川环建函</w:t>
            </w:r>
            <w:r>
              <w:rPr>
                <w:rFonts w:hint="eastAsia"/>
                <w:color w:val="auto"/>
                <w:kern w:val="0"/>
                <w:szCs w:val="21"/>
              </w:rPr>
              <w:t>〔</w:t>
            </w:r>
            <w:r>
              <w:rPr>
                <w:color w:val="auto"/>
                <w:kern w:val="0"/>
                <w:szCs w:val="21"/>
              </w:rPr>
              <w:t>2012</w:t>
            </w:r>
            <w:r>
              <w:rPr>
                <w:rFonts w:hint="eastAsia"/>
                <w:color w:val="auto"/>
                <w:kern w:val="0"/>
                <w:szCs w:val="21"/>
              </w:rPr>
              <w:t>〕</w:t>
            </w:r>
            <w:r>
              <w:rPr>
                <w:color w:val="auto"/>
                <w:kern w:val="0"/>
                <w:szCs w:val="21"/>
              </w:rPr>
              <w:t>30号）。川雅安经济开发区规划面积22.12km</w:t>
            </w:r>
            <w:r>
              <w:rPr>
                <w:color w:val="auto"/>
                <w:kern w:val="0"/>
                <w:szCs w:val="21"/>
                <w:vertAlign w:val="superscript"/>
              </w:rPr>
              <w:t>2</w:t>
            </w:r>
            <w:r>
              <w:rPr>
                <w:color w:val="auto"/>
                <w:kern w:val="0"/>
                <w:szCs w:val="21"/>
              </w:rPr>
              <w:t>，其中名山片区5.839 km</w:t>
            </w:r>
            <w:r>
              <w:rPr>
                <w:color w:val="auto"/>
                <w:kern w:val="0"/>
                <w:szCs w:val="21"/>
                <w:vertAlign w:val="superscript"/>
              </w:rPr>
              <w:t>2</w:t>
            </w:r>
            <w:r>
              <w:rPr>
                <w:color w:val="auto"/>
                <w:kern w:val="0"/>
                <w:szCs w:val="21"/>
              </w:rPr>
              <w:t>、永兴片区10.5016 km</w:t>
            </w:r>
            <w:r>
              <w:rPr>
                <w:color w:val="auto"/>
                <w:kern w:val="0"/>
                <w:szCs w:val="21"/>
                <w:vertAlign w:val="superscript"/>
              </w:rPr>
              <w:t>2</w:t>
            </w:r>
            <w:r>
              <w:rPr>
                <w:color w:val="auto"/>
                <w:kern w:val="0"/>
                <w:szCs w:val="21"/>
              </w:rPr>
              <w:t>、</w:t>
            </w:r>
            <w:r>
              <w:rPr>
                <w:rFonts w:hint="eastAsia"/>
                <w:color w:val="auto"/>
                <w:kern w:val="0"/>
                <w:szCs w:val="21"/>
                <w:lang w:eastAsia="zh-CN"/>
              </w:rPr>
              <w:t>**</w:t>
            </w:r>
            <w:r>
              <w:rPr>
                <w:color w:val="auto"/>
                <w:kern w:val="0"/>
                <w:szCs w:val="21"/>
              </w:rPr>
              <w:t>片区5.792 km</w:t>
            </w:r>
            <w:r>
              <w:rPr>
                <w:color w:val="auto"/>
                <w:kern w:val="0"/>
                <w:szCs w:val="21"/>
                <w:vertAlign w:val="superscript"/>
              </w:rPr>
              <w:t>2</w:t>
            </w:r>
            <w:r>
              <w:rPr>
                <w:color w:val="auto"/>
                <w:kern w:val="0"/>
                <w:szCs w:val="21"/>
              </w:rPr>
              <w:t>，园区跟踪规划环评于2019年12月经四川省生态环境厅以《关于四川雅安经济开发区规划环境影响跟踪评价工作意见的函》（川环建函〔2019〕84号）审查通过。本项目位于</w:t>
            </w:r>
            <w:r>
              <w:rPr>
                <w:rFonts w:hint="eastAsia"/>
                <w:color w:val="auto"/>
                <w:kern w:val="0"/>
                <w:szCs w:val="21"/>
                <w:lang w:eastAsia="zh-CN"/>
              </w:rPr>
              <w:t>**</w:t>
            </w:r>
            <w:r>
              <w:rPr>
                <w:color w:val="auto"/>
                <w:kern w:val="0"/>
                <w:szCs w:val="21"/>
              </w:rPr>
              <w:t>片区，根据《四川雅安经济开发区规划环境影响跟踪评价报告书》及《关于四川雅安经济开发区规划环境影响跟踪评价工作意见的函》（川环建函〔2019〕84号），项目与四川雅安经济开发区规划及规划环评符合性见下表。</w:t>
            </w:r>
          </w:p>
          <w:p>
            <w:pPr>
              <w:pStyle w:val="051"/>
              <w:rPr>
                <w:color w:val="auto"/>
              </w:rPr>
            </w:pPr>
            <w:r>
              <w:rPr>
                <w:color w:val="auto"/>
              </w:rPr>
              <w:t>表1-2  与四川雅安经济开发区规划及《四川雅安经济开发区规划环境影响跟踪评价报告书》符合性分析一览表</w:t>
            </w:r>
          </w:p>
          <w:tbl>
            <w:tblPr>
              <w:tblStyle w:val="TableNormal"/>
              <w:tblW w:w="6548" w:type="dxa"/>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164"/>
              <w:gridCol w:w="2833"/>
              <w:gridCol w:w="1560"/>
              <w:gridCol w:w="991"/>
            </w:tblGrid>
            <w:tr>
              <w:tblPrEx>
                <w:tblW w:w="6548" w:type="dxa"/>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1164" w:type="dxa"/>
                  <w:shd w:val="clear" w:color="auto" w:fill="auto"/>
                  <w:vAlign w:val="center"/>
                </w:tcPr>
                <w:p>
                  <w:pPr>
                    <w:pStyle w:val="003"/>
                    <w:spacing w:line="240" w:lineRule="auto"/>
                    <w:ind w:firstLine="0" w:firstLineChars="0"/>
                    <w:jc w:val="center"/>
                    <w:rPr>
                      <w:color w:val="auto"/>
                      <w:kern w:val="0"/>
                      <w:szCs w:val="21"/>
                    </w:rPr>
                  </w:pPr>
                  <w:r>
                    <w:rPr>
                      <w:color w:val="auto"/>
                      <w:kern w:val="0"/>
                      <w:szCs w:val="21"/>
                    </w:rPr>
                    <w:t>分析类别</w:t>
                  </w:r>
                </w:p>
              </w:tc>
              <w:tc>
                <w:tcPr>
                  <w:tcW w:w="2833" w:type="dxa"/>
                  <w:shd w:val="clear" w:color="auto" w:fill="auto"/>
                  <w:vAlign w:val="center"/>
                </w:tcPr>
                <w:p>
                  <w:pPr>
                    <w:pStyle w:val="003"/>
                    <w:spacing w:line="240" w:lineRule="auto"/>
                    <w:ind w:firstLine="0" w:firstLineChars="0"/>
                    <w:jc w:val="center"/>
                    <w:rPr>
                      <w:color w:val="auto"/>
                      <w:kern w:val="0"/>
                      <w:szCs w:val="21"/>
                    </w:rPr>
                  </w:pPr>
                  <w:r>
                    <w:rPr>
                      <w:color w:val="auto"/>
                      <w:kern w:val="0"/>
                      <w:szCs w:val="21"/>
                    </w:rPr>
                    <w:t>规划、规划环评及规划环评批复要求</w:t>
                  </w:r>
                </w:p>
              </w:tc>
              <w:tc>
                <w:tcPr>
                  <w:tcW w:w="1560" w:type="dxa"/>
                  <w:shd w:val="clear" w:color="auto" w:fill="auto"/>
                  <w:vAlign w:val="center"/>
                </w:tcPr>
                <w:p>
                  <w:pPr>
                    <w:pStyle w:val="003"/>
                    <w:spacing w:line="240" w:lineRule="auto"/>
                    <w:ind w:firstLine="0" w:firstLineChars="0"/>
                    <w:jc w:val="center"/>
                    <w:rPr>
                      <w:color w:val="auto"/>
                      <w:kern w:val="0"/>
                      <w:szCs w:val="21"/>
                    </w:rPr>
                  </w:pPr>
                  <w:r>
                    <w:rPr>
                      <w:rFonts w:hint="eastAsia"/>
                      <w:color w:val="auto"/>
                      <w:kern w:val="0"/>
                      <w:szCs w:val="21"/>
                    </w:rPr>
                    <w:t>本项目情况</w:t>
                  </w:r>
                </w:p>
              </w:tc>
              <w:tc>
                <w:tcPr>
                  <w:tcW w:w="991" w:type="dxa"/>
                  <w:vAlign w:val="center"/>
                </w:tcPr>
                <w:p>
                  <w:pPr>
                    <w:pStyle w:val="003"/>
                    <w:spacing w:line="240" w:lineRule="auto"/>
                    <w:ind w:firstLine="0" w:firstLineChars="0"/>
                    <w:jc w:val="center"/>
                    <w:rPr>
                      <w:color w:val="auto"/>
                      <w:kern w:val="0"/>
                      <w:szCs w:val="21"/>
                    </w:rPr>
                  </w:pPr>
                  <w:r>
                    <w:rPr>
                      <w:color w:val="auto"/>
                      <w:kern w:val="0"/>
                      <w:szCs w:val="21"/>
                    </w:rPr>
                    <w:t>符合性分析</w:t>
                  </w:r>
                </w:p>
              </w:tc>
            </w:tr>
            <w:tr>
              <w:tblPrEx>
                <w:tblW w:w="6548" w:type="dxa"/>
                <w:tblInd w:w="0" w:type="dxa"/>
                <w:tblCellMar>
                  <w:top w:w="0" w:type="dxa"/>
                  <w:left w:w="108" w:type="dxa"/>
                  <w:bottom w:w="0" w:type="dxa"/>
                  <w:right w:w="108" w:type="dxa"/>
                </w:tblCellMar>
              </w:tblPrEx>
              <w:tc>
                <w:tcPr>
                  <w:tcW w:w="1164" w:type="dxa"/>
                  <w:shd w:val="clear" w:color="auto" w:fill="auto"/>
                  <w:vAlign w:val="center"/>
                </w:tcPr>
                <w:p>
                  <w:pPr>
                    <w:pStyle w:val="003"/>
                    <w:spacing w:line="240" w:lineRule="auto"/>
                    <w:ind w:firstLine="0" w:firstLineChars="0"/>
                    <w:jc w:val="center"/>
                    <w:rPr>
                      <w:color w:val="auto"/>
                      <w:kern w:val="0"/>
                      <w:szCs w:val="21"/>
                    </w:rPr>
                  </w:pPr>
                  <w:r>
                    <w:rPr>
                      <w:rFonts w:hint="eastAsia"/>
                      <w:color w:val="auto"/>
                      <w:kern w:val="0"/>
                      <w:szCs w:val="21"/>
                    </w:rPr>
                    <w:t>建设道路配套雨污管网要求</w:t>
                  </w:r>
                </w:p>
              </w:tc>
              <w:tc>
                <w:tcPr>
                  <w:tcW w:w="2833" w:type="dxa"/>
                  <w:shd w:val="clear" w:color="auto" w:fill="auto"/>
                  <w:vAlign w:val="center"/>
                </w:tcPr>
                <w:p>
                  <w:pPr>
                    <w:pStyle w:val="003"/>
                    <w:spacing w:line="240" w:lineRule="auto"/>
                    <w:ind w:firstLine="0" w:firstLineChars="0"/>
                    <w:jc w:val="center"/>
                    <w:rPr>
                      <w:color w:val="auto"/>
                      <w:kern w:val="0"/>
                      <w:szCs w:val="21"/>
                    </w:rPr>
                  </w:pPr>
                  <w:r>
                    <w:rPr>
                      <w:rFonts w:hint="eastAsia"/>
                      <w:color w:val="auto"/>
                      <w:kern w:val="0"/>
                      <w:szCs w:val="21"/>
                    </w:rPr>
                    <w:t>在道路建设过程中，应同时配套实施园区雨水、污水管网以及提升泵的建设，确保整个园区的污水收集和处理工作的建设进度。</w:t>
                  </w:r>
                </w:p>
              </w:tc>
              <w:tc>
                <w:tcPr>
                  <w:tcW w:w="1560" w:type="dxa"/>
                  <w:shd w:val="clear" w:color="auto" w:fill="auto"/>
                  <w:vAlign w:val="center"/>
                </w:tcPr>
                <w:p>
                  <w:pPr>
                    <w:pStyle w:val="003"/>
                    <w:spacing w:line="240" w:lineRule="auto"/>
                    <w:ind w:firstLine="0" w:firstLineChars="0"/>
                    <w:jc w:val="center"/>
                    <w:rPr>
                      <w:color w:val="auto"/>
                      <w:kern w:val="0"/>
                      <w:szCs w:val="21"/>
                    </w:rPr>
                  </w:pPr>
                  <w:r>
                    <w:rPr>
                      <w:color w:val="auto"/>
                      <w:kern w:val="0"/>
                      <w:szCs w:val="21"/>
                    </w:rPr>
                    <w:t>本项目</w:t>
                  </w:r>
                  <w:r>
                    <w:rPr>
                      <w:rFonts w:hint="eastAsia"/>
                      <w:color w:val="auto"/>
                      <w:kern w:val="0"/>
                      <w:szCs w:val="21"/>
                    </w:rPr>
                    <w:t>建设过程中，同步建设雨污管网，与龙洲路、永兴路已建管网相衔接，同时预留规划道路管网衔接接口</w:t>
                  </w:r>
                </w:p>
              </w:tc>
              <w:tc>
                <w:tcPr>
                  <w:tcW w:w="991" w:type="dxa"/>
                  <w:vAlign w:val="center"/>
                </w:tcPr>
                <w:p>
                  <w:pPr>
                    <w:pStyle w:val="003"/>
                    <w:spacing w:line="240" w:lineRule="auto"/>
                    <w:ind w:firstLine="0" w:firstLineChars="0"/>
                    <w:jc w:val="center"/>
                    <w:rPr>
                      <w:color w:val="auto"/>
                      <w:kern w:val="0"/>
                      <w:szCs w:val="21"/>
                    </w:rPr>
                  </w:pPr>
                  <w:r>
                    <w:rPr>
                      <w:rFonts w:hint="eastAsia"/>
                      <w:color w:val="auto"/>
                      <w:kern w:val="0"/>
                      <w:szCs w:val="21"/>
                    </w:rPr>
                    <w:t>符合</w:t>
                  </w:r>
                </w:p>
              </w:tc>
            </w:tr>
            <w:tr>
              <w:tblPrEx>
                <w:tblW w:w="6548" w:type="dxa"/>
                <w:tblInd w:w="0" w:type="dxa"/>
                <w:tblCellMar>
                  <w:top w:w="0" w:type="dxa"/>
                  <w:left w:w="108" w:type="dxa"/>
                  <w:bottom w:w="0" w:type="dxa"/>
                  <w:right w:w="108" w:type="dxa"/>
                </w:tblCellMar>
              </w:tblPrEx>
              <w:tc>
                <w:tcPr>
                  <w:tcW w:w="1164" w:type="dxa"/>
                  <w:shd w:val="clear" w:color="auto" w:fill="auto"/>
                  <w:vAlign w:val="center"/>
                </w:tcPr>
                <w:p>
                  <w:pPr>
                    <w:pStyle w:val="003"/>
                    <w:spacing w:line="240" w:lineRule="auto"/>
                    <w:ind w:firstLine="0" w:firstLineChars="0"/>
                    <w:jc w:val="center"/>
                    <w:rPr>
                      <w:color w:val="auto"/>
                      <w:kern w:val="0"/>
                      <w:szCs w:val="21"/>
                    </w:rPr>
                  </w:pPr>
                  <w:r>
                    <w:rPr>
                      <w:rFonts w:hint="eastAsia"/>
                      <w:color w:val="auto"/>
                      <w:kern w:val="0"/>
                      <w:szCs w:val="21"/>
                    </w:rPr>
                    <w:t>深化城市道路扬尘防治</w:t>
                  </w:r>
                </w:p>
              </w:tc>
              <w:tc>
                <w:tcPr>
                  <w:tcW w:w="2833" w:type="dxa"/>
                  <w:shd w:val="clear" w:color="auto" w:fill="auto"/>
                  <w:vAlign w:val="center"/>
                </w:tcPr>
                <w:p>
                  <w:pPr>
                    <w:pStyle w:val="003"/>
                    <w:spacing w:line="240" w:lineRule="auto"/>
                    <w:ind w:firstLine="0" w:firstLineChars="0"/>
                    <w:jc w:val="center"/>
                    <w:rPr>
                      <w:color w:val="auto"/>
                      <w:kern w:val="0"/>
                      <w:szCs w:val="21"/>
                    </w:rPr>
                  </w:pPr>
                  <w:r>
                    <w:rPr>
                      <w:rFonts w:hint="eastAsia"/>
                      <w:color w:val="auto"/>
                      <w:kern w:val="0"/>
                      <w:szCs w:val="21"/>
                    </w:rPr>
                    <w:t>采用绿化和硬化相结合的方式，减少城市道路两侧裸土面积；加强道路清扫保洁。</w:t>
                  </w:r>
                </w:p>
              </w:tc>
              <w:tc>
                <w:tcPr>
                  <w:tcW w:w="1560" w:type="dxa"/>
                  <w:shd w:val="clear" w:color="auto" w:fill="auto"/>
                  <w:vAlign w:val="center"/>
                </w:tcPr>
                <w:p>
                  <w:pPr>
                    <w:pStyle w:val="003"/>
                    <w:spacing w:line="240" w:lineRule="auto"/>
                    <w:ind w:firstLine="0" w:firstLineChars="0"/>
                    <w:jc w:val="center"/>
                    <w:rPr>
                      <w:color w:val="auto"/>
                      <w:kern w:val="0"/>
                      <w:szCs w:val="21"/>
                    </w:rPr>
                  </w:pPr>
                  <w:r>
                    <w:rPr>
                      <w:rFonts w:hint="eastAsia"/>
                      <w:color w:val="auto"/>
                      <w:kern w:val="0"/>
                      <w:szCs w:val="21"/>
                    </w:rPr>
                    <w:t>本项目主体设计道路两侧设置香樟树，合理布置绿化，运营期加强管理进行清扫</w:t>
                  </w:r>
                </w:p>
              </w:tc>
              <w:tc>
                <w:tcPr>
                  <w:tcW w:w="991" w:type="dxa"/>
                  <w:vAlign w:val="center"/>
                </w:tcPr>
                <w:p>
                  <w:pPr>
                    <w:pStyle w:val="003"/>
                    <w:spacing w:line="240" w:lineRule="auto"/>
                    <w:ind w:firstLine="0" w:firstLineChars="0"/>
                    <w:jc w:val="center"/>
                    <w:rPr>
                      <w:color w:val="auto"/>
                      <w:kern w:val="0"/>
                      <w:szCs w:val="21"/>
                    </w:rPr>
                  </w:pPr>
                  <w:r>
                    <w:rPr>
                      <w:rFonts w:hint="eastAsia"/>
                      <w:color w:val="auto"/>
                      <w:kern w:val="0"/>
                      <w:szCs w:val="21"/>
                    </w:rPr>
                    <w:t>符合</w:t>
                  </w:r>
                </w:p>
              </w:tc>
            </w:tr>
            <w:tr>
              <w:tblPrEx>
                <w:tblW w:w="6548" w:type="dxa"/>
                <w:tblInd w:w="0" w:type="dxa"/>
                <w:tblCellMar>
                  <w:top w:w="0" w:type="dxa"/>
                  <w:left w:w="108" w:type="dxa"/>
                  <w:bottom w:w="0" w:type="dxa"/>
                  <w:right w:w="108" w:type="dxa"/>
                </w:tblCellMar>
              </w:tblPrEx>
              <w:tc>
                <w:tcPr>
                  <w:tcW w:w="1164" w:type="dxa"/>
                  <w:shd w:val="clear" w:color="auto" w:fill="auto"/>
                  <w:vAlign w:val="center"/>
                </w:tcPr>
                <w:p>
                  <w:pPr>
                    <w:pStyle w:val="003"/>
                    <w:spacing w:line="240" w:lineRule="auto"/>
                    <w:ind w:firstLine="0" w:firstLineChars="0"/>
                    <w:jc w:val="center"/>
                    <w:rPr>
                      <w:color w:val="auto"/>
                      <w:kern w:val="0"/>
                      <w:szCs w:val="21"/>
                    </w:rPr>
                  </w:pPr>
                  <w:r>
                    <w:rPr>
                      <w:rFonts w:hint="eastAsia"/>
                      <w:color w:val="auto"/>
                      <w:kern w:val="0"/>
                      <w:szCs w:val="21"/>
                    </w:rPr>
                    <w:t>声环境保护措施</w:t>
                  </w:r>
                </w:p>
              </w:tc>
              <w:tc>
                <w:tcPr>
                  <w:tcW w:w="2833" w:type="dxa"/>
                  <w:shd w:val="clear" w:color="auto" w:fill="auto"/>
                  <w:vAlign w:val="center"/>
                </w:tcPr>
                <w:p>
                  <w:pPr>
                    <w:pStyle w:val="003"/>
                    <w:spacing w:line="240" w:lineRule="auto"/>
                    <w:ind w:firstLine="0" w:firstLineChars="0"/>
                    <w:jc w:val="center"/>
                    <w:rPr>
                      <w:color w:val="auto"/>
                      <w:kern w:val="0"/>
                      <w:szCs w:val="21"/>
                    </w:rPr>
                  </w:pPr>
                  <w:r>
                    <w:rPr>
                      <w:rFonts w:hint="eastAsia"/>
                      <w:color w:val="auto"/>
                      <w:kern w:val="0"/>
                      <w:szCs w:val="21"/>
                    </w:rPr>
                    <w:t>对城市道路敏感地段实行限速、禁止鸣笛、规定车流量</w:t>
                  </w:r>
                </w:p>
              </w:tc>
              <w:tc>
                <w:tcPr>
                  <w:tcW w:w="1560" w:type="dxa"/>
                  <w:shd w:val="clear" w:color="auto" w:fill="auto"/>
                  <w:vAlign w:val="center"/>
                </w:tcPr>
                <w:p>
                  <w:pPr>
                    <w:pStyle w:val="003"/>
                    <w:spacing w:line="240" w:lineRule="auto"/>
                    <w:ind w:firstLine="0" w:firstLineChars="0"/>
                    <w:jc w:val="center"/>
                    <w:rPr>
                      <w:color w:val="auto"/>
                      <w:kern w:val="0"/>
                      <w:szCs w:val="21"/>
                    </w:rPr>
                  </w:pPr>
                  <w:r>
                    <w:rPr>
                      <w:rFonts w:hint="eastAsia"/>
                      <w:color w:val="auto"/>
                      <w:kern w:val="0"/>
                      <w:szCs w:val="21"/>
                    </w:rPr>
                    <w:t>本项目限速4</w:t>
                  </w:r>
                  <w:r>
                    <w:rPr>
                      <w:color w:val="auto"/>
                      <w:kern w:val="0"/>
                      <w:szCs w:val="21"/>
                    </w:rPr>
                    <w:t>0</w:t>
                  </w:r>
                  <w:r>
                    <w:rPr>
                      <w:rFonts w:hint="eastAsia"/>
                      <w:color w:val="auto"/>
                      <w:kern w:val="0"/>
                      <w:szCs w:val="21"/>
                    </w:rPr>
                    <w:t>km</w:t>
                  </w:r>
                  <w:r>
                    <w:rPr>
                      <w:color w:val="auto"/>
                      <w:kern w:val="0"/>
                      <w:szCs w:val="21"/>
                    </w:rPr>
                    <w:t>/h</w:t>
                  </w:r>
                  <w:r>
                    <w:rPr>
                      <w:rFonts w:hint="eastAsia"/>
                      <w:color w:val="auto"/>
                      <w:kern w:val="0"/>
                      <w:szCs w:val="21"/>
                    </w:rPr>
                    <w:t>，敏感路段禁止鸣笛</w:t>
                  </w:r>
                </w:p>
              </w:tc>
              <w:tc>
                <w:tcPr>
                  <w:tcW w:w="991" w:type="dxa"/>
                  <w:vAlign w:val="center"/>
                </w:tcPr>
                <w:p>
                  <w:pPr>
                    <w:pStyle w:val="003"/>
                    <w:spacing w:line="240" w:lineRule="auto"/>
                    <w:ind w:firstLine="0" w:firstLineChars="0"/>
                    <w:jc w:val="center"/>
                    <w:rPr>
                      <w:color w:val="auto"/>
                      <w:kern w:val="0"/>
                      <w:szCs w:val="21"/>
                    </w:rPr>
                  </w:pPr>
                  <w:r>
                    <w:rPr>
                      <w:rFonts w:hint="eastAsia"/>
                      <w:color w:val="auto"/>
                      <w:kern w:val="0"/>
                      <w:szCs w:val="21"/>
                    </w:rPr>
                    <w:t>符合</w:t>
                  </w:r>
                </w:p>
              </w:tc>
            </w:tr>
          </w:tbl>
          <w:p>
            <w:pPr>
              <w:pStyle w:val="003"/>
              <w:spacing w:after="0"/>
              <w:ind w:firstLine="420"/>
              <w:rPr>
                <w:color w:val="auto"/>
                <w:kern w:val="0"/>
              </w:rPr>
            </w:pPr>
            <w:r>
              <w:rPr>
                <w:color w:val="auto"/>
              </w:rPr>
              <w:t>综上，本项目符合《雅安市城市总体规划（2013-2030年</w:t>
            </w:r>
            <w:r>
              <w:rPr>
                <w:rFonts w:hint="eastAsia"/>
                <w:color w:val="auto"/>
              </w:rPr>
              <w:t>）</w:t>
            </w:r>
          </w:p>
        </w:tc>
      </w:tr>
    </w:tbl>
    <w:p>
      <w:pPr>
        <w:sectPr>
          <w:footerReference w:type="even" r:id="rId12"/>
          <w:footerReference w:type="default" r:id="rId13"/>
          <w:type w:val="nextPage"/>
          <w:pgSz w:w="11906" w:h="16838"/>
          <w:pgMar w:top="1701" w:right="1531" w:bottom="1701" w:left="1531" w:header="851" w:footer="1077" w:gutter="0"/>
          <w:pgNumType w:fmt="numberInDash" w:start="3"/>
          <w:cols w:num="1" w:space="720"/>
          <w:titlePg w:val="0"/>
          <w:docGrid w:linePitch="312" w:charSpace="0"/>
        </w:sectPr>
      </w:pP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6869"/>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1557"/>
        </w:trPr>
        <w:tc>
          <w:tcPr>
            <w:tcW w:w="2226" w:type="dxa"/>
            <w:tcMar>
              <w:top w:w="16" w:type="dxa"/>
              <w:left w:w="16" w:type="dxa"/>
              <w:right w:w="16" w:type="dxa"/>
            </w:tcMar>
            <w:vAlign w:val="center"/>
          </w:tcPr>
          <w:p/>
        </w:tc>
        <w:tc>
          <w:tcPr>
            <w:tcW w:w="6813" w:type="dxa"/>
            <w:tcMar>
              <w:top w:w="16" w:type="dxa"/>
              <w:left w:w="16" w:type="dxa"/>
              <w:right w:w="16" w:type="dxa"/>
            </w:tcMar>
            <w:vAlign w:val="center"/>
          </w:tcPr>
          <w:p>
            <w:pPr>
              <w:pStyle w:val="003"/>
              <w:spacing w:before="0"/>
              <w:ind w:firstLine="420"/>
              <w:rPr>
                <w:color w:val="auto"/>
                <w:kern w:val="0"/>
              </w:rPr>
            </w:pPr>
            <w:r>
              <w:rPr>
                <w:color w:val="auto"/>
              </w:rPr>
              <w:t>》、《四川雅安工业园区控制性详细规划》</w:t>
            </w:r>
            <w:r>
              <w:rPr>
                <w:color w:val="auto"/>
                <w:kern w:val="0"/>
                <w:szCs w:val="21"/>
              </w:rPr>
              <w:t>等相关规划定位</w:t>
            </w:r>
            <w:r>
              <w:rPr>
                <w:color w:val="auto"/>
              </w:rPr>
              <w:t>及</w:t>
            </w:r>
            <w:r>
              <w:rPr>
                <w:color w:val="auto"/>
                <w:kern w:val="0"/>
                <w:szCs w:val="21"/>
              </w:rPr>
              <w:t>《四川雅安经济开发区规划环境影响跟踪评价报告书》、《关于四川雅安经济开发区规划环境影响跟踪评价工作意见的函》（川环建函〔2019〕84号）中相关</w:t>
            </w:r>
            <w:r>
              <w:rPr>
                <w:color w:val="auto"/>
              </w:rPr>
              <w:t>要求。</w:t>
            </w:r>
          </w:p>
        </w:tc>
      </w:tr>
      <w:tr>
        <w:tblPrEx>
          <w:tblW w:w="9039" w:type="dxa"/>
          <w:tblInd w:w="16" w:type="dxa"/>
          <w:tblCellMar>
            <w:top w:w="0" w:type="dxa"/>
            <w:left w:w="0" w:type="dxa"/>
            <w:bottom w:w="0" w:type="dxa"/>
            <w:right w:w="0" w:type="dxa"/>
          </w:tblCellMar>
        </w:tblPrEx>
        <w:trPr>
          <w:trHeight w:val="8905"/>
        </w:trPr>
        <w:tc>
          <w:tcPr>
            <w:tcW w:w="2226" w:type="dxa"/>
            <w:tcMar>
              <w:top w:w="16" w:type="dxa"/>
              <w:left w:w="16" w:type="dxa"/>
              <w:right w:w="16" w:type="dxa"/>
            </w:tcMar>
            <w:vAlign w:val="center"/>
          </w:tcPr>
          <w:p>
            <w:pPr>
              <w:autoSpaceDE w:val="0"/>
              <w:autoSpaceDN w:val="0"/>
              <w:adjustRightInd w:val="0"/>
              <w:snapToGrid w:val="0"/>
              <w:jc w:val="center"/>
              <w:rPr>
                <w:kern w:val="0"/>
                <w:szCs w:val="21"/>
              </w:rPr>
            </w:pPr>
            <w:bookmarkStart w:id="3" w:name="_Hlk56690880"/>
            <w:r>
              <w:rPr>
                <w:kern w:val="0"/>
                <w:szCs w:val="21"/>
              </w:rPr>
              <w:t>其他符合性分析</w:t>
            </w:r>
            <w:bookmarkEnd w:id="3"/>
          </w:p>
        </w:tc>
        <w:tc>
          <w:tcPr>
            <w:tcW w:w="6813" w:type="dxa"/>
            <w:tcMar>
              <w:top w:w="16" w:type="dxa"/>
              <w:left w:w="16" w:type="dxa"/>
              <w:right w:w="16" w:type="dxa"/>
            </w:tcMar>
            <w:vAlign w:val="center"/>
          </w:tcPr>
          <w:p>
            <w:pPr>
              <w:pStyle w:val="040"/>
            </w:pPr>
            <w:r>
              <w:t>一、产业政策符合性分析</w:t>
            </w:r>
          </w:p>
          <w:p>
            <w:pPr>
              <w:pStyle w:val="003"/>
              <w:ind w:firstLine="420"/>
              <w:rPr>
                <w:color w:val="auto"/>
              </w:rPr>
            </w:pPr>
            <w:r>
              <w:rPr>
                <w:color w:val="auto"/>
              </w:rPr>
              <w:t>本项目属于《国民经济行业分类》GB/T4754-2017中</w:t>
            </w:r>
            <w:r>
              <w:rPr>
                <w:b/>
                <w:bCs/>
                <w:i/>
                <w:iCs/>
                <w:color w:val="auto"/>
              </w:rPr>
              <w:t>“E建筑业  4819 铁路、道路、隧道和桥梁工程建筑”</w:t>
            </w:r>
            <w:r>
              <w:rPr>
                <w:color w:val="auto"/>
              </w:rPr>
              <w:t>类项目。按照国家发展和改革委员会第29号令《产业结构调整指导目录</w:t>
            </w:r>
            <w:r>
              <w:rPr>
                <w:rFonts w:hint="eastAsia"/>
                <w:color w:val="auto"/>
              </w:rPr>
              <w:t>（2</w:t>
            </w:r>
            <w:r>
              <w:rPr>
                <w:color w:val="auto"/>
              </w:rPr>
              <w:t>019</w:t>
            </w:r>
            <w:r>
              <w:rPr>
                <w:rFonts w:hint="eastAsia"/>
                <w:color w:val="auto"/>
              </w:rPr>
              <w:t>年本）</w:t>
            </w:r>
            <w:r>
              <w:rPr>
                <w:color w:val="auto"/>
              </w:rPr>
              <w:t>》</w:t>
            </w:r>
            <w:r>
              <w:rPr>
                <w:rFonts w:hint="eastAsia"/>
                <w:color w:val="auto"/>
              </w:rPr>
              <w:t>（2</w:t>
            </w:r>
            <w:r>
              <w:rPr>
                <w:color w:val="auto"/>
              </w:rPr>
              <w:t>021</w:t>
            </w:r>
            <w:r>
              <w:rPr>
                <w:rFonts w:hint="eastAsia"/>
                <w:color w:val="auto"/>
              </w:rPr>
              <w:t>年修正），</w:t>
            </w:r>
            <w:r>
              <w:rPr>
                <w:color w:val="auto"/>
              </w:rPr>
              <w:t>本项目中的市政道路建设属于其中鼓励类第二十二项“城镇基础设施”中第4条“城市道路及智能交通体系建设”。</w:t>
            </w:r>
          </w:p>
          <w:p>
            <w:pPr>
              <w:pStyle w:val="003"/>
              <w:ind w:firstLine="420"/>
              <w:rPr>
                <w:color w:val="auto"/>
              </w:rPr>
            </w:pPr>
            <w:r>
              <w:rPr>
                <w:color w:val="auto"/>
                <w:kern w:val="0"/>
              </w:rPr>
              <w:t>同时</w:t>
            </w:r>
            <w:r>
              <w:rPr>
                <w:color w:val="auto"/>
              </w:rPr>
              <w:t>雅安市雨城区发展和改革局以《雅安市雨城区发展和改革局关于《雅安文教新城基础设施及功能配套建设项目</w:t>
            </w:r>
            <w:r>
              <w:rPr>
                <w:rFonts w:hint="eastAsia"/>
                <w:color w:val="auto"/>
              </w:rPr>
              <w:t>（</w:t>
            </w:r>
            <w:r>
              <w:rPr>
                <w:color w:val="auto"/>
              </w:rPr>
              <w:t>二期）可行性研究报告》的批复》（</w:t>
            </w:r>
            <w:r>
              <w:rPr>
                <w:rFonts w:hint="eastAsia"/>
                <w:color w:val="auto"/>
                <w:lang w:eastAsia="zh-CN"/>
              </w:rPr>
              <w:t>雨发改审批[2021]***</w:t>
            </w:r>
            <w:r>
              <w:rPr>
                <w:color w:val="auto"/>
              </w:rPr>
              <w:t>号）、《雅安市雨城区发展和改革局关于雅安文教新城基础设施及功能配套建设项目</w:t>
            </w:r>
            <w:r>
              <w:rPr>
                <w:rFonts w:hint="eastAsia"/>
                <w:color w:val="auto"/>
              </w:rPr>
              <w:t>（</w:t>
            </w:r>
            <w:r>
              <w:rPr>
                <w:color w:val="auto"/>
              </w:rPr>
              <w:t>二期）一标段配套道路工程初步设计概算的批复》（雨发改投资</w:t>
            </w:r>
            <w:r>
              <w:rPr>
                <w:rFonts w:hint="eastAsia"/>
                <w:color w:val="auto"/>
              </w:rPr>
              <w:t>〔</w:t>
            </w:r>
            <w:r>
              <w:rPr>
                <w:color w:val="auto"/>
              </w:rPr>
              <w:t>2021</w:t>
            </w:r>
            <w:r>
              <w:rPr>
                <w:rFonts w:hint="eastAsia"/>
                <w:color w:val="auto"/>
              </w:rPr>
              <w:t>〕</w:t>
            </w:r>
            <w:r>
              <w:rPr>
                <w:color w:val="auto"/>
              </w:rPr>
              <w:t>25号）、《雅安市雨城区发展和改革局关于雅安文教新城基础设施及功能配套建设项目</w:t>
            </w:r>
            <w:r>
              <w:rPr>
                <w:rFonts w:hint="eastAsia"/>
                <w:color w:val="auto"/>
              </w:rPr>
              <w:t>（</w:t>
            </w:r>
            <w:r>
              <w:rPr>
                <w:color w:val="auto"/>
              </w:rPr>
              <w:t>二期</w:t>
            </w:r>
            <w:r>
              <w:rPr>
                <w:rFonts w:hint="eastAsia"/>
                <w:color w:val="auto"/>
              </w:rPr>
              <w:t>）</w:t>
            </w:r>
            <w:r>
              <w:rPr>
                <w:color w:val="auto"/>
              </w:rPr>
              <w:t>项目建议书的批复》（雨发改投资</w:t>
            </w:r>
            <w:r>
              <w:rPr>
                <w:rFonts w:hint="eastAsia"/>
                <w:color w:val="auto"/>
              </w:rPr>
              <w:t>〔</w:t>
            </w:r>
            <w:r>
              <w:rPr>
                <w:color w:val="auto"/>
              </w:rPr>
              <w:t>2021</w:t>
            </w:r>
            <w:r>
              <w:rPr>
                <w:rFonts w:hint="eastAsia"/>
                <w:color w:val="auto"/>
              </w:rPr>
              <w:t>〕</w:t>
            </w:r>
            <w:r>
              <w:rPr>
                <w:color w:val="auto"/>
              </w:rPr>
              <w:t>60号）等文件同意该项目的建设。</w:t>
            </w:r>
          </w:p>
          <w:p>
            <w:pPr>
              <w:pStyle w:val="003"/>
              <w:ind w:firstLine="420"/>
              <w:rPr>
                <w:color w:val="auto"/>
              </w:rPr>
            </w:pPr>
            <w:r>
              <w:rPr>
                <w:color w:val="auto"/>
              </w:rPr>
              <w:t>因此，本项目建设符合国家现行相关产业政策。</w:t>
            </w:r>
          </w:p>
          <w:p>
            <w:pPr>
              <w:pStyle w:val="041"/>
            </w:pPr>
            <w:r>
              <w:t>二、用地符合性分析</w:t>
            </w:r>
          </w:p>
          <w:p>
            <w:pPr>
              <w:pStyle w:val="003"/>
              <w:ind w:firstLine="420"/>
              <w:rPr>
                <w:color w:val="auto"/>
              </w:rPr>
            </w:pPr>
            <w:r>
              <w:rPr>
                <w:color w:val="auto"/>
              </w:rPr>
              <w:t>本项目为雅安文教新城基础设施及功能配套建设项目（二期）一标段配套道路工程，为《</w:t>
            </w:r>
            <w:r>
              <w:rPr>
                <w:color w:val="auto"/>
                <w:kern w:val="0"/>
                <w:szCs w:val="21"/>
              </w:rPr>
              <w:t>四川雅安工业园区扩区规划》</w:t>
            </w:r>
            <w:r>
              <w:rPr>
                <w:color w:val="auto"/>
              </w:rPr>
              <w:t>《四川雅安经济开发区（芦天宝飞地园区）控制性详细规划》规划包含内容，</w:t>
            </w:r>
            <w:r>
              <w:rPr>
                <w:color w:val="auto"/>
                <w:u w:val="single"/>
              </w:rPr>
              <w:t>本项目为《四川雅安经济开发区（芦天宝飞地园区）控制性详细规划》中</w:t>
            </w:r>
            <w:r>
              <w:rPr>
                <w:b/>
                <w:bCs/>
                <w:color w:val="auto"/>
                <w:u w:val="single"/>
              </w:rPr>
              <w:t>田湾路</w:t>
            </w:r>
            <w:r>
              <w:rPr>
                <w:color w:val="auto"/>
                <w:u w:val="single"/>
              </w:rPr>
              <w:t>，田湾路主要服务于周边汽车产业组团，兼顾服务</w:t>
            </w:r>
            <w:r>
              <w:rPr>
                <w:rFonts w:hint="eastAsia"/>
                <w:color w:val="auto"/>
                <w:u w:val="single"/>
                <w:lang w:eastAsia="zh-CN"/>
              </w:rPr>
              <w:t>**</w:t>
            </w:r>
            <w:r>
              <w:rPr>
                <w:color w:val="auto"/>
                <w:u w:val="single"/>
              </w:rPr>
              <w:t>片区的生活性物流</w:t>
            </w:r>
            <w:r>
              <w:rPr>
                <w:color w:val="auto"/>
              </w:rPr>
              <w:t>。</w:t>
            </w:r>
          </w:p>
          <w:p>
            <w:pPr>
              <w:pStyle w:val="003"/>
              <w:ind w:firstLine="420"/>
              <w:rPr>
                <w:color w:val="auto"/>
              </w:rPr>
            </w:pPr>
            <w:r>
              <w:rPr>
                <w:color w:val="auto"/>
              </w:rPr>
              <w:t>雅安市自然资源和规划局出具了《建设项目用地预审与选址意见书》（</w:t>
            </w:r>
            <w:r>
              <w:rPr>
                <w:rFonts w:hint="eastAsia"/>
                <w:color w:val="auto"/>
                <w:lang w:eastAsia="zh-CN"/>
              </w:rPr>
              <w:t>用字第511801-2022-1*****号</w:t>
            </w:r>
            <w:r>
              <w:rPr>
                <w:color w:val="auto"/>
              </w:rPr>
              <w:t>）同意本项目的建设，本项目的建设符合国土空间管制要求，建设位置为雅安市雨城区</w:t>
            </w:r>
            <w:r>
              <w:rPr>
                <w:rFonts w:hint="eastAsia"/>
                <w:color w:val="auto"/>
                <w:lang w:eastAsia="zh-CN"/>
              </w:rPr>
              <w:t>**</w:t>
            </w:r>
            <w:r>
              <w:rPr>
                <w:color w:val="auto"/>
              </w:rPr>
              <w:t>镇石碑田村，拟用地面积61401m</w:t>
            </w:r>
            <w:r>
              <w:rPr>
                <w:color w:val="auto"/>
                <w:vertAlign w:val="superscript"/>
              </w:rPr>
              <w:t>2</w:t>
            </w:r>
            <w:r>
              <w:rPr>
                <w:color w:val="auto"/>
              </w:rPr>
              <w:t>。</w:t>
            </w:r>
          </w:p>
          <w:p>
            <w:pPr>
              <w:pStyle w:val="003"/>
              <w:ind w:firstLine="420"/>
              <w:rPr>
                <w:color w:val="auto"/>
              </w:rPr>
            </w:pPr>
            <w:r>
              <w:rPr>
                <w:color w:val="auto"/>
              </w:rPr>
              <w:t>因此本项目符合当地土地利用规划。</w:t>
            </w:r>
          </w:p>
          <w:p>
            <w:pPr>
              <w:pStyle w:val="041"/>
            </w:pPr>
            <w:r>
              <w:t>三、与国家及四川省有关长江经济带保护文件符合性分析</w:t>
            </w:r>
          </w:p>
          <w:p>
            <w:pPr>
              <w:pStyle w:val="003"/>
              <w:spacing w:after="0"/>
              <w:ind w:firstLine="420"/>
              <w:rPr>
                <w:color w:val="auto"/>
              </w:rPr>
            </w:pPr>
            <w:r>
              <w:rPr>
                <w:color w:val="auto"/>
              </w:rPr>
              <w:t>本项目位于雅安经开区</w:t>
            </w:r>
            <w:r>
              <w:rPr>
                <w:rFonts w:hint="eastAsia"/>
                <w:color w:val="auto"/>
                <w:lang w:eastAsia="zh-CN"/>
              </w:rPr>
              <w:t>**</w:t>
            </w:r>
          </w:p>
        </w:tc>
      </w:tr>
    </w:tbl>
    <w:p>
      <w:pPr>
        <w:sectPr>
          <w:footerReference w:type="even" r:id="rId14"/>
          <w:footerReference w:type="default" r:id="rId15"/>
          <w:type w:val="nextPage"/>
          <w:pgSz w:w="11906" w:h="16838"/>
          <w:pgMar w:top="1701" w:right="1531" w:bottom="1701" w:left="1531" w:header="851" w:footer="1077" w:gutter="0"/>
          <w:pgNumType w:fmt="numberInDash" w:start="4"/>
          <w:cols w:num="1" w:space="720"/>
          <w:titlePg w:val="0"/>
          <w:docGrid w:linePitch="312" w:charSpace="0"/>
        </w:sectPr>
      </w:pP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6869"/>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8905"/>
        </w:trPr>
        <w:tc>
          <w:tcPr>
            <w:tcW w:w="2226" w:type="dxa"/>
            <w:tcMar>
              <w:top w:w="16" w:type="dxa"/>
              <w:left w:w="16" w:type="dxa"/>
              <w:right w:w="16" w:type="dxa"/>
            </w:tcMar>
            <w:vAlign w:val="center"/>
          </w:tcPr>
          <w:p/>
        </w:tc>
        <w:tc>
          <w:tcPr>
            <w:tcW w:w="6813" w:type="dxa"/>
            <w:tcMar>
              <w:top w:w="16" w:type="dxa"/>
              <w:left w:w="16" w:type="dxa"/>
              <w:right w:w="16" w:type="dxa"/>
            </w:tcMar>
            <w:vAlign w:val="center"/>
          </w:tcPr>
          <w:p>
            <w:pPr>
              <w:pStyle w:val="003"/>
              <w:spacing w:before="0"/>
              <w:ind w:firstLine="420"/>
              <w:rPr>
                <w:color w:val="auto"/>
              </w:rPr>
            </w:pPr>
            <w:r>
              <w:rPr>
                <w:color w:val="auto"/>
              </w:rPr>
              <w:t>片区内，雅安经开区位于长江支流青衣江沿岸，属于既有园区。经分析，项目的建设与《关于加强长江黄金水道环境污染防控治理的指导意见》（发改环资〔2016〕370号）、《长江经济带生态环境保护规划》（环规财〔2017〕88号）、《关于发布长江经济带发展负面清单指南（试行，2022年版）的通知》（长江办</w:t>
            </w:r>
            <w:r>
              <w:rPr>
                <w:rFonts w:hint="eastAsia"/>
                <w:color w:val="auto"/>
              </w:rPr>
              <w:t>〔</w:t>
            </w:r>
            <w:r>
              <w:rPr>
                <w:color w:val="auto"/>
              </w:rPr>
              <w:t>2022</w:t>
            </w:r>
            <w:r>
              <w:rPr>
                <w:rFonts w:hint="eastAsia"/>
                <w:color w:val="auto"/>
              </w:rPr>
              <w:t>〕</w:t>
            </w:r>
            <w:r>
              <w:rPr>
                <w:color w:val="auto"/>
              </w:rPr>
              <w:t>7号）、《中华人民共和国长江保护法》的相关要求相符。具体符合性分析见下表所示。</w:t>
            </w:r>
          </w:p>
          <w:p>
            <w:pPr>
              <w:pStyle w:val="0020"/>
              <w:rPr>
                <w:color w:val="auto"/>
              </w:rPr>
            </w:pPr>
            <w:r>
              <w:rPr>
                <w:color w:val="auto"/>
              </w:rPr>
              <w:t>表1-3  本项目与国家及四川省有关长江经济带保护文件符合性分析</w:t>
            </w:r>
          </w:p>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301"/>
              <w:gridCol w:w="3119"/>
              <w:gridCol w:w="1701"/>
              <w:gridCol w:w="645"/>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1301" w:type="dxa"/>
                  <w:shd w:val="clear" w:color="auto" w:fill="auto"/>
                  <w:vAlign w:val="center"/>
                </w:tcPr>
                <w:p>
                  <w:pPr>
                    <w:pStyle w:val="010"/>
                    <w:spacing w:line="240" w:lineRule="auto"/>
                    <w:rPr>
                      <w:b w:val="0"/>
                      <w:bCs w:val="0"/>
                      <w:szCs w:val="21"/>
                    </w:rPr>
                  </w:pPr>
                  <w:r>
                    <w:rPr>
                      <w:b w:val="0"/>
                      <w:bCs w:val="0"/>
                      <w:szCs w:val="21"/>
                    </w:rPr>
                    <w:t>长江经济带保护相关文件</w:t>
                  </w:r>
                </w:p>
              </w:tc>
              <w:tc>
                <w:tcPr>
                  <w:tcW w:w="3119" w:type="dxa"/>
                  <w:shd w:val="clear" w:color="auto" w:fill="auto"/>
                  <w:vAlign w:val="center"/>
                </w:tcPr>
                <w:p>
                  <w:pPr>
                    <w:pStyle w:val="010"/>
                    <w:spacing w:line="240" w:lineRule="auto"/>
                    <w:rPr>
                      <w:b w:val="0"/>
                      <w:bCs w:val="0"/>
                      <w:szCs w:val="21"/>
                    </w:rPr>
                  </w:pPr>
                  <w:r>
                    <w:rPr>
                      <w:b w:val="0"/>
                      <w:bCs w:val="0"/>
                      <w:szCs w:val="21"/>
                    </w:rPr>
                    <w:t>相关要求</w:t>
                  </w:r>
                </w:p>
              </w:tc>
              <w:tc>
                <w:tcPr>
                  <w:tcW w:w="1701" w:type="dxa"/>
                  <w:shd w:val="clear" w:color="auto" w:fill="auto"/>
                  <w:vAlign w:val="center"/>
                </w:tcPr>
                <w:p>
                  <w:pPr>
                    <w:pStyle w:val="010"/>
                    <w:spacing w:line="240" w:lineRule="auto"/>
                    <w:rPr>
                      <w:b w:val="0"/>
                      <w:bCs w:val="0"/>
                      <w:szCs w:val="21"/>
                    </w:rPr>
                  </w:pPr>
                  <w:r>
                    <w:rPr>
                      <w:b w:val="0"/>
                      <w:bCs w:val="0"/>
                      <w:szCs w:val="21"/>
                    </w:rPr>
                    <w:t>本项目情况</w:t>
                  </w:r>
                </w:p>
              </w:tc>
              <w:tc>
                <w:tcPr>
                  <w:tcW w:w="645" w:type="dxa"/>
                  <w:shd w:val="clear" w:color="auto" w:fill="auto"/>
                  <w:vAlign w:val="center"/>
                </w:tcPr>
                <w:p>
                  <w:pPr>
                    <w:pStyle w:val="010"/>
                    <w:spacing w:line="240" w:lineRule="auto"/>
                    <w:rPr>
                      <w:b w:val="0"/>
                      <w:bCs w:val="0"/>
                      <w:szCs w:val="21"/>
                    </w:rPr>
                  </w:pPr>
                  <w:r>
                    <w:rPr>
                      <w:b w:val="0"/>
                      <w:bCs w:val="0"/>
                      <w:szCs w:val="21"/>
                    </w:rPr>
                    <w:t>符合性</w:t>
                  </w:r>
                </w:p>
              </w:tc>
            </w:tr>
            <w:tr>
              <w:tblPrEx>
                <w:tblW w:w="0" w:type="auto"/>
                <w:tblInd w:w="0" w:type="dxa"/>
                <w:tblCellMar>
                  <w:top w:w="0" w:type="dxa"/>
                  <w:left w:w="108" w:type="dxa"/>
                  <w:bottom w:w="0" w:type="dxa"/>
                  <w:right w:w="108" w:type="dxa"/>
                </w:tblCellMar>
              </w:tblPrEx>
              <w:tc>
                <w:tcPr>
                  <w:tcW w:w="1301" w:type="dxa"/>
                  <w:shd w:val="clear" w:color="auto" w:fill="auto"/>
                  <w:vAlign w:val="center"/>
                </w:tcPr>
                <w:p>
                  <w:pPr>
                    <w:pStyle w:val="010"/>
                    <w:spacing w:line="240" w:lineRule="auto"/>
                    <w:rPr>
                      <w:b w:val="0"/>
                      <w:bCs w:val="0"/>
                      <w:szCs w:val="21"/>
                    </w:rPr>
                  </w:pPr>
                  <w:r>
                    <w:rPr>
                      <w:b w:val="0"/>
                      <w:bCs w:val="0"/>
                      <w:szCs w:val="21"/>
                    </w:rPr>
                    <w:t>关于加强长江黄金水道环境污染防控治理的指导意见（发改环资〔2016〕370号）</w:t>
                  </w:r>
                </w:p>
              </w:tc>
              <w:tc>
                <w:tcPr>
                  <w:tcW w:w="3119" w:type="dxa"/>
                  <w:shd w:val="clear" w:color="auto" w:fill="auto"/>
                  <w:vAlign w:val="center"/>
                </w:tcPr>
                <w:p>
                  <w:pPr>
                    <w:pStyle w:val="010"/>
                    <w:spacing w:line="240" w:lineRule="auto"/>
                    <w:rPr>
                      <w:b w:val="0"/>
                      <w:bCs w:val="0"/>
                      <w:szCs w:val="21"/>
                    </w:rPr>
                  </w:pPr>
                  <w:r>
                    <w:rPr>
                      <w:b w:val="0"/>
                      <w:bCs w:val="0"/>
                      <w:szCs w:val="21"/>
                    </w:rPr>
                    <w:t>除在建项目外，严禁在干流及主要支流岸线 1 公里范围内新建布局重化工园区，严控在中上游沿岸地区新建石油化工和煤化工项目。 ……</w:t>
                  </w:r>
                </w:p>
              </w:tc>
              <w:tc>
                <w:tcPr>
                  <w:tcW w:w="1701" w:type="dxa"/>
                  <w:vMerge w:val="restart"/>
                  <w:shd w:val="clear" w:color="auto" w:fill="auto"/>
                  <w:vAlign w:val="center"/>
                </w:tcPr>
                <w:p>
                  <w:pPr>
                    <w:pStyle w:val="010"/>
                    <w:spacing w:line="240" w:lineRule="auto"/>
                    <w:rPr>
                      <w:b w:val="0"/>
                      <w:bCs w:val="0"/>
                      <w:szCs w:val="21"/>
                    </w:rPr>
                  </w:pPr>
                  <w:r>
                    <w:rPr>
                      <w:b w:val="0"/>
                      <w:bCs w:val="0"/>
                      <w:szCs w:val="21"/>
                    </w:rPr>
                    <w:t>项目不属于石化、化工、医药等行业，同时也未列入《环境保护综合名录（2021年版）》“高污染”产品名录内，运营期采取了严格的三废治理措施。</w:t>
                  </w:r>
                </w:p>
              </w:tc>
              <w:tc>
                <w:tcPr>
                  <w:tcW w:w="645" w:type="dxa"/>
                  <w:shd w:val="clear" w:color="auto" w:fill="auto"/>
                  <w:vAlign w:val="center"/>
                </w:tcPr>
                <w:p>
                  <w:pPr>
                    <w:pStyle w:val="010"/>
                    <w:spacing w:line="240" w:lineRule="auto"/>
                    <w:rPr>
                      <w:b w:val="0"/>
                      <w:bCs w:val="0"/>
                      <w:szCs w:val="21"/>
                    </w:rPr>
                  </w:pPr>
                  <w:r>
                    <w:rPr>
                      <w:b w:val="0"/>
                      <w:bCs w:val="0"/>
                      <w:szCs w:val="21"/>
                    </w:rPr>
                    <w:t>不涉及</w:t>
                  </w:r>
                </w:p>
              </w:tc>
            </w:tr>
            <w:tr>
              <w:tblPrEx>
                <w:tblW w:w="0" w:type="auto"/>
                <w:tblInd w:w="0" w:type="dxa"/>
                <w:tblCellMar>
                  <w:top w:w="0" w:type="dxa"/>
                  <w:left w:w="108" w:type="dxa"/>
                  <w:bottom w:w="0" w:type="dxa"/>
                  <w:right w:w="108" w:type="dxa"/>
                </w:tblCellMar>
              </w:tblPrEx>
              <w:tc>
                <w:tcPr>
                  <w:tcW w:w="1301" w:type="dxa"/>
                  <w:shd w:val="clear" w:color="auto" w:fill="auto"/>
                  <w:vAlign w:val="center"/>
                </w:tcPr>
                <w:p>
                  <w:pPr>
                    <w:pStyle w:val="010"/>
                    <w:spacing w:line="240" w:lineRule="auto"/>
                    <w:rPr>
                      <w:b w:val="0"/>
                      <w:bCs w:val="0"/>
                      <w:szCs w:val="21"/>
                    </w:rPr>
                  </w:pPr>
                  <w:r>
                    <w:rPr>
                      <w:b w:val="0"/>
                      <w:bCs w:val="0"/>
                      <w:szCs w:val="21"/>
                    </w:rPr>
                    <w:t>长江经济带生态环境保护规划（环规财〔2017〕88 号）</w:t>
                  </w:r>
                </w:p>
              </w:tc>
              <w:tc>
                <w:tcPr>
                  <w:tcW w:w="3119" w:type="dxa"/>
                  <w:shd w:val="clear" w:color="auto" w:fill="auto"/>
                  <w:vAlign w:val="center"/>
                </w:tcPr>
                <w:p>
                  <w:pPr>
                    <w:widowControl/>
                    <w:jc w:val="center"/>
                    <w:rPr>
                      <w:b/>
                      <w:bCs/>
                      <w:szCs w:val="21"/>
                    </w:rPr>
                  </w:pPr>
                  <w:r>
                    <w:rPr>
                      <w:rStyle w:val="fontstyle01"/>
                      <w:rFonts w:ascii="Times New Roman" w:hAnsi="Times New Roman" w:hint="default"/>
                      <w:color w:val="auto"/>
                      <w:sz w:val="21"/>
                      <w:szCs w:val="21"/>
                    </w:rPr>
                    <w:t>除在建项目外，严禁在长江干流及主要支流岸线</w:t>
                  </w:r>
                  <w:r>
                    <w:rPr>
                      <w:rStyle w:val="fontstyle21"/>
                      <w:rFonts w:ascii="Times New Roman" w:hAnsi="Times New Roman"/>
                      <w:color w:val="auto"/>
                      <w:sz w:val="21"/>
                      <w:szCs w:val="21"/>
                    </w:rPr>
                    <w:t>1</w:t>
                  </w:r>
                  <w:r>
                    <w:rPr>
                      <w:rStyle w:val="fontstyle01"/>
                      <w:rFonts w:ascii="Times New Roman" w:hAnsi="Times New Roman" w:hint="default"/>
                      <w:color w:val="auto"/>
                      <w:sz w:val="21"/>
                      <w:szCs w:val="21"/>
                    </w:rPr>
                    <w:t>公里范围内布局新建重化工园区，严控在中上游沿岸地区新建石油化工和煤化工项目。严控下游高污染、高排放企业向上游转移。同时该规划指出，长江主要支流界定为：金沙江、雅砻江、大渡河、岷江、沱江、嘉陵江（含涪江、渠江）、湘江、汉江、赣江</w:t>
                  </w:r>
                </w:p>
              </w:tc>
              <w:tc>
                <w:tcPr>
                  <w:tcW w:w="1701" w:type="dxa"/>
                  <w:vMerge/>
                  <w:shd w:val="clear" w:color="auto" w:fill="auto"/>
                  <w:vAlign w:val="center"/>
                </w:tcPr>
                <w:p>
                  <w:pPr>
                    <w:pStyle w:val="010"/>
                    <w:spacing w:line="240" w:lineRule="auto"/>
                    <w:rPr>
                      <w:b w:val="0"/>
                      <w:bCs w:val="0"/>
                      <w:szCs w:val="21"/>
                    </w:rPr>
                  </w:pPr>
                </w:p>
              </w:tc>
              <w:tc>
                <w:tcPr>
                  <w:tcW w:w="645" w:type="dxa"/>
                  <w:shd w:val="clear" w:color="auto" w:fill="auto"/>
                  <w:vAlign w:val="center"/>
                </w:tcPr>
                <w:p>
                  <w:pPr>
                    <w:pStyle w:val="010"/>
                    <w:spacing w:line="240" w:lineRule="auto"/>
                    <w:rPr>
                      <w:b w:val="0"/>
                      <w:bCs w:val="0"/>
                      <w:szCs w:val="21"/>
                    </w:rPr>
                  </w:pPr>
                  <w:r>
                    <w:rPr>
                      <w:b w:val="0"/>
                      <w:bCs w:val="0"/>
                      <w:szCs w:val="21"/>
                    </w:rPr>
                    <w:t>不涉及</w:t>
                  </w:r>
                </w:p>
              </w:tc>
            </w:tr>
            <w:tr>
              <w:tblPrEx>
                <w:tblW w:w="0" w:type="auto"/>
                <w:tblInd w:w="0" w:type="dxa"/>
                <w:tblCellMar>
                  <w:top w:w="0" w:type="dxa"/>
                  <w:left w:w="108" w:type="dxa"/>
                  <w:bottom w:w="0" w:type="dxa"/>
                  <w:right w:w="108" w:type="dxa"/>
                </w:tblCellMar>
              </w:tblPrEx>
              <w:tc>
                <w:tcPr>
                  <w:tcW w:w="1301" w:type="dxa"/>
                  <w:vMerge w:val="restart"/>
                  <w:shd w:val="clear" w:color="auto" w:fill="auto"/>
                  <w:vAlign w:val="center"/>
                </w:tcPr>
                <w:p>
                  <w:pPr>
                    <w:pStyle w:val="010"/>
                    <w:spacing w:line="240" w:lineRule="auto"/>
                    <w:rPr>
                      <w:b w:val="0"/>
                      <w:bCs w:val="0"/>
                      <w:szCs w:val="21"/>
                    </w:rPr>
                  </w:pPr>
                  <w:r>
                    <w:rPr>
                      <w:b w:val="0"/>
                      <w:bCs w:val="0"/>
                      <w:szCs w:val="21"/>
                    </w:rPr>
                    <w:t>《关于发布长江经济带发展负面清单指南（试行，2022</w:t>
                  </w:r>
                </w:p>
                <w:p>
                  <w:pPr>
                    <w:pStyle w:val="010"/>
                    <w:spacing w:line="240" w:lineRule="auto"/>
                    <w:rPr>
                      <w:b w:val="0"/>
                      <w:bCs w:val="0"/>
                      <w:szCs w:val="21"/>
                    </w:rPr>
                  </w:pPr>
                  <w:r>
                    <w:rPr>
                      <w:b w:val="0"/>
                      <w:bCs w:val="0"/>
                      <w:szCs w:val="21"/>
                    </w:rPr>
                    <w:t>年版）的通知》（长江办</w:t>
                  </w:r>
                  <w:r>
                    <w:rPr>
                      <w:rFonts w:hint="eastAsia"/>
                      <w:b w:val="0"/>
                      <w:bCs w:val="0"/>
                      <w:szCs w:val="21"/>
                    </w:rPr>
                    <w:t>〔</w:t>
                  </w:r>
                  <w:r>
                    <w:rPr>
                      <w:b w:val="0"/>
                      <w:bCs w:val="0"/>
                      <w:szCs w:val="21"/>
                    </w:rPr>
                    <w:t>2022</w:t>
                  </w:r>
                  <w:r>
                    <w:rPr>
                      <w:rFonts w:hint="eastAsia"/>
                      <w:b w:val="0"/>
                      <w:bCs w:val="0"/>
                      <w:szCs w:val="21"/>
                    </w:rPr>
                    <w:t>〕</w:t>
                  </w:r>
                  <w:r>
                    <w:rPr>
                      <w:b w:val="0"/>
                      <w:bCs w:val="0"/>
                      <w:szCs w:val="21"/>
                    </w:rPr>
                    <w:t>7号）</w:t>
                  </w:r>
                </w:p>
              </w:tc>
              <w:tc>
                <w:tcPr>
                  <w:tcW w:w="3119" w:type="dxa"/>
                  <w:shd w:val="clear" w:color="auto" w:fill="auto"/>
                  <w:vAlign w:val="center"/>
                </w:tcPr>
                <w:p>
                  <w:pPr>
                    <w:widowControl/>
                    <w:jc w:val="center"/>
                    <w:rPr>
                      <w:b/>
                      <w:bCs/>
                      <w:szCs w:val="21"/>
                    </w:rPr>
                  </w:pPr>
                  <w:r>
                    <w:rPr>
                      <w:rStyle w:val="fontstyle01"/>
                      <w:rFonts w:ascii="Times New Roman" w:hAnsi="Times New Roman" w:hint="default"/>
                      <w:color w:val="auto"/>
                      <w:sz w:val="21"/>
                      <w:szCs w:val="21"/>
                    </w:rPr>
                    <w:t>禁止在长江干支流、重要湖泊岸线公里范围内新建、扩建化工园区和化工项目。禁止在长江干流岸线 3 公里范围内和重要支流岸线一公里范围内新建、改建、扩建尾矿库、冶炼渣库和磷石膏库，以提升安全、生态环境保护水平为目的的改建除外</w:t>
                  </w:r>
                </w:p>
              </w:tc>
              <w:tc>
                <w:tcPr>
                  <w:tcW w:w="1701" w:type="dxa"/>
                  <w:vMerge/>
                  <w:shd w:val="clear" w:color="auto" w:fill="auto"/>
                  <w:vAlign w:val="center"/>
                </w:tcPr>
                <w:p>
                  <w:pPr>
                    <w:pStyle w:val="010"/>
                    <w:spacing w:line="240" w:lineRule="auto"/>
                    <w:rPr>
                      <w:b w:val="0"/>
                      <w:bCs w:val="0"/>
                      <w:szCs w:val="21"/>
                    </w:rPr>
                  </w:pPr>
                </w:p>
              </w:tc>
              <w:tc>
                <w:tcPr>
                  <w:tcW w:w="645" w:type="dxa"/>
                  <w:shd w:val="clear" w:color="auto" w:fill="auto"/>
                  <w:vAlign w:val="center"/>
                </w:tcPr>
                <w:p>
                  <w:pPr>
                    <w:pStyle w:val="010"/>
                    <w:spacing w:line="240" w:lineRule="auto"/>
                    <w:rPr>
                      <w:b w:val="0"/>
                      <w:bCs w:val="0"/>
                      <w:szCs w:val="21"/>
                    </w:rPr>
                  </w:pPr>
                  <w:r>
                    <w:rPr>
                      <w:b w:val="0"/>
                      <w:bCs w:val="0"/>
                      <w:szCs w:val="21"/>
                    </w:rPr>
                    <w:t>不涉及</w:t>
                  </w:r>
                </w:p>
              </w:tc>
            </w:tr>
            <w:tr>
              <w:tblPrEx>
                <w:tblW w:w="0" w:type="auto"/>
                <w:tblInd w:w="0" w:type="dxa"/>
                <w:tblCellMar>
                  <w:top w:w="0" w:type="dxa"/>
                  <w:left w:w="108" w:type="dxa"/>
                  <w:bottom w:w="0" w:type="dxa"/>
                  <w:right w:w="108" w:type="dxa"/>
                </w:tblCellMar>
              </w:tblPrEx>
              <w:tc>
                <w:tcPr>
                  <w:tcW w:w="1301" w:type="dxa"/>
                  <w:vMerge/>
                  <w:shd w:val="clear" w:color="auto" w:fill="auto"/>
                  <w:vAlign w:val="center"/>
                </w:tcPr>
                <w:p>
                  <w:pPr>
                    <w:pStyle w:val="010"/>
                    <w:spacing w:line="240" w:lineRule="auto"/>
                    <w:rPr>
                      <w:b w:val="0"/>
                      <w:bCs w:val="0"/>
                      <w:szCs w:val="21"/>
                    </w:rPr>
                  </w:pPr>
                </w:p>
              </w:tc>
              <w:tc>
                <w:tcPr>
                  <w:tcW w:w="3119" w:type="dxa"/>
                  <w:shd w:val="clear" w:color="auto" w:fill="auto"/>
                  <w:vAlign w:val="center"/>
                </w:tcPr>
                <w:p>
                  <w:pPr>
                    <w:pStyle w:val="010"/>
                    <w:spacing w:line="240" w:lineRule="auto"/>
                    <w:rPr>
                      <w:b w:val="0"/>
                      <w:bCs w:val="0"/>
                      <w:szCs w:val="21"/>
                    </w:rPr>
                  </w:pPr>
                  <w:r>
                    <w:rPr>
                      <w:b w:val="0"/>
                      <w:bCs w:val="0"/>
                      <w:szCs w:val="21"/>
                    </w:rPr>
                    <w:t>禁止在合规园区外新建、扩建钢铁、石化、化工、焦化、建材、有色等高污染项目</w:t>
                  </w:r>
                </w:p>
              </w:tc>
              <w:tc>
                <w:tcPr>
                  <w:tcW w:w="1701" w:type="dxa"/>
                  <w:vMerge/>
                  <w:shd w:val="clear" w:color="auto" w:fill="auto"/>
                  <w:vAlign w:val="center"/>
                </w:tcPr>
                <w:p>
                  <w:pPr>
                    <w:pStyle w:val="010"/>
                    <w:spacing w:line="240" w:lineRule="auto"/>
                    <w:rPr>
                      <w:b w:val="0"/>
                      <w:bCs w:val="0"/>
                      <w:szCs w:val="21"/>
                    </w:rPr>
                  </w:pPr>
                </w:p>
              </w:tc>
              <w:tc>
                <w:tcPr>
                  <w:tcW w:w="645" w:type="dxa"/>
                  <w:shd w:val="clear" w:color="auto" w:fill="auto"/>
                  <w:vAlign w:val="center"/>
                </w:tcPr>
                <w:p>
                  <w:pPr>
                    <w:pStyle w:val="010"/>
                    <w:spacing w:line="240" w:lineRule="auto"/>
                    <w:rPr>
                      <w:b w:val="0"/>
                      <w:bCs w:val="0"/>
                      <w:szCs w:val="21"/>
                    </w:rPr>
                  </w:pPr>
                  <w:r>
                    <w:rPr>
                      <w:b w:val="0"/>
                      <w:bCs w:val="0"/>
                      <w:szCs w:val="21"/>
                    </w:rPr>
                    <w:t>不涉及</w:t>
                  </w:r>
                </w:p>
              </w:tc>
            </w:tr>
            <w:tr>
              <w:tblPrEx>
                <w:tblW w:w="0" w:type="auto"/>
                <w:tblInd w:w="0" w:type="dxa"/>
                <w:tblCellMar>
                  <w:top w:w="0" w:type="dxa"/>
                  <w:left w:w="108" w:type="dxa"/>
                  <w:bottom w:w="0" w:type="dxa"/>
                  <w:right w:w="108" w:type="dxa"/>
                </w:tblCellMar>
              </w:tblPrEx>
              <w:tc>
                <w:tcPr>
                  <w:tcW w:w="1301" w:type="dxa"/>
                  <w:shd w:val="clear" w:color="auto" w:fill="auto"/>
                  <w:vAlign w:val="center"/>
                </w:tcPr>
                <w:p>
                  <w:pPr>
                    <w:pStyle w:val="010"/>
                    <w:spacing w:line="240" w:lineRule="auto"/>
                    <w:rPr>
                      <w:b w:val="0"/>
                      <w:bCs w:val="0"/>
                      <w:szCs w:val="21"/>
                    </w:rPr>
                  </w:pPr>
                  <w:r>
                    <w:rPr>
                      <w:b w:val="0"/>
                      <w:bCs w:val="0"/>
                      <w:szCs w:val="21"/>
                    </w:rPr>
                    <w:t>中华人民共和国长江保护法</w:t>
                  </w:r>
                </w:p>
              </w:tc>
              <w:tc>
                <w:tcPr>
                  <w:tcW w:w="3119" w:type="dxa"/>
                  <w:shd w:val="clear" w:color="auto" w:fill="auto"/>
                  <w:vAlign w:val="center"/>
                </w:tcPr>
                <w:p>
                  <w:pPr>
                    <w:pStyle w:val="010"/>
                    <w:spacing w:line="240" w:lineRule="auto"/>
                    <w:rPr>
                      <w:b w:val="0"/>
                      <w:bCs w:val="0"/>
                      <w:szCs w:val="21"/>
                    </w:rPr>
                  </w:pPr>
                  <w:r>
                    <w:rPr>
                      <w:b w:val="0"/>
                      <w:bCs w:val="0"/>
                      <w:szCs w:val="21"/>
                    </w:rPr>
                    <w:t>禁止在长江干支流岸线一公里范围内新建、扩建化工园区和化工项目</w:t>
                  </w:r>
                </w:p>
              </w:tc>
              <w:tc>
                <w:tcPr>
                  <w:tcW w:w="1701" w:type="dxa"/>
                  <w:vMerge/>
                  <w:shd w:val="clear" w:color="auto" w:fill="auto"/>
                  <w:vAlign w:val="center"/>
                </w:tcPr>
                <w:p>
                  <w:pPr>
                    <w:pStyle w:val="010"/>
                    <w:spacing w:line="240" w:lineRule="auto"/>
                    <w:rPr>
                      <w:b w:val="0"/>
                      <w:bCs w:val="0"/>
                      <w:szCs w:val="21"/>
                    </w:rPr>
                  </w:pPr>
                </w:p>
              </w:tc>
              <w:tc>
                <w:tcPr>
                  <w:tcW w:w="645" w:type="dxa"/>
                  <w:shd w:val="clear" w:color="auto" w:fill="auto"/>
                  <w:vAlign w:val="center"/>
                </w:tcPr>
                <w:p>
                  <w:pPr>
                    <w:pStyle w:val="010"/>
                    <w:spacing w:line="240" w:lineRule="auto"/>
                    <w:rPr>
                      <w:b w:val="0"/>
                      <w:bCs w:val="0"/>
                      <w:szCs w:val="21"/>
                    </w:rPr>
                  </w:pPr>
                  <w:r>
                    <w:rPr>
                      <w:b w:val="0"/>
                      <w:bCs w:val="0"/>
                      <w:szCs w:val="21"/>
                    </w:rPr>
                    <w:t>不涉及</w:t>
                  </w:r>
                </w:p>
              </w:tc>
            </w:tr>
          </w:tbl>
          <w:p>
            <w:pPr>
              <w:pStyle w:val="0020"/>
              <w:rPr>
                <w:color w:val="auto"/>
              </w:rPr>
            </w:pPr>
          </w:p>
          <w:p>
            <w:pPr>
              <w:pStyle w:val="041"/>
            </w:pPr>
            <w:r>
              <w:rPr>
                <w:rFonts w:hint="eastAsia"/>
              </w:rPr>
              <w:t>四</w:t>
            </w:r>
            <w:r>
              <w:t>、项目“三线一单”符合性分析</w:t>
            </w:r>
          </w:p>
          <w:p>
            <w:pPr>
              <w:pStyle w:val="003"/>
              <w:spacing w:after="0"/>
              <w:ind w:firstLine="420"/>
              <w:rPr>
                <w:color w:val="auto"/>
              </w:rPr>
            </w:pPr>
          </w:p>
        </w:tc>
      </w:tr>
    </w:tbl>
    <w:p>
      <w:pPr>
        <w:sectPr>
          <w:footerReference w:type="even" r:id="rId16"/>
          <w:footerReference w:type="default" r:id="rId17"/>
          <w:type w:val="nextPage"/>
          <w:pgSz w:w="11906" w:h="16838"/>
          <w:pgMar w:top="1701" w:right="1531" w:bottom="1701" w:left="1531" w:header="851" w:footer="1077" w:gutter="0"/>
          <w:pgNumType w:fmt="numberInDash" w:start="5"/>
          <w:cols w:num="1" w:space="720"/>
          <w:titlePg w:val="0"/>
          <w:docGrid w:linePitch="312" w:charSpace="0"/>
        </w:sectPr>
      </w:pP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6869"/>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8905"/>
        </w:trPr>
        <w:tc>
          <w:tcPr>
            <w:tcW w:w="2226" w:type="dxa"/>
            <w:tcMar>
              <w:top w:w="16" w:type="dxa"/>
              <w:left w:w="16" w:type="dxa"/>
              <w:right w:w="16" w:type="dxa"/>
            </w:tcMar>
            <w:vAlign w:val="center"/>
          </w:tcPr>
          <w:p/>
        </w:tc>
        <w:tc>
          <w:tcPr>
            <w:tcW w:w="6813" w:type="dxa"/>
            <w:tcMar>
              <w:top w:w="16" w:type="dxa"/>
              <w:left w:w="16" w:type="dxa"/>
              <w:right w:w="16" w:type="dxa"/>
            </w:tcMar>
            <w:vAlign w:val="center"/>
          </w:tcPr>
          <w:p>
            <w:pPr>
              <w:pStyle w:val="003"/>
              <w:spacing w:before="0"/>
              <w:ind w:firstLine="420"/>
              <w:rPr>
                <w:color w:val="auto"/>
              </w:rPr>
            </w:pPr>
            <w:r>
              <w:rPr>
                <w:rFonts w:hint="eastAsia"/>
                <w:color w:val="auto"/>
              </w:rPr>
              <w:t>雅安市人民政府于2021年6月30日发布了《雅安市人民政府关于落实生态保护红线、环境质量底线、资源利用上线和制定生态环境准入清单实施生态环境分区管控的通知》（以下简称《通知》），文件明确了从生态环境保护角度将全市国土空间划分为优先保护单元、重点管控单元、一般管控单元三类环境管控单元共</w:t>
            </w:r>
            <w:r>
              <w:rPr>
                <w:rFonts w:hint="eastAsia"/>
                <w:color w:val="auto"/>
              </w:rPr>
              <w:t xml:space="preserve"> 35</w:t>
            </w:r>
            <w:r>
              <w:rPr>
                <w:rFonts w:hint="eastAsia"/>
                <w:color w:val="auto"/>
              </w:rPr>
              <w:t xml:space="preserve"> 个。优先保护单元</w:t>
            </w:r>
            <w:r>
              <w:rPr>
                <w:rFonts w:hint="eastAsia"/>
                <w:color w:val="auto"/>
              </w:rPr>
              <w:t xml:space="preserve"> 8</w:t>
            </w:r>
            <w:r>
              <w:rPr>
                <w:rFonts w:hint="eastAsia"/>
                <w:color w:val="auto"/>
              </w:rPr>
              <w:t xml:space="preserve"> 个，主要包括生态保护红线、集中式饮用水水源保护区等。重点管控单元</w:t>
            </w:r>
            <w:r>
              <w:rPr>
                <w:rFonts w:hint="eastAsia"/>
                <w:color w:val="auto"/>
              </w:rPr>
              <w:t xml:space="preserve"> 21</w:t>
            </w:r>
            <w:r>
              <w:rPr>
                <w:rFonts w:hint="eastAsia"/>
                <w:color w:val="auto"/>
              </w:rPr>
              <w:t xml:space="preserve"> 个，主要包括</w:t>
            </w:r>
            <w:r>
              <w:rPr>
                <w:rFonts w:hint="eastAsia"/>
                <w:color w:val="auto"/>
              </w:rPr>
              <w:t xml:space="preserve"> 10</w:t>
            </w:r>
            <w:r>
              <w:rPr>
                <w:rFonts w:hint="eastAsia"/>
                <w:color w:val="auto"/>
              </w:rPr>
              <w:t xml:space="preserve"> 个县（区）县城规划区（城镇重点管控单元）、8</w:t>
            </w:r>
            <w:r>
              <w:rPr>
                <w:rFonts w:hint="eastAsia"/>
                <w:color w:val="auto"/>
              </w:rPr>
              <w:t xml:space="preserve"> 个工业产业园区（工业重点管控单元）和</w:t>
            </w:r>
            <w:r>
              <w:rPr>
                <w:rFonts w:hint="eastAsia"/>
                <w:color w:val="auto"/>
              </w:rPr>
              <w:t xml:space="preserve"> 3</w:t>
            </w:r>
            <w:r>
              <w:rPr>
                <w:rFonts w:hint="eastAsia"/>
                <w:color w:val="auto"/>
              </w:rPr>
              <w:t xml:space="preserve"> 个要素重点管控单元。一般管控单元</w:t>
            </w:r>
            <w:r>
              <w:rPr>
                <w:rFonts w:hint="eastAsia"/>
                <w:color w:val="auto"/>
              </w:rPr>
              <w:t xml:space="preserve"> 6</w:t>
            </w:r>
            <w:r>
              <w:rPr>
                <w:rFonts w:hint="eastAsia"/>
                <w:color w:val="auto"/>
              </w:rPr>
              <w:t xml:space="preserve"> 个，为优先保护单元和重点管控单元之外的其他区域。</w:t>
            </w:r>
          </w:p>
          <w:p>
            <w:pPr>
              <w:pStyle w:val="003"/>
              <w:ind w:firstLine="420"/>
              <w:rPr>
                <w:color w:val="auto"/>
              </w:rPr>
            </w:pPr>
            <w:r>
              <w:rPr>
                <w:rFonts w:hint="eastAsia"/>
                <w:color w:val="auto"/>
              </w:rPr>
              <w:t>因此本项目三线一单分析重点分析与《雅安市人民政府关于落实生态保护红线、环境质量底线、资源利用上线和制定生态环境准入清单实施生态环境分区管控的通知》符合性分析。根据“四川省“三线一单”数据分析系统平台”确定，本项目属于“工业重点管控单元”，雅安市环境管控单元图如下。</w:t>
            </w:r>
          </w:p>
          <w:p>
            <w:pPr>
              <w:pStyle w:val="003"/>
              <w:ind w:firstLine="0" w:firstLineChars="0"/>
              <w:rPr>
                <w:color w:val="auto"/>
              </w:rPr>
            </w:pPr>
            <w:r>
              <w:rPr>
                <w:color w:val="auto"/>
              </w:rPr>
              <w:drawing>
                <wp:inline distT="0" distB="0" distL="0" distR="0">
                  <wp:extent cx="4298950" cy="294259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4298950" cy="2942590"/>
                          </a:xfrm>
                          <a:prstGeom prst="rect">
                            <a:avLst/>
                          </a:prstGeom>
                          <a:noFill/>
                          <a:ln>
                            <a:noFill/>
                          </a:ln>
                        </pic:spPr>
                      </pic:pic>
                    </a:graphicData>
                  </a:graphic>
                </wp:inline>
              </w:drawing>
            </w:r>
          </w:p>
          <w:p>
            <w:pPr>
              <w:pStyle w:val="0010"/>
              <w:rPr>
                <w:color w:val="auto"/>
              </w:rPr>
            </w:pPr>
            <w:r>
              <w:rPr>
                <w:rFonts w:hint="eastAsia"/>
                <w:color w:val="auto"/>
              </w:rPr>
              <w:t>图1-</w:t>
            </w:r>
            <w:r>
              <w:rPr>
                <w:color w:val="auto"/>
              </w:rPr>
              <w:t xml:space="preserve">1 </w:t>
            </w:r>
            <w:r>
              <w:rPr>
                <w:rFonts w:hint="eastAsia"/>
                <w:color w:val="auto"/>
              </w:rPr>
              <w:t xml:space="preserve"> 项目与雅安市环境管控单元图位置关系</w:t>
            </w:r>
          </w:p>
          <w:p>
            <w:pPr>
              <w:pStyle w:val="003"/>
              <w:ind w:firstLine="420"/>
              <w:rPr>
                <w:color w:val="auto"/>
              </w:rPr>
            </w:pPr>
            <w:r>
              <w:rPr>
                <w:color w:val="auto"/>
              </w:rPr>
              <w:t>本项目位于四川省雅安经济开发区</w:t>
            </w:r>
            <w:r>
              <w:rPr>
                <w:rFonts w:hint="eastAsia"/>
                <w:color w:val="auto"/>
                <w:lang w:eastAsia="zh-CN"/>
              </w:rPr>
              <w:t>**</w:t>
            </w:r>
            <w:r>
              <w:rPr>
                <w:color w:val="auto"/>
              </w:rPr>
              <w:t>片区，对比雅安市生态红线分布图，不涉及被划入的生态保护红线内的管控区域。项目与雅安市生态红线分布图如下：</w:t>
            </w:r>
          </w:p>
        </w:tc>
      </w:tr>
    </w:tbl>
    <w:p>
      <w:pPr>
        <w:sectPr>
          <w:footerReference w:type="even" r:id="rId19"/>
          <w:footerReference w:type="default" r:id="rId20"/>
          <w:type w:val="nextPage"/>
          <w:pgSz w:w="11906" w:h="16838"/>
          <w:pgMar w:top="1701" w:right="1531" w:bottom="1701" w:left="1531" w:header="851" w:footer="1077" w:gutter="0"/>
          <w:pgNumType w:fmt="numberInDash" w:start="6"/>
          <w:cols w:num="1" w:space="720"/>
          <w:titlePg w:val="0"/>
          <w:docGrid w:linePitch="312" w:charSpace="0"/>
        </w:sectPr>
      </w:pP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6869"/>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8905"/>
        </w:trPr>
        <w:tc>
          <w:tcPr>
            <w:tcW w:w="2226" w:type="dxa"/>
            <w:tcMar>
              <w:top w:w="16" w:type="dxa"/>
              <w:left w:w="16" w:type="dxa"/>
              <w:right w:w="16" w:type="dxa"/>
            </w:tcMar>
            <w:vAlign w:val="center"/>
          </w:tcPr>
          <w:p/>
        </w:tc>
        <w:tc>
          <w:tcPr>
            <w:tcW w:w="6813" w:type="dxa"/>
            <w:tcMar>
              <w:top w:w="16" w:type="dxa"/>
              <w:left w:w="16" w:type="dxa"/>
              <w:right w:w="16" w:type="dxa"/>
            </w:tcMar>
            <w:vAlign w:val="center"/>
          </w:tcPr>
          <w:p>
            <w:pPr>
              <w:pStyle w:val="003"/>
              <w:ind w:firstLine="0" w:firstLineChars="0"/>
              <w:rPr>
                <w:color w:val="auto"/>
              </w:rPr>
            </w:pPr>
            <w:r>
              <w:rPr>
                <w:color w:val="auto"/>
              </w:rPr>
              <w:drawing>
                <wp:inline distT="0" distB="0" distL="0" distR="0">
                  <wp:extent cx="4298950" cy="294259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a:xfrm>
                            <a:off x="0" y="0"/>
                            <a:ext cx="4298950" cy="2942590"/>
                          </a:xfrm>
                          <a:prstGeom prst="rect">
                            <a:avLst/>
                          </a:prstGeom>
                          <a:noFill/>
                          <a:ln>
                            <a:noFill/>
                          </a:ln>
                        </pic:spPr>
                      </pic:pic>
                    </a:graphicData>
                  </a:graphic>
                </wp:inline>
              </w:drawing>
            </w:r>
          </w:p>
          <w:p>
            <w:pPr>
              <w:pStyle w:val="0020"/>
              <w:rPr>
                <w:color w:val="auto"/>
              </w:rPr>
            </w:pPr>
            <w:r>
              <w:rPr>
                <w:color w:val="auto"/>
              </w:rPr>
              <w:t>图1-2  项目位置与雅安市生态红线相对位置关系图</w:t>
            </w:r>
          </w:p>
          <w:p>
            <w:pPr>
              <w:pStyle w:val="003"/>
              <w:ind w:firstLine="422"/>
              <w:rPr>
                <w:color w:val="auto"/>
              </w:rPr>
            </w:pPr>
            <w:r>
              <w:rPr>
                <w:b/>
                <w:bCs/>
                <w:color w:val="auto"/>
              </w:rPr>
              <w:t>本项目涉及的环境管控单元</w:t>
            </w:r>
            <w:r>
              <w:rPr>
                <w:rFonts w:hint="eastAsia"/>
                <w:b/>
                <w:bCs/>
                <w:color w:val="auto"/>
              </w:rPr>
              <w:t>：</w:t>
            </w:r>
            <w:r>
              <w:rPr>
                <w:color w:val="auto"/>
              </w:rPr>
              <w:t>本项目所属市政道路工程建筑行业，</w:t>
            </w:r>
            <w:r>
              <w:rPr>
                <w:rFonts w:hint="eastAsia"/>
                <w:color w:val="auto"/>
              </w:rPr>
              <w:t>经过对</w:t>
            </w:r>
            <w:r>
              <w:rPr>
                <w:color w:val="auto"/>
              </w:rPr>
              <w:t>本项目</w:t>
            </w:r>
            <w:r>
              <w:rPr>
                <w:rFonts w:hint="eastAsia"/>
                <w:color w:val="auto"/>
              </w:rPr>
              <w:t>起点桩号K</w:t>
            </w:r>
            <w:r>
              <w:rPr>
                <w:color w:val="auto"/>
              </w:rPr>
              <w:t>0</w:t>
            </w:r>
            <w:r>
              <w:rPr>
                <w:rFonts w:hint="eastAsia"/>
                <w:color w:val="auto"/>
              </w:rPr>
              <w:t>+</w:t>
            </w:r>
            <w:r>
              <w:rPr>
                <w:color w:val="auto"/>
              </w:rPr>
              <w:t>000</w:t>
            </w:r>
            <w:r>
              <w:rPr>
                <w:rFonts w:hint="eastAsia"/>
                <w:color w:val="auto"/>
              </w:rPr>
              <w:t>与终点桩号K</w:t>
            </w:r>
            <w:r>
              <w:rPr>
                <w:color w:val="auto"/>
              </w:rPr>
              <w:t>3</w:t>
            </w:r>
            <w:r>
              <w:rPr>
                <w:rFonts w:hint="eastAsia"/>
                <w:color w:val="auto"/>
              </w:rPr>
              <w:t>+</w:t>
            </w:r>
            <w:r>
              <w:rPr>
                <w:color w:val="auto"/>
              </w:rPr>
              <w:t>029.095</w:t>
            </w:r>
            <w:r>
              <w:rPr>
                <w:rFonts w:hint="eastAsia"/>
                <w:color w:val="auto"/>
              </w:rPr>
              <w:t>经纬度于</w:t>
            </w:r>
            <w:r>
              <w:rPr>
                <w:color w:val="auto"/>
              </w:rPr>
              <w:t>四川省生态环境厅政务网 “三线一单”</w:t>
            </w:r>
            <w:r>
              <w:rPr>
                <w:rFonts w:hint="eastAsia"/>
                <w:color w:val="auto"/>
              </w:rPr>
              <w:t>符合性分析板块进行查询，起点与终点涉及管控单元一致，</w:t>
            </w:r>
            <w:r>
              <w:rPr>
                <w:color w:val="auto"/>
              </w:rPr>
              <w:t>共涉及环境管控单元6个，</w:t>
            </w:r>
            <w:r>
              <w:rPr>
                <w:rFonts w:hint="eastAsia"/>
                <w:color w:val="auto"/>
              </w:rPr>
              <w:t>涉及</w:t>
            </w:r>
            <w:r>
              <w:rPr>
                <w:color w:val="auto"/>
              </w:rPr>
              <w:t>管控单元见下表。</w:t>
            </w:r>
          </w:p>
          <w:p>
            <w:pPr>
              <w:pStyle w:val="003"/>
              <w:ind w:firstLine="0" w:firstLineChars="0"/>
              <w:rPr>
                <w:color w:val="auto"/>
              </w:rPr>
            </w:pPr>
            <w:r>
              <w:rPr>
                <w:rFonts w:hint="eastAsia"/>
                <w:color w:val="auto"/>
              </w:rPr>
              <w:drawing>
                <wp:inline distT="0" distB="0" distL="0" distR="0">
                  <wp:extent cx="4314190" cy="254190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22" cstate="print">
                            <a:extLst>
                              <a:ext xmlns:a="http://schemas.openxmlformats.org/drawingml/2006/main" uri="{28A0092B-C50C-407E-A947-70E740481C1C}">
                                <a14:useLocalDpi xmlns:a14="http://schemas.microsoft.com/office/drawing/2010/main" val="0"/>
                              </a:ext>
                            </a:extLst>
                          </a:blip>
                          <a:stretch>
                            <a:fillRect/>
                          </a:stretch>
                        </pic:blipFill>
                        <pic:spPr>
                          <a:xfrm>
                            <a:off x="0" y="0"/>
                            <a:ext cx="4341065" cy="2557812"/>
                          </a:xfrm>
                          <a:prstGeom prst="rect">
                            <a:avLst/>
                          </a:prstGeom>
                        </pic:spPr>
                      </pic:pic>
                    </a:graphicData>
                  </a:graphic>
                </wp:inline>
              </w:drawing>
            </w:r>
          </w:p>
          <w:p>
            <w:pPr>
              <w:pStyle w:val="0020"/>
              <w:rPr>
                <w:color w:val="auto"/>
              </w:rPr>
            </w:pPr>
            <w:r>
              <w:rPr>
                <w:color w:val="auto"/>
              </w:rPr>
              <w:t xml:space="preserve">图1-3  </w:t>
            </w:r>
            <w:r>
              <w:rPr>
                <w:rFonts w:hint="eastAsia"/>
                <w:color w:val="auto"/>
              </w:rPr>
              <w:t>道路起点K</w:t>
            </w:r>
            <w:r>
              <w:rPr>
                <w:color w:val="auto"/>
              </w:rPr>
              <w:t>0</w:t>
            </w:r>
            <w:r>
              <w:rPr>
                <w:rFonts w:hint="eastAsia"/>
                <w:color w:val="auto"/>
              </w:rPr>
              <w:t>+</w:t>
            </w:r>
            <w:r>
              <w:rPr>
                <w:color w:val="auto"/>
              </w:rPr>
              <w:t>000</w:t>
            </w:r>
            <w:r>
              <w:rPr>
                <w:rFonts w:hint="eastAsia"/>
                <w:color w:val="auto"/>
              </w:rPr>
              <w:t>涉及管控单元查询情况</w:t>
            </w:r>
          </w:p>
          <w:p>
            <w:pPr>
              <w:pStyle w:val="003"/>
              <w:ind w:firstLine="0" w:firstLineChars="0"/>
              <w:rPr>
                <w:color w:val="auto"/>
              </w:rPr>
            </w:pPr>
          </w:p>
        </w:tc>
      </w:tr>
    </w:tbl>
    <w:p>
      <w:pPr>
        <w:sectPr>
          <w:footerReference w:type="even" r:id="rId23"/>
          <w:footerReference w:type="default" r:id="rId24"/>
          <w:type w:val="nextPage"/>
          <w:pgSz w:w="11906" w:h="16838"/>
          <w:pgMar w:top="1701" w:right="1531" w:bottom="1701" w:left="1531" w:header="851" w:footer="1077" w:gutter="0"/>
          <w:pgNumType w:fmt="numberInDash" w:start="7"/>
          <w:cols w:num="1" w:space="720"/>
          <w:titlePg w:val="0"/>
          <w:docGrid w:linePitch="312" w:charSpace="0"/>
        </w:sectPr>
      </w:pP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6869"/>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8905"/>
        </w:trPr>
        <w:tc>
          <w:tcPr>
            <w:tcW w:w="2226" w:type="dxa"/>
            <w:tcMar>
              <w:top w:w="16" w:type="dxa"/>
              <w:left w:w="16" w:type="dxa"/>
              <w:right w:w="16" w:type="dxa"/>
            </w:tcMar>
            <w:vAlign w:val="center"/>
          </w:tcPr>
          <w:p/>
        </w:tc>
        <w:tc>
          <w:tcPr>
            <w:tcW w:w="6813" w:type="dxa"/>
            <w:tcMar>
              <w:top w:w="16" w:type="dxa"/>
              <w:left w:w="16" w:type="dxa"/>
              <w:right w:w="16" w:type="dxa"/>
            </w:tcMar>
            <w:vAlign w:val="center"/>
          </w:tcPr>
          <w:p>
            <w:pPr>
              <w:pStyle w:val="003"/>
              <w:ind w:firstLine="0" w:firstLineChars="0"/>
              <w:rPr>
                <w:color w:val="auto"/>
              </w:rPr>
            </w:pPr>
            <w:r>
              <w:rPr>
                <w:rFonts w:hint="eastAsia"/>
                <w:color w:val="auto"/>
              </w:rPr>
              <w:drawing>
                <wp:inline distT="0" distB="0" distL="0" distR="0">
                  <wp:extent cx="4288155" cy="2415540"/>
                  <wp:effectExtent l="0" t="0" r="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5" cstate="print">
                            <a:extLst>
                              <a:ext xmlns:a="http://schemas.openxmlformats.org/drawingml/2006/main" uri="{28A0092B-C50C-407E-A947-70E740481C1C}">
                                <a14:useLocalDpi xmlns:a14="http://schemas.microsoft.com/office/drawing/2010/main" val="0"/>
                              </a:ext>
                            </a:extLst>
                          </a:blip>
                          <a:stretch>
                            <a:fillRect/>
                          </a:stretch>
                        </pic:blipFill>
                        <pic:spPr>
                          <a:xfrm>
                            <a:off x="0" y="0"/>
                            <a:ext cx="4296323" cy="2420204"/>
                          </a:xfrm>
                          <a:prstGeom prst="rect">
                            <a:avLst/>
                          </a:prstGeom>
                        </pic:spPr>
                      </pic:pic>
                    </a:graphicData>
                  </a:graphic>
                </wp:inline>
              </w:drawing>
            </w:r>
          </w:p>
          <w:p>
            <w:pPr>
              <w:pStyle w:val="0020"/>
              <w:rPr>
                <w:color w:val="auto"/>
              </w:rPr>
            </w:pPr>
            <w:r>
              <w:rPr>
                <w:color w:val="auto"/>
              </w:rPr>
              <w:t xml:space="preserve">图1-4  </w:t>
            </w:r>
            <w:r>
              <w:rPr>
                <w:rFonts w:hint="eastAsia"/>
                <w:color w:val="auto"/>
              </w:rPr>
              <w:t>道路终点K</w:t>
            </w:r>
            <w:r>
              <w:rPr>
                <w:color w:val="auto"/>
              </w:rPr>
              <w:t>3</w:t>
            </w:r>
            <w:r>
              <w:rPr>
                <w:rFonts w:hint="eastAsia"/>
                <w:color w:val="auto"/>
              </w:rPr>
              <w:t>+</w:t>
            </w:r>
            <w:r>
              <w:rPr>
                <w:color w:val="auto"/>
              </w:rPr>
              <w:t>029.095</w:t>
            </w:r>
            <w:r>
              <w:rPr>
                <w:rFonts w:hint="eastAsia"/>
                <w:color w:val="auto"/>
              </w:rPr>
              <w:t>涉及管控单元查询情况</w:t>
            </w:r>
          </w:p>
          <w:p>
            <w:pPr>
              <w:pStyle w:val="0020"/>
              <w:rPr>
                <w:color w:val="auto"/>
              </w:rPr>
            </w:pPr>
            <w:r>
              <w:rPr>
                <w:color w:val="auto"/>
              </w:rPr>
              <w:t>表1-4  本项目涉及的环境管控单元</w:t>
            </w:r>
          </w:p>
          <w:tbl>
            <w:tblPr>
              <w:tblStyle w:val="TableNormal"/>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842"/>
              <w:gridCol w:w="1184"/>
              <w:gridCol w:w="852"/>
              <w:gridCol w:w="618"/>
              <w:gridCol w:w="947"/>
              <w:gridCol w:w="1394"/>
            </w:tblGrid>
            <w:tr>
              <w:tblPrEx>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cantSplit/>
                <w:trHeight w:val="312"/>
                <w:tblHeader/>
              </w:trPr>
              <w:tc>
                <w:tcPr>
                  <w:tcW w:w="1079" w:type="pct"/>
                  <w:vAlign w:val="center"/>
                </w:tcPr>
                <w:p>
                  <w:pPr>
                    <w:widowControl/>
                    <w:jc w:val="center"/>
                    <w:rPr>
                      <w:b/>
                      <w:bCs/>
                      <w:kern w:val="0"/>
                      <w:szCs w:val="21"/>
                    </w:rPr>
                  </w:pPr>
                  <w:r>
                    <w:rPr>
                      <w:b/>
                      <w:bCs/>
                      <w:kern w:val="0"/>
                      <w:szCs w:val="21"/>
                    </w:rPr>
                    <w:t>环境管控单元编码</w:t>
                  </w:r>
                </w:p>
              </w:tc>
              <w:tc>
                <w:tcPr>
                  <w:tcW w:w="920" w:type="pct"/>
                  <w:vAlign w:val="center"/>
                </w:tcPr>
                <w:p>
                  <w:pPr>
                    <w:widowControl/>
                    <w:jc w:val="center"/>
                    <w:rPr>
                      <w:b/>
                      <w:bCs/>
                      <w:kern w:val="0"/>
                      <w:szCs w:val="21"/>
                    </w:rPr>
                  </w:pPr>
                  <w:r>
                    <w:rPr>
                      <w:b/>
                      <w:bCs/>
                      <w:kern w:val="0"/>
                      <w:szCs w:val="21"/>
                    </w:rPr>
                    <w:t>环境管控单元名称</w:t>
                  </w:r>
                </w:p>
              </w:tc>
              <w:tc>
                <w:tcPr>
                  <w:tcW w:w="677" w:type="pct"/>
                  <w:vAlign w:val="center"/>
                </w:tcPr>
                <w:p>
                  <w:pPr>
                    <w:widowControl/>
                    <w:jc w:val="center"/>
                    <w:rPr>
                      <w:b/>
                      <w:bCs/>
                      <w:kern w:val="0"/>
                      <w:szCs w:val="21"/>
                    </w:rPr>
                  </w:pPr>
                  <w:r>
                    <w:rPr>
                      <w:b/>
                      <w:bCs/>
                      <w:kern w:val="0"/>
                      <w:szCs w:val="21"/>
                    </w:rPr>
                    <w:t>所属市（州）</w:t>
                  </w:r>
                </w:p>
              </w:tc>
              <w:tc>
                <w:tcPr>
                  <w:tcW w:w="505" w:type="pct"/>
                  <w:vAlign w:val="center"/>
                </w:tcPr>
                <w:p>
                  <w:pPr>
                    <w:widowControl/>
                    <w:jc w:val="center"/>
                    <w:rPr>
                      <w:b/>
                      <w:bCs/>
                      <w:kern w:val="0"/>
                      <w:szCs w:val="21"/>
                    </w:rPr>
                  </w:pPr>
                  <w:r>
                    <w:rPr>
                      <w:b/>
                      <w:bCs/>
                      <w:kern w:val="0"/>
                      <w:szCs w:val="21"/>
                    </w:rPr>
                    <w:t>所属区县</w:t>
                  </w:r>
                </w:p>
              </w:tc>
              <w:tc>
                <w:tcPr>
                  <w:tcW w:w="746" w:type="pct"/>
                  <w:vAlign w:val="center"/>
                </w:tcPr>
                <w:p>
                  <w:pPr>
                    <w:widowControl/>
                    <w:jc w:val="center"/>
                    <w:rPr>
                      <w:b/>
                      <w:bCs/>
                      <w:kern w:val="0"/>
                      <w:szCs w:val="21"/>
                    </w:rPr>
                  </w:pPr>
                  <w:r>
                    <w:rPr>
                      <w:b/>
                      <w:bCs/>
                      <w:kern w:val="0"/>
                      <w:szCs w:val="21"/>
                    </w:rPr>
                    <w:t>准入清单类型</w:t>
                  </w:r>
                </w:p>
              </w:tc>
              <w:tc>
                <w:tcPr>
                  <w:tcW w:w="1073" w:type="pct"/>
                  <w:vAlign w:val="center"/>
                </w:tcPr>
                <w:p>
                  <w:pPr>
                    <w:widowControl/>
                    <w:jc w:val="center"/>
                    <w:rPr>
                      <w:b/>
                      <w:bCs/>
                      <w:kern w:val="0"/>
                      <w:szCs w:val="21"/>
                    </w:rPr>
                  </w:pPr>
                  <w:r>
                    <w:rPr>
                      <w:b/>
                      <w:bCs/>
                      <w:kern w:val="0"/>
                      <w:szCs w:val="21"/>
                    </w:rPr>
                    <w:t>管控类型</w:t>
                  </w:r>
                </w:p>
              </w:tc>
            </w:tr>
            <w:tr>
              <w:tblPrEx>
                <w:tblW w:w="5000" w:type="pct"/>
                <w:tblInd w:w="0" w:type="dxa"/>
                <w:tblCellMar>
                  <w:top w:w="0" w:type="dxa"/>
                  <w:left w:w="108" w:type="dxa"/>
                  <w:bottom w:w="0" w:type="dxa"/>
                  <w:right w:w="108" w:type="dxa"/>
                </w:tblCellMar>
              </w:tblPrEx>
              <w:trPr>
                <w:cantSplit/>
                <w:trHeight w:val="312"/>
                <w:tblHeader/>
              </w:trPr>
              <w:tc>
                <w:tcPr>
                  <w:tcW w:w="1079" w:type="pct"/>
                  <w:vAlign w:val="center"/>
                </w:tcPr>
                <w:p>
                  <w:pPr>
                    <w:pStyle w:val="Normal0"/>
                    <w:widowControl/>
                    <w:spacing w:line="240" w:lineRule="auto"/>
                    <w:ind w:firstLine="0" w:firstLineChars="0"/>
                    <w:jc w:val="center"/>
                    <w:rPr>
                      <w:rFonts w:eastAsia="宋体"/>
                      <w:sz w:val="21"/>
                    </w:rPr>
                  </w:pPr>
                  <w:r>
                    <w:rPr>
                      <w:rFonts w:eastAsia="宋体"/>
                      <w:sz w:val="21"/>
                    </w:rPr>
                    <w:t>ZH51180220003</w:t>
                  </w:r>
                </w:p>
              </w:tc>
              <w:tc>
                <w:tcPr>
                  <w:tcW w:w="920" w:type="pct"/>
                  <w:vAlign w:val="center"/>
                </w:tcPr>
                <w:p>
                  <w:pPr>
                    <w:pStyle w:val="Normal0"/>
                    <w:widowControl/>
                    <w:spacing w:line="240" w:lineRule="auto"/>
                    <w:ind w:firstLine="0" w:firstLineChars="0"/>
                    <w:jc w:val="center"/>
                    <w:rPr>
                      <w:rFonts w:eastAsia="宋体"/>
                      <w:sz w:val="21"/>
                    </w:rPr>
                  </w:pPr>
                  <w:r>
                    <w:rPr>
                      <w:rFonts w:eastAsia="宋体"/>
                      <w:sz w:val="21"/>
                    </w:rPr>
                    <w:t>雅安经济技术开发区</w:t>
                  </w:r>
                </w:p>
              </w:tc>
              <w:tc>
                <w:tcPr>
                  <w:tcW w:w="677" w:type="pct"/>
                  <w:vAlign w:val="center"/>
                </w:tcPr>
                <w:p>
                  <w:pPr>
                    <w:pStyle w:val="Normal0"/>
                    <w:widowControl/>
                    <w:spacing w:line="240" w:lineRule="auto"/>
                    <w:ind w:firstLine="0" w:firstLineChars="0"/>
                    <w:jc w:val="center"/>
                    <w:rPr>
                      <w:rFonts w:eastAsia="宋体"/>
                      <w:sz w:val="21"/>
                    </w:rPr>
                  </w:pPr>
                  <w:r>
                    <w:rPr>
                      <w:rFonts w:eastAsia="宋体"/>
                      <w:sz w:val="21"/>
                    </w:rPr>
                    <w:t>雅安市</w:t>
                  </w:r>
                </w:p>
              </w:tc>
              <w:tc>
                <w:tcPr>
                  <w:tcW w:w="505" w:type="pct"/>
                  <w:vAlign w:val="center"/>
                </w:tcPr>
                <w:p>
                  <w:pPr>
                    <w:pStyle w:val="Normal0"/>
                    <w:widowControl/>
                    <w:spacing w:line="240" w:lineRule="auto"/>
                    <w:ind w:firstLine="0" w:firstLineChars="0"/>
                    <w:jc w:val="center"/>
                    <w:rPr>
                      <w:rFonts w:eastAsia="宋体"/>
                      <w:sz w:val="21"/>
                    </w:rPr>
                  </w:pPr>
                  <w:r>
                    <w:rPr>
                      <w:rFonts w:eastAsia="宋体"/>
                      <w:sz w:val="21"/>
                    </w:rPr>
                    <w:t>雨城区</w:t>
                  </w:r>
                </w:p>
              </w:tc>
              <w:tc>
                <w:tcPr>
                  <w:tcW w:w="746" w:type="pct"/>
                  <w:vAlign w:val="center"/>
                </w:tcPr>
                <w:p>
                  <w:pPr>
                    <w:pStyle w:val="Normal0"/>
                    <w:widowControl/>
                    <w:spacing w:line="240" w:lineRule="auto"/>
                    <w:ind w:firstLine="0" w:firstLineChars="0"/>
                    <w:jc w:val="center"/>
                    <w:rPr>
                      <w:rFonts w:eastAsia="宋体"/>
                      <w:sz w:val="21"/>
                    </w:rPr>
                  </w:pPr>
                  <w:r>
                    <w:rPr>
                      <w:rFonts w:eastAsia="宋体"/>
                      <w:sz w:val="21"/>
                    </w:rPr>
                    <w:t>环境管控单元</w:t>
                  </w:r>
                </w:p>
              </w:tc>
              <w:tc>
                <w:tcPr>
                  <w:tcW w:w="1073" w:type="pct"/>
                  <w:vAlign w:val="center"/>
                </w:tcPr>
                <w:p>
                  <w:pPr>
                    <w:pStyle w:val="Normal0"/>
                    <w:widowControl/>
                    <w:spacing w:line="240" w:lineRule="auto"/>
                    <w:ind w:firstLine="0" w:firstLineChars="0"/>
                    <w:jc w:val="center"/>
                    <w:rPr>
                      <w:rFonts w:eastAsia="宋体"/>
                      <w:sz w:val="21"/>
                    </w:rPr>
                  </w:pPr>
                  <w:r>
                    <w:rPr>
                      <w:rFonts w:eastAsia="宋体"/>
                      <w:sz w:val="21"/>
                    </w:rPr>
                    <w:t>环境综合管控单元工业重点管控单元</w:t>
                  </w:r>
                </w:p>
              </w:tc>
            </w:tr>
            <w:tr>
              <w:tblPrEx>
                <w:tblW w:w="5000" w:type="pct"/>
                <w:tblInd w:w="0" w:type="dxa"/>
                <w:tblCellMar>
                  <w:top w:w="0" w:type="dxa"/>
                  <w:left w:w="108" w:type="dxa"/>
                  <w:bottom w:w="0" w:type="dxa"/>
                  <w:right w:w="108" w:type="dxa"/>
                </w:tblCellMar>
              </w:tblPrEx>
              <w:trPr>
                <w:cantSplit/>
                <w:trHeight w:val="312"/>
                <w:tblHeader/>
              </w:trPr>
              <w:tc>
                <w:tcPr>
                  <w:tcW w:w="1079" w:type="pct"/>
                  <w:vAlign w:val="center"/>
                </w:tcPr>
                <w:p>
                  <w:pPr>
                    <w:pStyle w:val="Normal0"/>
                    <w:widowControl/>
                    <w:spacing w:line="240" w:lineRule="auto"/>
                    <w:ind w:firstLine="0" w:firstLineChars="0"/>
                    <w:jc w:val="center"/>
                    <w:rPr>
                      <w:rFonts w:eastAsia="宋体"/>
                      <w:sz w:val="21"/>
                    </w:rPr>
                  </w:pPr>
                  <w:r>
                    <w:rPr>
                      <w:rFonts w:eastAsia="宋体"/>
                      <w:sz w:val="21"/>
                    </w:rPr>
                    <w:t>YS5118022210013</w:t>
                  </w:r>
                </w:p>
              </w:tc>
              <w:tc>
                <w:tcPr>
                  <w:tcW w:w="920" w:type="pct"/>
                  <w:vAlign w:val="center"/>
                </w:tcPr>
                <w:p>
                  <w:pPr>
                    <w:pStyle w:val="Normal0"/>
                    <w:widowControl/>
                    <w:spacing w:line="240" w:lineRule="auto"/>
                    <w:ind w:firstLine="0" w:firstLineChars="0"/>
                    <w:jc w:val="center"/>
                    <w:rPr>
                      <w:rFonts w:eastAsia="宋体"/>
                      <w:sz w:val="21"/>
                    </w:rPr>
                  </w:pPr>
                  <w:r>
                    <w:rPr>
                      <w:rFonts w:eastAsia="宋体"/>
                      <w:sz w:val="21"/>
                    </w:rPr>
                    <w:t>青衣江雨城区龟都府控制单元</w:t>
                  </w:r>
                </w:p>
              </w:tc>
              <w:tc>
                <w:tcPr>
                  <w:tcW w:w="677" w:type="pct"/>
                  <w:vAlign w:val="center"/>
                </w:tcPr>
                <w:p>
                  <w:pPr>
                    <w:pStyle w:val="Normal0"/>
                    <w:widowControl/>
                    <w:spacing w:line="240" w:lineRule="auto"/>
                    <w:ind w:firstLine="0" w:firstLineChars="0"/>
                    <w:jc w:val="center"/>
                    <w:rPr>
                      <w:rFonts w:eastAsia="宋体"/>
                      <w:sz w:val="21"/>
                    </w:rPr>
                  </w:pPr>
                  <w:r>
                    <w:rPr>
                      <w:rFonts w:eastAsia="宋体"/>
                      <w:sz w:val="21"/>
                    </w:rPr>
                    <w:t>雅安市</w:t>
                  </w:r>
                </w:p>
              </w:tc>
              <w:tc>
                <w:tcPr>
                  <w:tcW w:w="505" w:type="pct"/>
                  <w:vAlign w:val="center"/>
                </w:tcPr>
                <w:p>
                  <w:pPr>
                    <w:pStyle w:val="Normal0"/>
                    <w:widowControl/>
                    <w:spacing w:line="240" w:lineRule="auto"/>
                    <w:ind w:firstLine="0" w:firstLineChars="0"/>
                    <w:jc w:val="center"/>
                    <w:rPr>
                      <w:rFonts w:eastAsia="宋体"/>
                      <w:sz w:val="21"/>
                    </w:rPr>
                  </w:pPr>
                  <w:r>
                    <w:rPr>
                      <w:rFonts w:eastAsia="宋体"/>
                      <w:sz w:val="21"/>
                    </w:rPr>
                    <w:t>雨城区</w:t>
                  </w:r>
                </w:p>
              </w:tc>
              <w:tc>
                <w:tcPr>
                  <w:tcW w:w="746" w:type="pct"/>
                  <w:vAlign w:val="center"/>
                </w:tcPr>
                <w:p>
                  <w:pPr>
                    <w:pStyle w:val="Normal0"/>
                    <w:widowControl/>
                    <w:spacing w:line="240" w:lineRule="auto"/>
                    <w:ind w:firstLine="0" w:firstLineChars="0"/>
                    <w:jc w:val="center"/>
                    <w:rPr>
                      <w:rFonts w:eastAsia="宋体"/>
                      <w:sz w:val="21"/>
                    </w:rPr>
                  </w:pPr>
                  <w:r>
                    <w:rPr>
                      <w:rFonts w:eastAsia="宋体"/>
                      <w:sz w:val="21"/>
                    </w:rPr>
                    <w:t>水环境管控分区</w:t>
                  </w:r>
                </w:p>
              </w:tc>
              <w:tc>
                <w:tcPr>
                  <w:tcW w:w="1073" w:type="pct"/>
                  <w:vAlign w:val="center"/>
                </w:tcPr>
                <w:p>
                  <w:pPr>
                    <w:pStyle w:val="Normal0"/>
                    <w:widowControl/>
                    <w:spacing w:line="240" w:lineRule="auto"/>
                    <w:ind w:firstLine="0" w:firstLineChars="0"/>
                    <w:jc w:val="center"/>
                    <w:rPr>
                      <w:rFonts w:eastAsia="宋体"/>
                      <w:sz w:val="21"/>
                    </w:rPr>
                  </w:pPr>
                  <w:r>
                    <w:rPr>
                      <w:rFonts w:eastAsia="宋体"/>
                      <w:sz w:val="21"/>
                    </w:rPr>
                    <w:t>水环境工业污染重点管控区</w:t>
                  </w:r>
                </w:p>
              </w:tc>
            </w:tr>
            <w:tr>
              <w:tblPrEx>
                <w:tblW w:w="5000" w:type="pct"/>
                <w:tblInd w:w="0" w:type="dxa"/>
                <w:tblCellMar>
                  <w:top w:w="0" w:type="dxa"/>
                  <w:left w:w="108" w:type="dxa"/>
                  <w:bottom w:w="0" w:type="dxa"/>
                  <w:right w:w="108" w:type="dxa"/>
                </w:tblCellMar>
              </w:tblPrEx>
              <w:trPr>
                <w:cantSplit/>
                <w:trHeight w:val="312"/>
                <w:tblHeader/>
              </w:trPr>
              <w:tc>
                <w:tcPr>
                  <w:tcW w:w="1079" w:type="pct"/>
                  <w:vAlign w:val="center"/>
                </w:tcPr>
                <w:p>
                  <w:pPr>
                    <w:pStyle w:val="Normal0"/>
                    <w:widowControl/>
                    <w:spacing w:line="240" w:lineRule="auto"/>
                    <w:ind w:firstLine="0" w:firstLineChars="0"/>
                    <w:jc w:val="center"/>
                    <w:rPr>
                      <w:rFonts w:eastAsia="宋体"/>
                      <w:sz w:val="21"/>
                    </w:rPr>
                  </w:pPr>
                  <w:r>
                    <w:rPr>
                      <w:rFonts w:eastAsia="宋体"/>
                      <w:sz w:val="21"/>
                    </w:rPr>
                    <w:t>YS5118022310001</w:t>
                  </w:r>
                </w:p>
              </w:tc>
              <w:tc>
                <w:tcPr>
                  <w:tcW w:w="920" w:type="pct"/>
                  <w:vAlign w:val="center"/>
                </w:tcPr>
                <w:p>
                  <w:pPr>
                    <w:pStyle w:val="Normal0"/>
                    <w:widowControl/>
                    <w:spacing w:line="240" w:lineRule="auto"/>
                    <w:ind w:firstLine="0" w:firstLineChars="0"/>
                    <w:jc w:val="center"/>
                    <w:rPr>
                      <w:rFonts w:eastAsia="宋体"/>
                      <w:sz w:val="21"/>
                    </w:rPr>
                  </w:pPr>
                  <w:r>
                    <w:rPr>
                      <w:rFonts w:eastAsia="宋体"/>
                      <w:sz w:val="21"/>
                    </w:rPr>
                    <w:t>雅安经济技术开发区</w:t>
                  </w:r>
                </w:p>
              </w:tc>
              <w:tc>
                <w:tcPr>
                  <w:tcW w:w="677" w:type="pct"/>
                  <w:vAlign w:val="center"/>
                </w:tcPr>
                <w:p>
                  <w:pPr>
                    <w:pStyle w:val="Normal0"/>
                    <w:widowControl/>
                    <w:spacing w:line="240" w:lineRule="auto"/>
                    <w:ind w:firstLine="0" w:firstLineChars="0"/>
                    <w:jc w:val="center"/>
                    <w:rPr>
                      <w:rFonts w:eastAsia="宋体"/>
                      <w:sz w:val="21"/>
                    </w:rPr>
                  </w:pPr>
                  <w:r>
                    <w:rPr>
                      <w:rFonts w:eastAsia="宋体"/>
                      <w:sz w:val="21"/>
                    </w:rPr>
                    <w:t>雅安市</w:t>
                  </w:r>
                </w:p>
              </w:tc>
              <w:tc>
                <w:tcPr>
                  <w:tcW w:w="505" w:type="pct"/>
                  <w:vAlign w:val="center"/>
                </w:tcPr>
                <w:p>
                  <w:pPr>
                    <w:pStyle w:val="Normal0"/>
                    <w:widowControl/>
                    <w:spacing w:line="240" w:lineRule="auto"/>
                    <w:ind w:firstLine="0" w:firstLineChars="0"/>
                    <w:jc w:val="center"/>
                    <w:rPr>
                      <w:rFonts w:eastAsia="宋体"/>
                      <w:sz w:val="21"/>
                    </w:rPr>
                  </w:pPr>
                  <w:r>
                    <w:rPr>
                      <w:rFonts w:eastAsia="宋体"/>
                      <w:sz w:val="21"/>
                    </w:rPr>
                    <w:t>雨城区</w:t>
                  </w:r>
                </w:p>
              </w:tc>
              <w:tc>
                <w:tcPr>
                  <w:tcW w:w="746" w:type="pct"/>
                  <w:vAlign w:val="center"/>
                </w:tcPr>
                <w:p>
                  <w:pPr>
                    <w:pStyle w:val="Normal0"/>
                    <w:widowControl/>
                    <w:spacing w:line="240" w:lineRule="auto"/>
                    <w:ind w:firstLine="0" w:firstLineChars="0"/>
                    <w:jc w:val="center"/>
                    <w:rPr>
                      <w:rFonts w:eastAsia="宋体"/>
                      <w:sz w:val="21"/>
                    </w:rPr>
                  </w:pPr>
                  <w:r>
                    <w:rPr>
                      <w:rFonts w:eastAsia="宋体"/>
                      <w:sz w:val="21"/>
                    </w:rPr>
                    <w:t>大气环境管控分区</w:t>
                  </w:r>
                </w:p>
              </w:tc>
              <w:tc>
                <w:tcPr>
                  <w:tcW w:w="1073" w:type="pct"/>
                  <w:vAlign w:val="center"/>
                </w:tcPr>
                <w:p>
                  <w:pPr>
                    <w:pStyle w:val="Normal0"/>
                    <w:widowControl/>
                    <w:spacing w:line="240" w:lineRule="auto"/>
                    <w:ind w:firstLine="0" w:firstLineChars="0"/>
                    <w:jc w:val="center"/>
                    <w:rPr>
                      <w:rFonts w:eastAsia="宋体"/>
                      <w:sz w:val="21"/>
                    </w:rPr>
                  </w:pPr>
                  <w:r>
                    <w:rPr>
                      <w:rFonts w:eastAsia="宋体"/>
                      <w:sz w:val="21"/>
                    </w:rPr>
                    <w:t>大气环境高排放重点管控区</w:t>
                  </w:r>
                </w:p>
              </w:tc>
            </w:tr>
            <w:tr>
              <w:tblPrEx>
                <w:tblW w:w="5000" w:type="pct"/>
                <w:tblInd w:w="0" w:type="dxa"/>
                <w:tblCellMar>
                  <w:top w:w="0" w:type="dxa"/>
                  <w:left w:w="108" w:type="dxa"/>
                  <w:bottom w:w="0" w:type="dxa"/>
                  <w:right w:w="108" w:type="dxa"/>
                </w:tblCellMar>
              </w:tblPrEx>
              <w:trPr>
                <w:cantSplit/>
                <w:trHeight w:val="312"/>
                <w:tblHeader/>
              </w:trPr>
              <w:tc>
                <w:tcPr>
                  <w:tcW w:w="1079" w:type="pct"/>
                  <w:vAlign w:val="center"/>
                </w:tcPr>
                <w:p>
                  <w:pPr>
                    <w:pStyle w:val="Normal0"/>
                    <w:widowControl/>
                    <w:spacing w:line="240" w:lineRule="auto"/>
                    <w:ind w:firstLine="0" w:firstLineChars="0"/>
                    <w:jc w:val="center"/>
                    <w:rPr>
                      <w:rFonts w:eastAsia="宋体"/>
                      <w:sz w:val="21"/>
                    </w:rPr>
                  </w:pPr>
                  <w:r>
                    <w:rPr>
                      <w:rFonts w:eastAsia="宋体"/>
                      <w:sz w:val="21"/>
                    </w:rPr>
                    <w:t>YS5118022530001</w:t>
                  </w:r>
                </w:p>
              </w:tc>
              <w:tc>
                <w:tcPr>
                  <w:tcW w:w="920" w:type="pct"/>
                  <w:vAlign w:val="center"/>
                </w:tcPr>
                <w:p>
                  <w:pPr>
                    <w:pStyle w:val="Normal0"/>
                    <w:widowControl/>
                    <w:spacing w:line="240" w:lineRule="auto"/>
                    <w:ind w:firstLine="0" w:firstLineChars="0"/>
                    <w:jc w:val="center"/>
                    <w:rPr>
                      <w:rFonts w:eastAsia="宋体"/>
                      <w:sz w:val="21"/>
                    </w:rPr>
                  </w:pPr>
                  <w:r>
                    <w:rPr>
                      <w:rFonts w:eastAsia="宋体"/>
                      <w:sz w:val="21"/>
                    </w:rPr>
                    <w:t>雅安经济技术开发区</w:t>
                  </w:r>
                </w:p>
              </w:tc>
              <w:tc>
                <w:tcPr>
                  <w:tcW w:w="677" w:type="pct"/>
                  <w:vAlign w:val="center"/>
                </w:tcPr>
                <w:p>
                  <w:pPr>
                    <w:pStyle w:val="Normal0"/>
                    <w:widowControl/>
                    <w:spacing w:line="240" w:lineRule="auto"/>
                    <w:ind w:firstLine="0" w:firstLineChars="0"/>
                    <w:jc w:val="center"/>
                    <w:rPr>
                      <w:rFonts w:eastAsia="宋体"/>
                      <w:sz w:val="21"/>
                    </w:rPr>
                  </w:pPr>
                  <w:r>
                    <w:rPr>
                      <w:rFonts w:eastAsia="宋体"/>
                      <w:sz w:val="21"/>
                    </w:rPr>
                    <w:t>雅安市</w:t>
                  </w:r>
                </w:p>
              </w:tc>
              <w:tc>
                <w:tcPr>
                  <w:tcW w:w="505" w:type="pct"/>
                  <w:vAlign w:val="center"/>
                </w:tcPr>
                <w:p>
                  <w:pPr>
                    <w:pStyle w:val="Normal0"/>
                    <w:widowControl/>
                    <w:spacing w:line="240" w:lineRule="auto"/>
                    <w:ind w:firstLine="0" w:firstLineChars="0"/>
                    <w:jc w:val="center"/>
                    <w:rPr>
                      <w:rFonts w:eastAsia="宋体"/>
                      <w:sz w:val="21"/>
                    </w:rPr>
                  </w:pPr>
                  <w:r>
                    <w:rPr>
                      <w:rFonts w:eastAsia="宋体"/>
                      <w:sz w:val="21"/>
                    </w:rPr>
                    <w:t>雨城区</w:t>
                  </w:r>
                </w:p>
              </w:tc>
              <w:tc>
                <w:tcPr>
                  <w:tcW w:w="746" w:type="pct"/>
                  <w:vAlign w:val="center"/>
                </w:tcPr>
                <w:p>
                  <w:pPr>
                    <w:pStyle w:val="Normal0"/>
                    <w:widowControl/>
                    <w:spacing w:line="240" w:lineRule="auto"/>
                    <w:ind w:firstLine="0" w:firstLineChars="0"/>
                    <w:jc w:val="center"/>
                    <w:rPr>
                      <w:rFonts w:eastAsia="宋体"/>
                      <w:sz w:val="21"/>
                    </w:rPr>
                  </w:pPr>
                  <w:r>
                    <w:rPr>
                      <w:rFonts w:eastAsia="宋体"/>
                      <w:sz w:val="21"/>
                    </w:rPr>
                    <w:t>自然资源管控分区</w:t>
                  </w:r>
                </w:p>
              </w:tc>
              <w:tc>
                <w:tcPr>
                  <w:tcW w:w="1073" w:type="pct"/>
                  <w:vAlign w:val="center"/>
                </w:tcPr>
                <w:p>
                  <w:pPr>
                    <w:pStyle w:val="Normal0"/>
                    <w:widowControl/>
                    <w:spacing w:line="240" w:lineRule="auto"/>
                    <w:ind w:firstLine="0" w:firstLineChars="0"/>
                    <w:jc w:val="center"/>
                    <w:rPr>
                      <w:rFonts w:eastAsia="宋体"/>
                      <w:sz w:val="21"/>
                    </w:rPr>
                  </w:pPr>
                  <w:r>
                    <w:rPr>
                      <w:rFonts w:eastAsia="宋体"/>
                      <w:sz w:val="21"/>
                    </w:rPr>
                    <w:t>土地资源重点管控区</w:t>
                  </w:r>
                </w:p>
              </w:tc>
            </w:tr>
            <w:tr>
              <w:tblPrEx>
                <w:tblW w:w="5000" w:type="pct"/>
                <w:tblInd w:w="0" w:type="dxa"/>
                <w:tblCellMar>
                  <w:top w:w="0" w:type="dxa"/>
                  <w:left w:w="108" w:type="dxa"/>
                  <w:bottom w:w="0" w:type="dxa"/>
                  <w:right w:w="108" w:type="dxa"/>
                </w:tblCellMar>
              </w:tblPrEx>
              <w:trPr>
                <w:cantSplit/>
                <w:trHeight w:val="312"/>
                <w:tblHeader/>
              </w:trPr>
              <w:tc>
                <w:tcPr>
                  <w:tcW w:w="1079" w:type="pct"/>
                  <w:vAlign w:val="center"/>
                </w:tcPr>
                <w:p>
                  <w:pPr>
                    <w:pStyle w:val="Normal0"/>
                    <w:widowControl/>
                    <w:spacing w:line="240" w:lineRule="auto"/>
                    <w:ind w:firstLine="0" w:firstLineChars="0"/>
                    <w:jc w:val="center"/>
                    <w:rPr>
                      <w:rFonts w:eastAsia="宋体"/>
                      <w:sz w:val="21"/>
                    </w:rPr>
                  </w:pPr>
                  <w:r>
                    <w:rPr>
                      <w:rFonts w:eastAsia="宋体"/>
                      <w:sz w:val="21"/>
                    </w:rPr>
                    <w:t>YS5118022550001</w:t>
                  </w:r>
                </w:p>
              </w:tc>
              <w:tc>
                <w:tcPr>
                  <w:tcW w:w="920" w:type="pct"/>
                  <w:vAlign w:val="center"/>
                </w:tcPr>
                <w:p>
                  <w:pPr>
                    <w:pStyle w:val="Normal0"/>
                    <w:widowControl/>
                    <w:spacing w:line="240" w:lineRule="auto"/>
                    <w:ind w:firstLine="0" w:firstLineChars="0"/>
                    <w:jc w:val="center"/>
                    <w:rPr>
                      <w:rFonts w:eastAsia="宋体"/>
                      <w:sz w:val="21"/>
                    </w:rPr>
                  </w:pPr>
                  <w:r>
                    <w:rPr>
                      <w:rFonts w:eastAsia="宋体"/>
                      <w:sz w:val="21"/>
                    </w:rPr>
                    <w:t>自然资源重点管控区</w:t>
                  </w:r>
                </w:p>
              </w:tc>
              <w:tc>
                <w:tcPr>
                  <w:tcW w:w="677" w:type="pct"/>
                  <w:vAlign w:val="center"/>
                </w:tcPr>
                <w:p>
                  <w:pPr>
                    <w:pStyle w:val="Normal0"/>
                    <w:widowControl/>
                    <w:spacing w:line="240" w:lineRule="auto"/>
                    <w:ind w:firstLine="0" w:firstLineChars="0"/>
                    <w:jc w:val="center"/>
                    <w:rPr>
                      <w:rFonts w:eastAsia="宋体"/>
                      <w:sz w:val="21"/>
                    </w:rPr>
                  </w:pPr>
                  <w:r>
                    <w:rPr>
                      <w:rFonts w:eastAsia="宋体"/>
                      <w:sz w:val="21"/>
                    </w:rPr>
                    <w:t>雅安市</w:t>
                  </w:r>
                </w:p>
              </w:tc>
              <w:tc>
                <w:tcPr>
                  <w:tcW w:w="505" w:type="pct"/>
                  <w:vAlign w:val="center"/>
                </w:tcPr>
                <w:p>
                  <w:pPr>
                    <w:pStyle w:val="Normal0"/>
                    <w:widowControl/>
                    <w:spacing w:line="240" w:lineRule="auto"/>
                    <w:ind w:firstLine="0" w:firstLineChars="0"/>
                    <w:jc w:val="center"/>
                    <w:rPr>
                      <w:rFonts w:eastAsia="宋体"/>
                      <w:sz w:val="21"/>
                    </w:rPr>
                  </w:pPr>
                  <w:r>
                    <w:rPr>
                      <w:rFonts w:eastAsia="宋体"/>
                      <w:sz w:val="21"/>
                    </w:rPr>
                    <w:t>雨城区</w:t>
                  </w:r>
                </w:p>
              </w:tc>
              <w:tc>
                <w:tcPr>
                  <w:tcW w:w="746" w:type="pct"/>
                  <w:vAlign w:val="center"/>
                </w:tcPr>
                <w:p>
                  <w:pPr>
                    <w:pStyle w:val="Normal0"/>
                    <w:widowControl/>
                    <w:spacing w:line="240" w:lineRule="auto"/>
                    <w:ind w:firstLine="0" w:firstLineChars="0"/>
                    <w:jc w:val="center"/>
                    <w:rPr>
                      <w:rFonts w:eastAsia="宋体"/>
                      <w:sz w:val="21"/>
                    </w:rPr>
                  </w:pPr>
                  <w:r>
                    <w:rPr>
                      <w:rFonts w:eastAsia="宋体"/>
                      <w:sz w:val="21"/>
                    </w:rPr>
                    <w:t>自然资源管控分区</w:t>
                  </w:r>
                </w:p>
              </w:tc>
              <w:tc>
                <w:tcPr>
                  <w:tcW w:w="1073" w:type="pct"/>
                  <w:vAlign w:val="center"/>
                </w:tcPr>
                <w:p>
                  <w:pPr>
                    <w:pStyle w:val="Normal0"/>
                    <w:widowControl/>
                    <w:spacing w:line="240" w:lineRule="auto"/>
                    <w:ind w:firstLine="0" w:firstLineChars="0"/>
                    <w:jc w:val="center"/>
                    <w:rPr>
                      <w:rFonts w:eastAsia="宋体"/>
                      <w:sz w:val="21"/>
                    </w:rPr>
                  </w:pPr>
                  <w:r>
                    <w:rPr>
                      <w:rFonts w:eastAsia="宋体"/>
                      <w:sz w:val="21"/>
                    </w:rPr>
                    <w:t>自然资源重点管控区</w:t>
                  </w:r>
                </w:p>
              </w:tc>
            </w:tr>
            <w:tr>
              <w:tblPrEx>
                <w:tblW w:w="5000" w:type="pct"/>
                <w:tblInd w:w="0" w:type="dxa"/>
                <w:tblCellMar>
                  <w:top w:w="0" w:type="dxa"/>
                  <w:left w:w="108" w:type="dxa"/>
                  <w:bottom w:w="0" w:type="dxa"/>
                  <w:right w:w="108" w:type="dxa"/>
                </w:tblCellMar>
              </w:tblPrEx>
              <w:trPr>
                <w:cantSplit/>
                <w:trHeight w:val="312"/>
                <w:tblHeader/>
              </w:trPr>
              <w:tc>
                <w:tcPr>
                  <w:tcW w:w="1079" w:type="pct"/>
                  <w:vAlign w:val="center"/>
                </w:tcPr>
                <w:p>
                  <w:pPr>
                    <w:pStyle w:val="Normal0"/>
                    <w:widowControl/>
                    <w:spacing w:line="240" w:lineRule="auto"/>
                    <w:ind w:firstLine="0" w:firstLineChars="0"/>
                    <w:jc w:val="center"/>
                    <w:rPr>
                      <w:rFonts w:eastAsia="宋体"/>
                      <w:sz w:val="21"/>
                    </w:rPr>
                  </w:pPr>
                  <w:r>
                    <w:rPr>
                      <w:rFonts w:eastAsia="宋体"/>
                      <w:sz w:val="21"/>
                    </w:rPr>
                    <w:t>YS5118022420001</w:t>
                  </w:r>
                </w:p>
              </w:tc>
              <w:tc>
                <w:tcPr>
                  <w:tcW w:w="920" w:type="pct"/>
                  <w:vAlign w:val="center"/>
                </w:tcPr>
                <w:p>
                  <w:pPr>
                    <w:pStyle w:val="Normal0"/>
                    <w:widowControl/>
                    <w:spacing w:line="240" w:lineRule="auto"/>
                    <w:ind w:firstLine="0" w:firstLineChars="0"/>
                    <w:jc w:val="center"/>
                    <w:rPr>
                      <w:rFonts w:eastAsia="宋体"/>
                      <w:sz w:val="21"/>
                    </w:rPr>
                  </w:pPr>
                  <w:r>
                    <w:rPr>
                      <w:rFonts w:eastAsia="宋体"/>
                      <w:sz w:val="21"/>
                    </w:rPr>
                    <w:t>雨城区建设用地污染风险重点管控区</w:t>
                  </w:r>
                </w:p>
              </w:tc>
              <w:tc>
                <w:tcPr>
                  <w:tcW w:w="677" w:type="pct"/>
                  <w:vAlign w:val="center"/>
                </w:tcPr>
                <w:p>
                  <w:pPr>
                    <w:pStyle w:val="Normal0"/>
                    <w:widowControl/>
                    <w:spacing w:line="240" w:lineRule="auto"/>
                    <w:ind w:firstLine="0" w:firstLineChars="0"/>
                    <w:jc w:val="center"/>
                    <w:rPr>
                      <w:rFonts w:eastAsia="宋体"/>
                      <w:sz w:val="21"/>
                    </w:rPr>
                  </w:pPr>
                  <w:r>
                    <w:rPr>
                      <w:rFonts w:eastAsia="宋体"/>
                      <w:sz w:val="21"/>
                    </w:rPr>
                    <w:t>雅安市</w:t>
                  </w:r>
                </w:p>
              </w:tc>
              <w:tc>
                <w:tcPr>
                  <w:tcW w:w="505" w:type="pct"/>
                  <w:vAlign w:val="center"/>
                </w:tcPr>
                <w:p>
                  <w:pPr>
                    <w:pStyle w:val="Normal0"/>
                    <w:widowControl/>
                    <w:spacing w:line="240" w:lineRule="auto"/>
                    <w:ind w:firstLine="0" w:firstLineChars="0"/>
                    <w:jc w:val="center"/>
                    <w:rPr>
                      <w:rFonts w:eastAsia="宋体"/>
                      <w:sz w:val="21"/>
                    </w:rPr>
                  </w:pPr>
                  <w:r>
                    <w:rPr>
                      <w:rFonts w:eastAsia="宋体"/>
                      <w:sz w:val="21"/>
                    </w:rPr>
                    <w:t>雨城区</w:t>
                  </w:r>
                </w:p>
              </w:tc>
              <w:tc>
                <w:tcPr>
                  <w:tcW w:w="746" w:type="pct"/>
                  <w:vAlign w:val="center"/>
                </w:tcPr>
                <w:p>
                  <w:pPr>
                    <w:pStyle w:val="Normal0"/>
                    <w:widowControl/>
                    <w:spacing w:line="240" w:lineRule="auto"/>
                    <w:ind w:firstLine="0" w:firstLineChars="0"/>
                    <w:jc w:val="center"/>
                    <w:rPr>
                      <w:rFonts w:eastAsia="宋体"/>
                      <w:sz w:val="21"/>
                    </w:rPr>
                  </w:pPr>
                  <w:r>
                    <w:rPr>
                      <w:rFonts w:eastAsia="宋体"/>
                      <w:sz w:val="21"/>
                    </w:rPr>
                    <w:t>土壤污染风险管控分区</w:t>
                  </w:r>
                </w:p>
              </w:tc>
              <w:tc>
                <w:tcPr>
                  <w:tcW w:w="1073" w:type="pct"/>
                  <w:vAlign w:val="center"/>
                </w:tcPr>
                <w:p>
                  <w:pPr>
                    <w:pStyle w:val="Normal0"/>
                    <w:widowControl/>
                    <w:spacing w:line="240" w:lineRule="auto"/>
                    <w:ind w:firstLine="0" w:firstLineChars="0"/>
                    <w:jc w:val="center"/>
                    <w:rPr>
                      <w:rFonts w:eastAsia="宋体"/>
                      <w:sz w:val="21"/>
                    </w:rPr>
                  </w:pPr>
                  <w:r>
                    <w:rPr>
                      <w:rFonts w:eastAsia="宋体"/>
                      <w:sz w:val="21"/>
                    </w:rPr>
                    <w:t>建设用地污染风险重点管控区</w:t>
                  </w:r>
                </w:p>
              </w:tc>
            </w:tr>
          </w:tbl>
          <w:p>
            <w:pPr>
              <w:pStyle w:val="003"/>
              <w:ind w:firstLine="420"/>
              <w:rPr>
                <w:color w:val="auto"/>
              </w:rPr>
            </w:pPr>
            <w:r>
              <w:rPr>
                <w:color w:val="auto"/>
              </w:rPr>
              <w:t>本项目位于雅安市雨城区环境综合管控单元工业重点管控单元（管控单元名称：雅安经济技术开发区，管控单元编号：ZH51180220003）项目与管控单元相对位置如下图所示：（图中▼表示项目位置）</w:t>
            </w:r>
          </w:p>
        </w:tc>
      </w:tr>
    </w:tbl>
    <w:p>
      <w:pPr>
        <w:sectPr>
          <w:footerReference w:type="even" r:id="rId26"/>
          <w:footerReference w:type="default" r:id="rId27"/>
          <w:type w:val="nextPage"/>
          <w:pgSz w:w="11906" w:h="16838"/>
          <w:pgMar w:top="1701" w:right="1531" w:bottom="1701" w:left="1531" w:header="851" w:footer="1077" w:gutter="0"/>
          <w:pgNumType w:fmt="numberInDash" w:start="8"/>
          <w:cols w:num="1" w:space="720"/>
          <w:titlePg w:val="0"/>
          <w:docGrid w:linePitch="312" w:charSpace="0"/>
        </w:sectPr>
      </w:pP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6869"/>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8905"/>
        </w:trPr>
        <w:tc>
          <w:tcPr>
            <w:tcW w:w="2226" w:type="dxa"/>
            <w:tcMar>
              <w:top w:w="16" w:type="dxa"/>
              <w:left w:w="16" w:type="dxa"/>
              <w:right w:w="16" w:type="dxa"/>
            </w:tcMar>
            <w:vAlign w:val="center"/>
          </w:tcPr>
          <w:p/>
        </w:tc>
        <w:tc>
          <w:tcPr>
            <w:tcW w:w="6813" w:type="dxa"/>
            <w:tcMar>
              <w:top w:w="16" w:type="dxa"/>
              <w:left w:w="16" w:type="dxa"/>
              <w:right w:w="16" w:type="dxa"/>
            </w:tcMar>
            <w:vAlign w:val="center"/>
          </w:tcPr>
          <w:p>
            <w:pPr>
              <w:pStyle w:val="003"/>
              <w:ind w:firstLine="0" w:firstLineChars="0"/>
              <w:rPr>
                <w:color w:val="auto"/>
              </w:rPr>
            </w:pPr>
            <w:r>
              <w:rPr>
                <w:color w:val="auto"/>
              </w:rPr>
              <w:drawing>
                <wp:inline distT="0" distB="0" distL="0" distR="0">
                  <wp:extent cx="4303395" cy="258254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a:xfrm>
                            <a:off x="0" y="0"/>
                            <a:ext cx="4303395" cy="2582545"/>
                          </a:xfrm>
                          <a:prstGeom prst="rect">
                            <a:avLst/>
                          </a:prstGeom>
                          <a:noFill/>
                          <a:ln>
                            <a:noFill/>
                          </a:ln>
                        </pic:spPr>
                      </pic:pic>
                    </a:graphicData>
                  </a:graphic>
                </wp:inline>
              </w:drawing>
            </w:r>
          </w:p>
          <w:p>
            <w:pPr>
              <w:pStyle w:val="0010"/>
              <w:rPr>
                <w:color w:val="auto"/>
              </w:rPr>
            </w:pPr>
            <w:r>
              <w:rPr>
                <w:color w:val="auto"/>
              </w:rPr>
              <w:t>图1-5  项目</w:t>
            </w:r>
            <w:r>
              <w:rPr>
                <w:rFonts w:hint="eastAsia"/>
                <w:color w:val="auto"/>
              </w:rPr>
              <w:t>（点状示意）</w:t>
            </w:r>
            <w:r>
              <w:rPr>
                <w:color w:val="auto"/>
              </w:rPr>
              <w:t>与环境综合管控单元的位置关系图</w:t>
            </w:r>
          </w:p>
          <w:p>
            <w:pPr>
              <w:pStyle w:val="0010"/>
              <w:rPr>
                <w:color w:val="auto"/>
              </w:rPr>
            </w:pPr>
            <w:r>
              <w:rPr>
                <w:rFonts w:hint="eastAsia"/>
                <w:color w:val="auto"/>
              </w:rPr>
              <w:drawing>
                <wp:inline distT="0" distB="0" distL="0" distR="0">
                  <wp:extent cx="4324985" cy="363029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9" cstate="print">
                            <a:extLst>
                              <a:ext xmlns:a="http://schemas.openxmlformats.org/drawingml/2006/main" uri="{28A0092B-C50C-407E-A947-70E740481C1C}">
                                <a14:useLocalDpi xmlns:a14="http://schemas.microsoft.com/office/drawing/2010/main" val="0"/>
                              </a:ext>
                            </a:extLst>
                          </a:blip>
                          <a:stretch>
                            <a:fillRect/>
                          </a:stretch>
                        </pic:blipFill>
                        <pic:spPr>
                          <a:xfrm>
                            <a:off x="0" y="0"/>
                            <a:ext cx="4332372" cy="3636312"/>
                          </a:xfrm>
                          <a:prstGeom prst="rect">
                            <a:avLst/>
                          </a:prstGeom>
                        </pic:spPr>
                      </pic:pic>
                    </a:graphicData>
                  </a:graphic>
                </wp:inline>
              </w:drawing>
            </w:r>
          </w:p>
          <w:p>
            <w:pPr>
              <w:pStyle w:val="0010"/>
              <w:rPr>
                <w:color w:val="auto"/>
              </w:rPr>
            </w:pPr>
            <w:r>
              <w:rPr>
                <w:color w:val="auto"/>
              </w:rPr>
              <w:t>图1-6  项目</w:t>
            </w:r>
            <w:r>
              <w:rPr>
                <w:rFonts w:hint="eastAsia"/>
                <w:color w:val="auto"/>
              </w:rPr>
              <w:t>（线状示意）</w:t>
            </w:r>
            <w:r>
              <w:rPr>
                <w:color w:val="auto"/>
              </w:rPr>
              <w:t>与环境综合管控单元的位置关系图</w:t>
            </w:r>
          </w:p>
          <w:p>
            <w:pPr>
              <w:pStyle w:val="0010"/>
              <w:rPr>
                <w:color w:val="auto"/>
              </w:rPr>
            </w:pPr>
          </w:p>
          <w:p>
            <w:pPr>
              <w:pStyle w:val="0010"/>
              <w:rPr>
                <w:color w:val="auto"/>
              </w:rPr>
            </w:pPr>
            <w:r>
              <w:rPr>
                <w:color w:val="auto"/>
              </w:rPr>
              <w:t>表1-5  建设项目与“三线一单”要求符合性分析</w:t>
            </w:r>
          </w:p>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792"/>
              <w:gridCol w:w="496"/>
              <w:gridCol w:w="496"/>
              <w:gridCol w:w="2646"/>
              <w:gridCol w:w="884"/>
              <w:gridCol w:w="467"/>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5430" w:type="dxa"/>
                  <w:gridSpan w:val="4"/>
                  <w:shd w:val="clear" w:color="auto" w:fill="auto"/>
                  <w:vAlign w:val="center"/>
                </w:tcPr>
                <w:p>
                  <w:pPr>
                    <w:pStyle w:val="003"/>
                    <w:ind w:firstLine="0" w:firstLineChars="0"/>
                    <w:jc w:val="center"/>
                    <w:rPr>
                      <w:color w:val="auto"/>
                    </w:rPr>
                  </w:pPr>
                  <w:r>
                    <w:rPr>
                      <w:color w:val="auto"/>
                    </w:rPr>
                    <w:t>三线一单具体要求</w:t>
                  </w:r>
                </w:p>
              </w:tc>
              <w:tc>
                <w:tcPr>
                  <w:tcW w:w="884" w:type="dxa"/>
                  <w:vMerge w:val="restart"/>
                  <w:shd w:val="clear" w:color="auto" w:fill="auto"/>
                  <w:vAlign w:val="center"/>
                </w:tcPr>
                <w:p>
                  <w:pPr>
                    <w:pStyle w:val="003"/>
                    <w:ind w:firstLine="0" w:firstLineChars="0"/>
                    <w:jc w:val="center"/>
                    <w:rPr>
                      <w:color w:val="auto"/>
                    </w:rPr>
                  </w:pPr>
                  <w:r>
                    <w:rPr>
                      <w:color w:val="auto"/>
                    </w:rPr>
                    <w:t>本项目</w:t>
                  </w:r>
                </w:p>
              </w:tc>
              <w:tc>
                <w:tcPr>
                  <w:tcW w:w="467" w:type="dxa"/>
                  <w:vMerge w:val="restart"/>
                  <w:shd w:val="clear" w:color="auto" w:fill="auto"/>
                  <w:vAlign w:val="center"/>
                </w:tcPr>
                <w:p>
                  <w:pPr>
                    <w:pStyle w:val="003"/>
                    <w:ind w:firstLine="0" w:firstLineChars="0"/>
                    <w:jc w:val="center"/>
                    <w:rPr>
                      <w:color w:val="auto"/>
                    </w:rPr>
                  </w:pPr>
                  <w:r>
                    <w:rPr>
                      <w:color w:val="auto"/>
                    </w:rPr>
                    <w:t>符合性</w:t>
                  </w:r>
                </w:p>
              </w:tc>
            </w:tr>
            <w:tr>
              <w:tblPrEx>
                <w:tblW w:w="0" w:type="auto"/>
                <w:tblInd w:w="0" w:type="dxa"/>
                <w:tblCellMar>
                  <w:top w:w="0" w:type="dxa"/>
                  <w:left w:w="108" w:type="dxa"/>
                  <w:bottom w:w="0" w:type="dxa"/>
                  <w:right w:w="108" w:type="dxa"/>
                </w:tblCellMar>
              </w:tblPrEx>
              <w:tc>
                <w:tcPr>
                  <w:tcW w:w="2784" w:type="dxa"/>
                  <w:gridSpan w:val="3"/>
                  <w:shd w:val="clear" w:color="auto" w:fill="auto"/>
                  <w:vAlign w:val="center"/>
                </w:tcPr>
                <w:p>
                  <w:pPr>
                    <w:pStyle w:val="003"/>
                    <w:ind w:firstLine="0" w:firstLineChars="0"/>
                    <w:jc w:val="center"/>
                    <w:rPr>
                      <w:color w:val="auto"/>
                    </w:rPr>
                  </w:pPr>
                  <w:r>
                    <w:rPr>
                      <w:color w:val="auto"/>
                    </w:rPr>
                    <w:t>类别</w:t>
                  </w:r>
                </w:p>
              </w:tc>
              <w:tc>
                <w:tcPr>
                  <w:tcW w:w="2646" w:type="dxa"/>
                  <w:shd w:val="clear" w:color="auto" w:fill="auto"/>
                  <w:vAlign w:val="center"/>
                </w:tcPr>
                <w:p>
                  <w:pPr>
                    <w:pStyle w:val="003"/>
                    <w:ind w:firstLine="0" w:firstLineChars="0"/>
                    <w:jc w:val="center"/>
                    <w:rPr>
                      <w:color w:val="auto"/>
                    </w:rPr>
                  </w:pPr>
                  <w:r>
                    <w:rPr>
                      <w:color w:val="auto"/>
                    </w:rPr>
                    <w:t>对应管控要求</w:t>
                  </w:r>
                </w:p>
              </w:tc>
              <w:tc>
                <w:tcPr>
                  <w:tcW w:w="884" w:type="dxa"/>
                  <w:vMerge/>
                  <w:shd w:val="clear" w:color="auto" w:fill="auto"/>
                  <w:vAlign w:val="center"/>
                </w:tcPr>
                <w:p>
                  <w:pPr>
                    <w:pStyle w:val="003"/>
                    <w:ind w:firstLine="0" w:firstLineChars="0"/>
                    <w:jc w:val="center"/>
                    <w:rPr>
                      <w:color w:val="auto"/>
                    </w:rPr>
                  </w:pPr>
                </w:p>
              </w:tc>
              <w:tc>
                <w:tcPr>
                  <w:tcW w:w="467" w:type="dxa"/>
                  <w:vMerge/>
                  <w:shd w:val="clear" w:color="auto" w:fill="auto"/>
                  <w:vAlign w:val="center"/>
                </w:tcPr>
                <w:p>
                  <w:pPr>
                    <w:pStyle w:val="003"/>
                    <w:ind w:firstLine="0" w:firstLineChars="0"/>
                    <w:jc w:val="center"/>
                    <w:rPr>
                      <w:color w:val="auto"/>
                    </w:rPr>
                  </w:pPr>
                </w:p>
              </w:tc>
            </w:tr>
            <w:tr>
              <w:tblPrEx>
                <w:tblW w:w="0" w:type="auto"/>
                <w:tblInd w:w="0" w:type="dxa"/>
                <w:tblCellMar>
                  <w:top w:w="0" w:type="dxa"/>
                  <w:left w:w="108" w:type="dxa"/>
                  <w:bottom w:w="0" w:type="dxa"/>
                  <w:right w:w="108" w:type="dxa"/>
                </w:tblCellMar>
              </w:tblPrEx>
              <w:tc>
                <w:tcPr>
                  <w:tcW w:w="1792" w:type="dxa"/>
                  <w:shd w:val="clear" w:color="auto" w:fill="auto"/>
                  <w:vAlign w:val="center"/>
                </w:tcPr>
                <w:p>
                  <w:pPr>
                    <w:pStyle w:val="003"/>
                    <w:ind w:firstLine="0" w:firstLineChars="0"/>
                    <w:jc w:val="center"/>
                    <w:rPr>
                      <w:color w:val="auto"/>
                    </w:rPr>
                  </w:pPr>
                  <w:r>
                    <w:rPr>
                      <w:color w:val="auto"/>
                    </w:rPr>
                    <w:t>ZH51180220003</w:t>
                  </w:r>
                </w:p>
              </w:tc>
              <w:tc>
                <w:tcPr>
                  <w:tcW w:w="496" w:type="dxa"/>
                  <w:shd w:val="clear" w:color="auto" w:fill="auto"/>
                  <w:vAlign w:val="center"/>
                </w:tcPr>
                <w:p>
                  <w:pPr>
                    <w:pStyle w:val="003"/>
                    <w:spacing w:after="0"/>
                    <w:ind w:firstLine="0" w:firstLineChars="0"/>
                    <w:jc w:val="center"/>
                    <w:rPr>
                      <w:color w:val="auto"/>
                    </w:rPr>
                  </w:pPr>
                </w:p>
              </w:tc>
              <w:tc>
                <w:tcPr>
                  <w:tcW w:w="496" w:type="dxa"/>
                  <w:shd w:val="clear" w:color="auto" w:fill="auto"/>
                  <w:vAlign w:val="center"/>
                </w:tcPr>
                <w:p>
                  <w:pPr>
                    <w:pStyle w:val="003"/>
                    <w:spacing w:after="0"/>
                    <w:ind w:firstLine="0" w:firstLineChars="0"/>
                    <w:jc w:val="center"/>
                    <w:rPr>
                      <w:color w:val="auto"/>
                    </w:rPr>
                  </w:pPr>
                </w:p>
              </w:tc>
              <w:tc>
                <w:tcPr>
                  <w:tcW w:w="2646" w:type="dxa"/>
                  <w:shd w:val="clear" w:color="auto" w:fill="auto"/>
                  <w:vAlign w:val="center"/>
                </w:tcPr>
                <w:p>
                  <w:pPr>
                    <w:pStyle w:val="006"/>
                    <w:spacing w:after="0"/>
                    <w:rPr>
                      <w:color w:val="auto"/>
                      <w:szCs w:val="21"/>
                    </w:rPr>
                  </w:pPr>
                </w:p>
              </w:tc>
              <w:tc>
                <w:tcPr>
                  <w:tcW w:w="884" w:type="dxa"/>
                  <w:shd w:val="clear" w:color="auto" w:fill="auto"/>
                  <w:vAlign w:val="center"/>
                </w:tcPr>
                <w:p>
                  <w:pPr>
                    <w:pStyle w:val="006"/>
                    <w:spacing w:after="0"/>
                    <w:rPr>
                      <w:color w:val="auto"/>
                    </w:rPr>
                  </w:pPr>
                </w:p>
              </w:tc>
              <w:tc>
                <w:tcPr>
                  <w:tcW w:w="467" w:type="dxa"/>
                  <w:shd w:val="clear" w:color="auto" w:fill="auto"/>
                  <w:vAlign w:val="center"/>
                </w:tcPr>
                <w:p>
                  <w:pPr>
                    <w:pStyle w:val="003"/>
                    <w:spacing w:after="0"/>
                    <w:ind w:firstLine="0" w:firstLineChars="0"/>
                    <w:jc w:val="center"/>
                    <w:rPr>
                      <w:color w:val="auto"/>
                    </w:rPr>
                  </w:pPr>
                </w:p>
              </w:tc>
            </w:tr>
          </w:tbl>
          <w:p/>
        </w:tc>
      </w:tr>
    </w:tbl>
    <w:p>
      <w:pPr>
        <w:sectPr>
          <w:footerReference w:type="even" r:id="rId30"/>
          <w:footerReference w:type="default" r:id="rId31"/>
          <w:type w:val="nextPage"/>
          <w:pgSz w:w="11906" w:h="16838"/>
          <w:pgMar w:top="1701" w:right="1531" w:bottom="1701" w:left="1531" w:header="851" w:footer="1077" w:gutter="0"/>
          <w:pgNumType w:fmt="numberInDash" w:start="9"/>
          <w:cols w:num="1" w:space="720"/>
          <w:titlePg w:val="0"/>
          <w:docGrid w:linePitch="312" w:charSpace="0"/>
        </w:sectPr>
      </w:pP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6869"/>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8905"/>
        </w:trPr>
        <w:tc>
          <w:tcPr>
            <w:tcW w:w="2226" w:type="dxa"/>
            <w:tcMar>
              <w:top w:w="16" w:type="dxa"/>
              <w:left w:w="16" w:type="dxa"/>
              <w:right w:w="16" w:type="dxa"/>
            </w:tcMar>
            <w:vAlign w:val="center"/>
          </w:tcPr>
          <w:p/>
        </w:tc>
        <w:tc>
          <w:tcPr>
            <w:tcW w:w="6813" w:type="dxa"/>
            <w:tcMar>
              <w:top w:w="16" w:type="dxa"/>
              <w:left w:w="16" w:type="dxa"/>
              <w:right w:w="16" w:type="dxa"/>
            </w:tcMar>
            <w:vAlign w:val="center"/>
          </w:tcPr>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792"/>
              <w:gridCol w:w="496"/>
              <w:gridCol w:w="496"/>
              <w:gridCol w:w="2646"/>
              <w:gridCol w:w="884"/>
              <w:gridCol w:w="467"/>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1792" w:type="dxa"/>
                  <w:shd w:val="clear" w:color="auto" w:fill="auto"/>
                  <w:vAlign w:val="center"/>
                </w:tcPr>
                <w:p/>
              </w:tc>
              <w:tc>
                <w:tcPr>
                  <w:tcW w:w="496" w:type="dxa"/>
                  <w:shd w:val="clear" w:color="auto" w:fill="auto"/>
                  <w:vAlign w:val="center"/>
                </w:tcPr>
                <w:p>
                  <w:pPr>
                    <w:pStyle w:val="003"/>
                    <w:spacing w:before="0"/>
                    <w:ind w:firstLine="0" w:firstLineChars="0"/>
                    <w:jc w:val="center"/>
                    <w:rPr>
                      <w:color w:val="auto"/>
                    </w:rPr>
                  </w:pPr>
                  <w:r>
                    <w:rPr>
                      <w:color w:val="auto"/>
                    </w:rPr>
                    <w:t>雅安经济开发区</w:t>
                  </w:r>
                </w:p>
              </w:tc>
              <w:tc>
                <w:tcPr>
                  <w:tcW w:w="496" w:type="dxa"/>
                  <w:shd w:val="clear" w:color="auto" w:fill="auto"/>
                  <w:vAlign w:val="center"/>
                </w:tcPr>
                <w:p>
                  <w:pPr>
                    <w:pStyle w:val="003"/>
                    <w:spacing w:before="0"/>
                    <w:ind w:firstLine="0" w:firstLineChars="0"/>
                    <w:jc w:val="center"/>
                    <w:rPr>
                      <w:color w:val="auto"/>
                    </w:rPr>
                  </w:pPr>
                  <w:r>
                    <w:rPr>
                      <w:color w:val="auto"/>
                    </w:rPr>
                    <w:t>空间布局约束</w:t>
                  </w:r>
                </w:p>
              </w:tc>
              <w:tc>
                <w:tcPr>
                  <w:tcW w:w="2646" w:type="dxa"/>
                  <w:shd w:val="clear" w:color="auto" w:fill="auto"/>
                  <w:vAlign w:val="center"/>
                </w:tcPr>
                <w:p>
                  <w:pPr>
                    <w:pStyle w:val="006"/>
                    <w:spacing w:before="0"/>
                    <w:rPr>
                      <w:color w:val="auto"/>
                      <w:szCs w:val="21"/>
                    </w:rPr>
                  </w:pPr>
                  <w:r>
                    <w:rPr>
                      <w:color w:val="auto"/>
                    </w:rPr>
                    <w:t>禁止开发建设活动的要求</w:t>
                  </w:r>
                </w:p>
                <w:p>
                  <w:pPr>
                    <w:pStyle w:val="006"/>
                    <w:rPr>
                      <w:color w:val="auto"/>
                    </w:rPr>
                  </w:pPr>
                  <w:r>
                    <w:rPr>
                      <w:rFonts w:hint="eastAsia"/>
                      <w:color w:val="auto"/>
                    </w:rPr>
                    <w:t>－</w:t>
                  </w:r>
                  <w:r>
                    <w:rPr>
                      <w:color w:val="auto"/>
                    </w:rPr>
                    <w:t>禁止引入电石、炼铁、球团及烧结、铁合金冶炼、焦化、煤化工、黄磷等对大气环境污染重，禁止引入不符合国家产业政策的企业，不能执行清洁生产的企业；</w:t>
                  </w:r>
                </w:p>
                <w:p>
                  <w:pPr>
                    <w:pStyle w:val="006"/>
                    <w:rPr>
                      <w:color w:val="auto"/>
                    </w:rPr>
                  </w:pPr>
                  <w:r>
                    <w:rPr>
                      <w:color w:val="auto"/>
                    </w:rPr>
                    <w:t>限制开发建设活动的要求</w:t>
                  </w:r>
                </w:p>
                <w:p>
                  <w:pPr>
                    <w:pStyle w:val="006"/>
                    <w:rPr>
                      <w:color w:val="auto"/>
                    </w:rPr>
                  </w:pPr>
                  <w:r>
                    <w:rPr>
                      <w:rFonts w:hint="eastAsia"/>
                      <w:color w:val="auto"/>
                    </w:rPr>
                    <w:t>－</w:t>
                  </w:r>
                  <w:r>
                    <w:rPr>
                      <w:color w:val="auto"/>
                    </w:rPr>
                    <w:t>严格涉重项目环境准入（依据：《雅安市雨城区“十三五”生态环境保护规划》）</w:t>
                  </w:r>
                  <w:r>
                    <w:rPr>
                      <w:rFonts w:hint="eastAsia"/>
                      <w:color w:val="auto"/>
                    </w:rPr>
                    <w:t>－</w:t>
                  </w:r>
                  <w:r>
                    <w:rPr>
                      <w:color w:val="auto"/>
                    </w:rPr>
                    <w:t>其他同雅安市工业空间重点单元普适性管控要求.</w:t>
                  </w:r>
                </w:p>
                <w:p>
                  <w:pPr>
                    <w:pStyle w:val="006"/>
                    <w:rPr>
                      <w:color w:val="auto"/>
                    </w:rPr>
                  </w:pPr>
                  <w:r>
                    <w:rPr>
                      <w:color w:val="auto"/>
                    </w:rPr>
                    <w:t>符合空间布局要求活动的退出要求</w:t>
                  </w:r>
                </w:p>
                <w:p>
                  <w:pPr>
                    <w:pStyle w:val="006"/>
                    <w:spacing w:after="0"/>
                    <w:rPr>
                      <w:color w:val="auto"/>
                    </w:rPr>
                  </w:pPr>
                  <w:r>
                    <w:rPr>
                      <w:rFonts w:hint="eastAsia"/>
                      <w:color w:val="auto"/>
                    </w:rPr>
                    <w:t>－</w:t>
                  </w:r>
                  <w:r>
                    <w:rPr>
                      <w:rFonts w:hint="eastAsia"/>
                      <w:color w:val="auto"/>
                      <w:lang w:eastAsia="zh-CN"/>
                    </w:rPr>
                    <w:t>**</w:t>
                  </w:r>
                  <w:r>
                    <w:rPr>
                      <w:color w:val="auto"/>
                    </w:rPr>
                    <w:t>场镇居住用地区域及园区靠中心城区方向：加大小化工（按</w:t>
                  </w:r>
                  <w:r>
                    <w:rPr>
                      <w:rFonts w:hint="eastAsia"/>
                      <w:color w:val="auto"/>
                    </w:rPr>
                    <w:t>工信部</w:t>
                  </w:r>
                  <w:r>
                    <w:rPr>
                      <w:color w:val="auto"/>
                    </w:rPr>
                    <w:t>有关淘汰落后产能公告（2010第122号）执行）、小钢铁（20吨以下的转炉（不含铁合金转炉）和电炉（不含高合金钢和机械铸造电炉）；300立方米以下高炉）、小冶炼（12500千伏安以下铁合金矿热电炉；电解金属锰5000千伏安以下的整流变压器生产线）、小造纸（单条年生产能力3.4万吨的非木浆生产线；单条年生产能力1.7万吨的化学木浆生产线；单条年生产能力1万吨以废纸为原料的纸浆生产线）、小水泥（年产规模小于20万吨和环保或水泥质量不达标企业；仍在使用或尚未拆除直径1.83米以下的水泥粉磨；仍在使用或尚未拆除的立窑）等行业落后产能的淘汰力度（依据：《国家产业结构调整指导目录》、《国务院关于进一步加强淘汰落后产能工作的通知》）</w:t>
                  </w:r>
                  <w:r>
                    <w:rPr>
                      <w:rFonts w:hint="eastAsia"/>
                      <w:color w:val="auto"/>
                    </w:rPr>
                    <w:t>－</w:t>
                  </w:r>
                </w:p>
              </w:tc>
              <w:tc>
                <w:tcPr>
                  <w:tcW w:w="884" w:type="dxa"/>
                  <w:shd w:val="clear" w:color="auto" w:fill="auto"/>
                  <w:vAlign w:val="center"/>
                </w:tcPr>
                <w:p>
                  <w:pPr>
                    <w:pStyle w:val="006"/>
                    <w:spacing w:before="0"/>
                    <w:rPr>
                      <w:color w:val="auto"/>
                    </w:rPr>
                  </w:pPr>
                  <w:r>
                    <w:rPr>
                      <w:color w:val="auto"/>
                    </w:rPr>
                    <w:t>本项目为道路建设，不属于禁止开发类项目</w:t>
                  </w:r>
                </w:p>
              </w:tc>
              <w:tc>
                <w:tcPr>
                  <w:tcW w:w="467" w:type="dxa"/>
                  <w:shd w:val="clear" w:color="auto" w:fill="auto"/>
                  <w:vAlign w:val="center"/>
                </w:tcPr>
                <w:p>
                  <w:pPr>
                    <w:pStyle w:val="003"/>
                    <w:spacing w:before="0"/>
                    <w:ind w:firstLine="0" w:firstLineChars="0"/>
                    <w:jc w:val="center"/>
                    <w:rPr>
                      <w:color w:val="auto"/>
                    </w:rPr>
                  </w:pPr>
                  <w:r>
                    <w:rPr>
                      <w:color w:val="auto"/>
                    </w:rPr>
                    <w:t>符合</w:t>
                  </w:r>
                </w:p>
              </w:tc>
            </w:tr>
          </w:tbl>
          <w:p/>
        </w:tc>
      </w:tr>
    </w:tbl>
    <w:p>
      <w:pPr>
        <w:sectPr>
          <w:footerReference w:type="even" r:id="rId32"/>
          <w:footerReference w:type="default" r:id="rId33"/>
          <w:type w:val="nextPage"/>
          <w:pgSz w:w="11906" w:h="16838"/>
          <w:pgMar w:top="1701" w:right="1531" w:bottom="1701" w:left="1531" w:header="851" w:footer="1077" w:gutter="0"/>
          <w:pgNumType w:fmt="numberInDash" w:start="10"/>
          <w:cols w:num="1" w:space="720"/>
          <w:titlePg w:val="0"/>
          <w:docGrid w:linePitch="312" w:charSpace="0"/>
        </w:sectPr>
      </w:pP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6869"/>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8905"/>
        </w:trPr>
        <w:tc>
          <w:tcPr>
            <w:tcW w:w="2226" w:type="dxa"/>
            <w:tcMar>
              <w:top w:w="16" w:type="dxa"/>
              <w:left w:w="16" w:type="dxa"/>
              <w:right w:w="16" w:type="dxa"/>
            </w:tcMar>
            <w:vAlign w:val="center"/>
          </w:tcPr>
          <w:p/>
        </w:tc>
        <w:tc>
          <w:tcPr>
            <w:tcW w:w="6813" w:type="dxa"/>
            <w:tcMar>
              <w:top w:w="16" w:type="dxa"/>
              <w:left w:w="16" w:type="dxa"/>
              <w:right w:w="16" w:type="dxa"/>
            </w:tcMar>
            <w:vAlign w:val="center"/>
          </w:tcPr>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792"/>
              <w:gridCol w:w="496"/>
              <w:gridCol w:w="496"/>
              <w:gridCol w:w="2646"/>
              <w:gridCol w:w="884"/>
              <w:gridCol w:w="467"/>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1792" w:type="dxa"/>
                  <w:vMerge w:val="restart"/>
                  <w:shd w:val="clear" w:color="auto" w:fill="auto"/>
                  <w:vAlign w:val="center"/>
                </w:tcPr>
                <w:p/>
              </w:tc>
              <w:tc>
                <w:tcPr>
                  <w:tcW w:w="496" w:type="dxa"/>
                  <w:vMerge w:val="restart"/>
                  <w:shd w:val="clear" w:color="auto" w:fill="auto"/>
                  <w:vAlign w:val="center"/>
                </w:tcPr>
                <w:p/>
              </w:tc>
              <w:tc>
                <w:tcPr>
                  <w:tcW w:w="496" w:type="dxa"/>
                  <w:shd w:val="clear" w:color="auto" w:fill="auto"/>
                  <w:vAlign w:val="center"/>
                </w:tcPr>
                <w:p/>
              </w:tc>
              <w:tc>
                <w:tcPr>
                  <w:tcW w:w="2646" w:type="dxa"/>
                  <w:shd w:val="clear" w:color="auto" w:fill="auto"/>
                  <w:vAlign w:val="center"/>
                </w:tcPr>
                <w:p>
                  <w:pPr>
                    <w:pStyle w:val="006"/>
                    <w:spacing w:before="0"/>
                    <w:rPr>
                      <w:color w:val="auto"/>
                    </w:rPr>
                  </w:pPr>
                  <w:r>
                    <w:rPr>
                      <w:color w:val="auto"/>
                    </w:rPr>
                    <w:t>其他同雅安市工业空间重点单元普适性管控要求</w:t>
                  </w:r>
                </w:p>
              </w:tc>
              <w:tc>
                <w:tcPr>
                  <w:tcW w:w="884" w:type="dxa"/>
                  <w:shd w:val="clear" w:color="auto" w:fill="auto"/>
                  <w:vAlign w:val="center"/>
                </w:tcPr>
                <w:p/>
              </w:tc>
              <w:tc>
                <w:tcPr>
                  <w:tcW w:w="467" w:type="dxa"/>
                  <w:shd w:val="clear" w:color="auto" w:fill="auto"/>
                  <w:vAlign w:val="center"/>
                </w:tcPr>
                <w:p/>
              </w:tc>
            </w:tr>
            <w:tr>
              <w:tblPrEx>
                <w:tblW w:w="0" w:type="auto"/>
                <w:tblInd w:w="0" w:type="dxa"/>
                <w:tblCellMar>
                  <w:top w:w="0" w:type="dxa"/>
                  <w:left w:w="108" w:type="dxa"/>
                  <w:bottom w:w="0" w:type="dxa"/>
                  <w:right w:w="108" w:type="dxa"/>
                </w:tblCellMar>
              </w:tblPrEx>
              <w:tc>
                <w:tcPr>
                  <w:tcW w:w="1792" w:type="dxa"/>
                  <w:vMerge/>
                  <w:shd w:val="clear" w:color="auto" w:fill="auto"/>
                  <w:vAlign w:val="center"/>
                </w:tcPr>
                <w:p>
                  <w:pPr>
                    <w:pStyle w:val="003"/>
                    <w:ind w:firstLine="0" w:firstLineChars="0"/>
                    <w:jc w:val="center"/>
                    <w:rPr>
                      <w:color w:val="auto"/>
                    </w:rPr>
                  </w:pPr>
                </w:p>
              </w:tc>
              <w:tc>
                <w:tcPr>
                  <w:tcW w:w="496" w:type="dxa"/>
                  <w:vMerge/>
                  <w:shd w:val="clear" w:color="auto" w:fill="auto"/>
                  <w:vAlign w:val="center"/>
                </w:tcPr>
                <w:p>
                  <w:pPr>
                    <w:pStyle w:val="003"/>
                    <w:ind w:firstLine="0" w:firstLineChars="0"/>
                    <w:jc w:val="center"/>
                    <w:rPr>
                      <w:color w:val="auto"/>
                    </w:rPr>
                  </w:pPr>
                </w:p>
              </w:tc>
              <w:tc>
                <w:tcPr>
                  <w:tcW w:w="496" w:type="dxa"/>
                  <w:shd w:val="clear" w:color="auto" w:fill="auto"/>
                  <w:vAlign w:val="center"/>
                </w:tcPr>
                <w:p>
                  <w:pPr>
                    <w:pStyle w:val="003"/>
                    <w:ind w:firstLine="0" w:firstLineChars="0"/>
                    <w:jc w:val="center"/>
                    <w:rPr>
                      <w:color w:val="auto"/>
                    </w:rPr>
                  </w:pPr>
                  <w:r>
                    <w:rPr>
                      <w:color w:val="auto"/>
                    </w:rPr>
                    <w:t>污染物排放管控</w:t>
                  </w:r>
                </w:p>
              </w:tc>
              <w:tc>
                <w:tcPr>
                  <w:tcW w:w="2646" w:type="dxa"/>
                  <w:shd w:val="clear" w:color="auto" w:fill="auto"/>
                  <w:vAlign w:val="center"/>
                </w:tcPr>
                <w:p>
                  <w:pPr>
                    <w:pStyle w:val="006"/>
                    <w:rPr>
                      <w:color w:val="auto"/>
                    </w:rPr>
                  </w:pPr>
                  <w:r>
                    <w:rPr>
                      <w:color w:val="auto"/>
                    </w:rPr>
                    <w:t>新增源等量或倍量替代</w:t>
                  </w:r>
                  <w:r>
                    <w:rPr>
                      <w:rFonts w:hint="eastAsia"/>
                      <w:color w:val="auto"/>
                    </w:rPr>
                    <w:t>－</w:t>
                  </w:r>
                  <w:r>
                    <w:rPr>
                      <w:color w:val="auto"/>
                    </w:rPr>
                    <w:t>名山河水环境质量达标前，新增水污染物排放的建设项目按照总量管控要求实施倍量替代。</w:t>
                  </w:r>
                  <w:r>
                    <w:rPr>
                      <w:rFonts w:hint="eastAsia"/>
                      <w:color w:val="auto"/>
                    </w:rPr>
                    <w:t>－</w:t>
                  </w:r>
                  <w:r>
                    <w:rPr>
                      <w:color w:val="auto"/>
                    </w:rPr>
                    <w:t>其他同雅安市工业空间重点单元普适性管控要求。</w:t>
                  </w:r>
                </w:p>
              </w:tc>
              <w:tc>
                <w:tcPr>
                  <w:tcW w:w="884" w:type="dxa"/>
                  <w:shd w:val="clear" w:color="auto" w:fill="auto"/>
                  <w:vAlign w:val="center"/>
                </w:tcPr>
                <w:p>
                  <w:pPr>
                    <w:pStyle w:val="006"/>
                    <w:rPr>
                      <w:color w:val="auto"/>
                    </w:rPr>
                  </w:pPr>
                  <w:r>
                    <w:rPr>
                      <w:color w:val="auto"/>
                    </w:rPr>
                    <w:t>项目为生态影响类项目，不涉及废气废水的污染物排放。</w:t>
                  </w:r>
                </w:p>
              </w:tc>
              <w:tc>
                <w:tcPr>
                  <w:tcW w:w="467" w:type="dxa"/>
                  <w:shd w:val="clear" w:color="auto" w:fill="auto"/>
                  <w:vAlign w:val="center"/>
                </w:tcPr>
                <w:p>
                  <w:pPr>
                    <w:pStyle w:val="003"/>
                    <w:ind w:firstLine="0" w:firstLineChars="0"/>
                    <w:jc w:val="center"/>
                    <w:rPr>
                      <w:color w:val="auto"/>
                    </w:rPr>
                  </w:pPr>
                  <w:r>
                    <w:rPr>
                      <w:color w:val="auto"/>
                    </w:rPr>
                    <w:t>符合</w:t>
                  </w:r>
                </w:p>
              </w:tc>
            </w:tr>
            <w:tr>
              <w:tblPrEx>
                <w:tblW w:w="0" w:type="auto"/>
                <w:tblInd w:w="0" w:type="dxa"/>
                <w:tblCellMar>
                  <w:top w:w="0" w:type="dxa"/>
                  <w:left w:w="108" w:type="dxa"/>
                  <w:bottom w:w="0" w:type="dxa"/>
                  <w:right w:w="108" w:type="dxa"/>
                </w:tblCellMar>
              </w:tblPrEx>
              <w:tc>
                <w:tcPr>
                  <w:tcW w:w="1792" w:type="dxa"/>
                  <w:vMerge/>
                  <w:shd w:val="clear" w:color="auto" w:fill="auto"/>
                  <w:vAlign w:val="center"/>
                </w:tcPr>
                <w:p>
                  <w:pPr>
                    <w:pStyle w:val="003"/>
                    <w:ind w:firstLine="0" w:firstLineChars="0"/>
                    <w:jc w:val="center"/>
                    <w:rPr>
                      <w:color w:val="auto"/>
                    </w:rPr>
                  </w:pPr>
                </w:p>
              </w:tc>
              <w:tc>
                <w:tcPr>
                  <w:tcW w:w="496" w:type="dxa"/>
                  <w:vMerge/>
                  <w:shd w:val="clear" w:color="auto" w:fill="auto"/>
                  <w:vAlign w:val="center"/>
                </w:tcPr>
                <w:p>
                  <w:pPr>
                    <w:pStyle w:val="003"/>
                    <w:ind w:firstLine="0" w:firstLineChars="0"/>
                    <w:jc w:val="center"/>
                    <w:rPr>
                      <w:color w:val="auto"/>
                    </w:rPr>
                  </w:pPr>
                </w:p>
              </w:tc>
              <w:tc>
                <w:tcPr>
                  <w:tcW w:w="496" w:type="dxa"/>
                  <w:shd w:val="clear" w:color="auto" w:fill="auto"/>
                  <w:vAlign w:val="center"/>
                </w:tcPr>
                <w:p>
                  <w:pPr>
                    <w:pStyle w:val="003"/>
                    <w:ind w:firstLine="0" w:firstLineChars="0"/>
                    <w:jc w:val="center"/>
                    <w:rPr>
                      <w:color w:val="auto"/>
                    </w:rPr>
                  </w:pPr>
                  <w:r>
                    <w:rPr>
                      <w:color w:val="auto"/>
                    </w:rPr>
                    <w:t>环境风险防控</w:t>
                  </w:r>
                </w:p>
              </w:tc>
              <w:tc>
                <w:tcPr>
                  <w:tcW w:w="2646" w:type="dxa"/>
                  <w:shd w:val="clear" w:color="auto" w:fill="auto"/>
                  <w:vAlign w:val="center"/>
                </w:tcPr>
                <w:p>
                  <w:pPr>
                    <w:pStyle w:val="006"/>
                    <w:rPr>
                      <w:color w:val="auto"/>
                    </w:rPr>
                  </w:pPr>
                  <w:r>
                    <w:rPr>
                      <w:color w:val="auto"/>
                    </w:rPr>
                    <w:t>企业环境风险防控要求</w:t>
                  </w:r>
                  <w:r>
                    <w:rPr>
                      <w:rFonts w:hint="eastAsia"/>
                      <w:color w:val="auto"/>
                    </w:rPr>
                    <w:t>－</w:t>
                  </w:r>
                  <w:r>
                    <w:rPr>
                      <w:color w:val="auto"/>
                    </w:rPr>
                    <w:t>落实规划提出的环境风险防控措施。除已开展应急预案的企业外，管委会应督促区内其余企业积极开展突发环境事件应急预案工作，完善企业自身的风险防范措施。（依据：2019年11月园区跟踪环评）</w:t>
                  </w:r>
                  <w:r>
                    <w:rPr>
                      <w:rFonts w:hint="eastAsia"/>
                      <w:color w:val="auto"/>
                    </w:rPr>
                    <w:t>一同</w:t>
                  </w:r>
                  <w:r>
                    <w:rPr>
                      <w:color w:val="auto"/>
                    </w:rPr>
                    <w:t>雅安市工业空间重点单元普适性管控要求。</w:t>
                  </w:r>
                </w:p>
              </w:tc>
              <w:tc>
                <w:tcPr>
                  <w:tcW w:w="884" w:type="dxa"/>
                  <w:shd w:val="clear" w:color="auto" w:fill="auto"/>
                  <w:vAlign w:val="center"/>
                </w:tcPr>
                <w:p>
                  <w:pPr>
                    <w:pStyle w:val="006"/>
                    <w:rPr>
                      <w:color w:val="auto"/>
                    </w:rPr>
                  </w:pPr>
                  <w:r>
                    <w:rPr>
                      <w:color w:val="auto"/>
                    </w:rPr>
                    <w:t>本项目为道路建设，不涉及生态环境管控要求</w:t>
                  </w:r>
                </w:p>
              </w:tc>
              <w:tc>
                <w:tcPr>
                  <w:tcW w:w="467" w:type="dxa"/>
                  <w:shd w:val="clear" w:color="auto" w:fill="auto"/>
                  <w:vAlign w:val="center"/>
                </w:tcPr>
                <w:p>
                  <w:pPr>
                    <w:pStyle w:val="003"/>
                    <w:ind w:firstLine="0" w:firstLineChars="0"/>
                    <w:jc w:val="center"/>
                    <w:rPr>
                      <w:color w:val="auto"/>
                    </w:rPr>
                  </w:pPr>
                  <w:r>
                    <w:rPr>
                      <w:color w:val="auto"/>
                    </w:rPr>
                    <w:t>符合</w:t>
                  </w:r>
                </w:p>
              </w:tc>
            </w:tr>
            <w:tr>
              <w:tblPrEx>
                <w:tblW w:w="0" w:type="auto"/>
                <w:tblInd w:w="0" w:type="dxa"/>
                <w:tblCellMar>
                  <w:top w:w="0" w:type="dxa"/>
                  <w:left w:w="108" w:type="dxa"/>
                  <w:bottom w:w="0" w:type="dxa"/>
                  <w:right w:w="108" w:type="dxa"/>
                </w:tblCellMar>
              </w:tblPrEx>
              <w:tc>
                <w:tcPr>
                  <w:tcW w:w="1792" w:type="dxa"/>
                  <w:vMerge/>
                  <w:shd w:val="clear" w:color="auto" w:fill="auto"/>
                  <w:vAlign w:val="center"/>
                </w:tcPr>
                <w:p>
                  <w:pPr>
                    <w:pStyle w:val="003"/>
                    <w:ind w:firstLine="0" w:firstLineChars="0"/>
                    <w:jc w:val="center"/>
                    <w:rPr>
                      <w:color w:val="auto"/>
                    </w:rPr>
                  </w:pPr>
                </w:p>
              </w:tc>
              <w:tc>
                <w:tcPr>
                  <w:tcW w:w="496" w:type="dxa"/>
                  <w:vMerge/>
                  <w:shd w:val="clear" w:color="auto" w:fill="auto"/>
                  <w:vAlign w:val="center"/>
                </w:tcPr>
                <w:p>
                  <w:pPr>
                    <w:pStyle w:val="003"/>
                    <w:ind w:firstLine="0" w:firstLineChars="0"/>
                    <w:jc w:val="center"/>
                    <w:rPr>
                      <w:color w:val="auto"/>
                    </w:rPr>
                  </w:pPr>
                </w:p>
              </w:tc>
              <w:tc>
                <w:tcPr>
                  <w:tcW w:w="496" w:type="dxa"/>
                  <w:shd w:val="clear" w:color="auto" w:fill="auto"/>
                  <w:vAlign w:val="center"/>
                </w:tcPr>
                <w:p>
                  <w:pPr>
                    <w:pStyle w:val="003"/>
                    <w:ind w:firstLine="0" w:firstLineChars="0"/>
                    <w:jc w:val="center"/>
                    <w:rPr>
                      <w:color w:val="auto"/>
                    </w:rPr>
                  </w:pPr>
                  <w:r>
                    <w:rPr>
                      <w:color w:val="auto"/>
                    </w:rPr>
                    <w:t>资源开发效率要求</w:t>
                  </w:r>
                </w:p>
              </w:tc>
              <w:tc>
                <w:tcPr>
                  <w:tcW w:w="2646" w:type="dxa"/>
                  <w:shd w:val="clear" w:color="auto" w:fill="auto"/>
                  <w:vAlign w:val="center"/>
                </w:tcPr>
                <w:p>
                  <w:pPr>
                    <w:pStyle w:val="006"/>
                    <w:rPr>
                      <w:color w:val="auto"/>
                    </w:rPr>
                  </w:pPr>
                  <w:r>
                    <w:rPr>
                      <w:color w:val="auto"/>
                    </w:rPr>
                    <w:t>能源利用效率要求</w:t>
                  </w:r>
                </w:p>
                <w:p>
                  <w:pPr>
                    <w:pStyle w:val="006"/>
                    <w:rPr>
                      <w:color w:val="auto"/>
                    </w:rPr>
                  </w:pPr>
                  <w:r>
                    <w:rPr>
                      <w:rFonts w:hint="eastAsia"/>
                      <w:color w:val="auto"/>
                    </w:rPr>
                    <w:t>－</w:t>
                  </w:r>
                  <w:r>
                    <w:rPr>
                      <w:color w:val="auto"/>
                    </w:rPr>
                    <w:t>光伏设备及元器件制造、电子元件及电子专用材料制造业能源综合利用效率需达到电子器件（半导体芯片）制造业清洁生产</w:t>
                  </w:r>
                  <w:r>
                    <w:rPr>
                      <w:rFonts w:hint="eastAsia"/>
                      <w:color w:val="auto"/>
                    </w:rPr>
                    <w:t>Ⅱ级</w:t>
                  </w:r>
                  <w:r>
                    <w:rPr>
                      <w:color w:val="auto"/>
                    </w:rPr>
                    <w:t>基准值及以上（依据：《电子器件（半导体芯片）制造业清洁生产评价指标体系》）</w:t>
                  </w:r>
                  <w:r>
                    <w:rPr>
                      <w:rFonts w:hint="eastAsia"/>
                      <w:color w:val="auto"/>
                    </w:rPr>
                    <w:t>一同</w:t>
                  </w:r>
                  <w:r>
                    <w:rPr>
                      <w:color w:val="auto"/>
                    </w:rPr>
                    <w:t>雅安市工业空间重点单元普适性管控要求。</w:t>
                  </w:r>
                </w:p>
              </w:tc>
              <w:tc>
                <w:tcPr>
                  <w:tcW w:w="884" w:type="dxa"/>
                  <w:shd w:val="clear" w:color="auto" w:fill="auto"/>
                  <w:vAlign w:val="center"/>
                </w:tcPr>
                <w:p>
                  <w:pPr>
                    <w:pStyle w:val="006"/>
                    <w:rPr>
                      <w:color w:val="auto"/>
                    </w:rPr>
                  </w:pPr>
                  <w:r>
                    <w:rPr>
                      <w:color w:val="auto"/>
                    </w:rPr>
                    <w:t>本项目为道路建设，不涉及生态环境管控要求</w:t>
                  </w:r>
                </w:p>
              </w:tc>
              <w:tc>
                <w:tcPr>
                  <w:tcW w:w="467" w:type="dxa"/>
                  <w:shd w:val="clear" w:color="auto" w:fill="auto"/>
                  <w:vAlign w:val="center"/>
                </w:tcPr>
                <w:p>
                  <w:pPr>
                    <w:pStyle w:val="003"/>
                    <w:ind w:firstLine="0" w:firstLineChars="0"/>
                    <w:jc w:val="center"/>
                    <w:rPr>
                      <w:color w:val="auto"/>
                    </w:rPr>
                  </w:pPr>
                  <w:r>
                    <w:rPr>
                      <w:color w:val="auto"/>
                    </w:rPr>
                    <w:t>符合</w:t>
                  </w:r>
                </w:p>
                <w:p>
                  <w:pPr>
                    <w:pStyle w:val="003"/>
                    <w:ind w:firstLine="0" w:firstLineChars="0"/>
                    <w:jc w:val="center"/>
                    <w:rPr>
                      <w:color w:val="auto"/>
                    </w:rPr>
                  </w:pPr>
                </w:p>
              </w:tc>
            </w:tr>
            <w:tr>
              <w:tblPrEx>
                <w:tblW w:w="0" w:type="auto"/>
                <w:tblInd w:w="0" w:type="dxa"/>
                <w:tblCellMar>
                  <w:top w:w="0" w:type="dxa"/>
                  <w:left w:w="108" w:type="dxa"/>
                  <w:bottom w:w="0" w:type="dxa"/>
                  <w:right w:w="108" w:type="dxa"/>
                </w:tblCellMar>
              </w:tblPrEx>
              <w:tc>
                <w:tcPr>
                  <w:tcW w:w="1792" w:type="dxa"/>
                  <w:shd w:val="clear" w:color="auto" w:fill="auto"/>
                  <w:vAlign w:val="center"/>
                </w:tcPr>
                <w:p>
                  <w:pPr>
                    <w:pStyle w:val="003"/>
                    <w:ind w:firstLine="0" w:firstLineChars="0"/>
                    <w:jc w:val="center"/>
                    <w:rPr>
                      <w:color w:val="auto"/>
                    </w:rPr>
                  </w:pPr>
                  <w:r>
                    <w:rPr>
                      <w:rFonts w:ascii="宋体" w:hAnsi="宋体" w:hint="eastAsia"/>
                      <w:color w:val="auto"/>
                    </w:rPr>
                    <w:t>YS5118022210013</w:t>
                  </w:r>
                </w:p>
              </w:tc>
              <w:tc>
                <w:tcPr>
                  <w:tcW w:w="496" w:type="dxa"/>
                  <w:shd w:val="clear" w:color="auto" w:fill="auto"/>
                  <w:vAlign w:val="center"/>
                </w:tcPr>
                <w:p>
                  <w:pPr>
                    <w:pStyle w:val="003"/>
                    <w:spacing w:after="0"/>
                    <w:ind w:firstLine="0" w:firstLineChars="0"/>
                    <w:jc w:val="center"/>
                    <w:rPr>
                      <w:color w:val="auto"/>
                    </w:rPr>
                  </w:pPr>
                </w:p>
              </w:tc>
              <w:tc>
                <w:tcPr>
                  <w:tcW w:w="496" w:type="dxa"/>
                  <w:shd w:val="clear" w:color="auto" w:fill="auto"/>
                  <w:vAlign w:val="center"/>
                </w:tcPr>
                <w:p>
                  <w:pPr>
                    <w:pStyle w:val="003"/>
                    <w:ind w:firstLine="0" w:firstLineChars="0"/>
                    <w:jc w:val="center"/>
                    <w:rPr>
                      <w:color w:val="auto"/>
                    </w:rPr>
                  </w:pPr>
                  <w:r>
                    <w:rPr>
                      <w:rFonts w:ascii="宋体" w:hAnsi="宋体" w:hint="eastAsia"/>
                      <w:color w:val="auto"/>
                      <w:szCs w:val="21"/>
                    </w:rPr>
                    <w:t>污染物排放管控</w:t>
                  </w:r>
                </w:p>
              </w:tc>
              <w:tc>
                <w:tcPr>
                  <w:tcW w:w="2646" w:type="dxa"/>
                  <w:shd w:val="clear" w:color="auto" w:fill="auto"/>
                  <w:vAlign w:val="center"/>
                </w:tcPr>
                <w:p>
                  <w:pPr>
                    <w:pStyle w:val="006"/>
                    <w:rPr>
                      <w:color w:val="auto"/>
                    </w:rPr>
                  </w:pPr>
                  <w:r>
                    <w:rPr>
                      <w:rFonts w:hint="eastAsia"/>
                      <w:color w:val="auto"/>
                    </w:rPr>
                    <w:t>城镇污水污染控制措施要求工业废水污染控制措施要求</w:t>
                  </w:r>
                </w:p>
                <w:p>
                  <w:pPr>
                    <w:pStyle w:val="006"/>
                    <w:rPr>
                      <w:color w:val="auto"/>
                    </w:rPr>
                  </w:pPr>
                  <w:r>
                    <w:rPr>
                      <w:rFonts w:hint="eastAsia"/>
                      <w:color w:val="auto"/>
                    </w:rPr>
                    <w:t>健全园区污水收集管网，原则上企业污水均应接入园区污水处理厂；制定并执行接管标准，强化污水处理厂运行监管，确保出水稳定达标。</w:t>
                  </w:r>
                </w:p>
              </w:tc>
              <w:tc>
                <w:tcPr>
                  <w:tcW w:w="884" w:type="dxa"/>
                  <w:shd w:val="clear" w:color="auto" w:fill="auto"/>
                  <w:vAlign w:val="center"/>
                </w:tcPr>
                <w:p>
                  <w:pPr>
                    <w:pStyle w:val="006"/>
                    <w:rPr>
                      <w:color w:val="auto"/>
                    </w:rPr>
                  </w:pPr>
                  <w:r>
                    <w:rPr>
                      <w:rFonts w:hint="eastAsia"/>
                      <w:color w:val="auto"/>
                    </w:rPr>
                    <w:t>本项目为</w:t>
                  </w:r>
                  <w:r>
                    <w:rPr>
                      <w:color w:val="auto"/>
                    </w:rPr>
                    <w:t>道路建设</w:t>
                  </w:r>
                  <w:r>
                    <w:rPr>
                      <w:rFonts w:hint="eastAsia"/>
                      <w:color w:val="auto"/>
                    </w:rPr>
                    <w:t>，运营期不排放工业废水</w:t>
                  </w:r>
                </w:p>
              </w:tc>
              <w:tc>
                <w:tcPr>
                  <w:tcW w:w="467" w:type="dxa"/>
                  <w:shd w:val="clear" w:color="auto" w:fill="auto"/>
                  <w:vAlign w:val="center"/>
                </w:tcPr>
                <w:p>
                  <w:pPr>
                    <w:pStyle w:val="003"/>
                    <w:ind w:firstLine="0" w:firstLineChars="0"/>
                    <w:jc w:val="center"/>
                    <w:rPr>
                      <w:color w:val="auto"/>
                    </w:rPr>
                  </w:pPr>
                  <w:r>
                    <w:rPr>
                      <w:rFonts w:hint="eastAsia"/>
                      <w:color w:val="auto"/>
                    </w:rPr>
                    <w:t>符合</w:t>
                  </w:r>
                </w:p>
              </w:tc>
            </w:tr>
          </w:tbl>
          <w:p/>
        </w:tc>
      </w:tr>
    </w:tbl>
    <w:p>
      <w:pPr>
        <w:sectPr>
          <w:footerReference w:type="even" r:id="rId34"/>
          <w:footerReference w:type="default" r:id="rId35"/>
          <w:type w:val="nextPage"/>
          <w:pgSz w:w="11906" w:h="16838"/>
          <w:pgMar w:top="1701" w:right="1531" w:bottom="1701" w:left="1531" w:header="851" w:footer="1077" w:gutter="0"/>
          <w:pgNumType w:fmt="numberInDash" w:start="11"/>
          <w:cols w:num="1" w:space="720"/>
          <w:titlePg w:val="0"/>
          <w:docGrid w:linePitch="312" w:charSpace="0"/>
        </w:sectPr>
      </w:pP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6869"/>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8905"/>
        </w:trPr>
        <w:tc>
          <w:tcPr>
            <w:tcW w:w="2226" w:type="dxa"/>
            <w:tcMar>
              <w:top w:w="16" w:type="dxa"/>
              <w:left w:w="16" w:type="dxa"/>
              <w:right w:w="16" w:type="dxa"/>
            </w:tcMar>
            <w:vAlign w:val="center"/>
          </w:tcPr>
          <w:p/>
        </w:tc>
        <w:tc>
          <w:tcPr>
            <w:tcW w:w="6813" w:type="dxa"/>
            <w:tcMar>
              <w:top w:w="16" w:type="dxa"/>
              <w:left w:w="16" w:type="dxa"/>
              <w:right w:w="16" w:type="dxa"/>
            </w:tcMar>
            <w:vAlign w:val="center"/>
          </w:tcPr>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792"/>
              <w:gridCol w:w="496"/>
              <w:gridCol w:w="496"/>
              <w:gridCol w:w="2646"/>
              <w:gridCol w:w="884"/>
              <w:gridCol w:w="467"/>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1792" w:type="dxa"/>
                  <w:vMerge w:val="restart"/>
                  <w:shd w:val="clear" w:color="auto" w:fill="auto"/>
                  <w:vAlign w:val="center"/>
                </w:tcPr>
                <w:p/>
              </w:tc>
              <w:tc>
                <w:tcPr>
                  <w:tcW w:w="496" w:type="dxa"/>
                  <w:vMerge w:val="restart"/>
                  <w:shd w:val="clear" w:color="auto" w:fill="auto"/>
                  <w:vAlign w:val="center"/>
                </w:tcPr>
                <w:p>
                  <w:pPr>
                    <w:pStyle w:val="003"/>
                    <w:spacing w:before="0"/>
                    <w:ind w:firstLine="0" w:firstLineChars="0"/>
                    <w:jc w:val="center"/>
                    <w:rPr>
                      <w:color w:val="auto"/>
                    </w:rPr>
                  </w:pPr>
                  <w:r>
                    <w:rPr>
                      <w:rFonts w:ascii="宋体" w:hAnsi="宋体" w:hint="eastAsia"/>
                      <w:color w:val="auto"/>
                    </w:rPr>
                    <w:t>青衣江雨城区龟都府控制单元</w:t>
                  </w:r>
                </w:p>
              </w:tc>
              <w:tc>
                <w:tcPr>
                  <w:tcW w:w="496" w:type="dxa"/>
                  <w:shd w:val="clear" w:color="auto" w:fill="auto"/>
                  <w:vAlign w:val="center"/>
                </w:tcPr>
                <w:p/>
              </w:tc>
              <w:tc>
                <w:tcPr>
                  <w:tcW w:w="2646" w:type="dxa"/>
                  <w:shd w:val="clear" w:color="auto" w:fill="auto"/>
                  <w:vAlign w:val="center"/>
                </w:tcPr>
                <w:p/>
              </w:tc>
              <w:tc>
                <w:tcPr>
                  <w:tcW w:w="884" w:type="dxa"/>
                  <w:shd w:val="clear" w:color="auto" w:fill="auto"/>
                  <w:vAlign w:val="center"/>
                </w:tcPr>
                <w:p/>
              </w:tc>
              <w:tc>
                <w:tcPr>
                  <w:tcW w:w="467" w:type="dxa"/>
                  <w:shd w:val="clear" w:color="auto" w:fill="auto"/>
                  <w:vAlign w:val="center"/>
                </w:tcPr>
                <w:p/>
              </w:tc>
            </w:tr>
            <w:tr>
              <w:tblPrEx>
                <w:tblW w:w="0" w:type="auto"/>
                <w:tblInd w:w="0" w:type="dxa"/>
                <w:tblCellMar>
                  <w:top w:w="0" w:type="dxa"/>
                  <w:left w:w="108" w:type="dxa"/>
                  <w:bottom w:w="0" w:type="dxa"/>
                  <w:right w:w="108" w:type="dxa"/>
                </w:tblCellMar>
              </w:tblPrEx>
              <w:tc>
                <w:tcPr>
                  <w:tcW w:w="1792" w:type="dxa"/>
                  <w:vMerge/>
                  <w:shd w:val="clear" w:color="auto" w:fill="auto"/>
                  <w:vAlign w:val="center"/>
                </w:tcPr>
                <w:p>
                  <w:pPr>
                    <w:pStyle w:val="003"/>
                    <w:ind w:firstLine="0" w:firstLineChars="0"/>
                    <w:jc w:val="center"/>
                    <w:rPr>
                      <w:color w:val="auto"/>
                    </w:rPr>
                  </w:pPr>
                </w:p>
              </w:tc>
              <w:tc>
                <w:tcPr>
                  <w:tcW w:w="496" w:type="dxa"/>
                  <w:vMerge/>
                  <w:shd w:val="clear" w:color="auto" w:fill="auto"/>
                  <w:vAlign w:val="center"/>
                </w:tcPr>
                <w:p>
                  <w:pPr>
                    <w:pStyle w:val="003"/>
                    <w:ind w:firstLine="0" w:firstLineChars="0"/>
                    <w:jc w:val="center"/>
                    <w:rPr>
                      <w:color w:val="auto"/>
                    </w:rPr>
                  </w:pPr>
                </w:p>
              </w:tc>
              <w:tc>
                <w:tcPr>
                  <w:tcW w:w="496" w:type="dxa"/>
                  <w:shd w:val="clear" w:color="auto" w:fill="auto"/>
                  <w:vAlign w:val="center"/>
                </w:tcPr>
                <w:p>
                  <w:pPr>
                    <w:pStyle w:val="003"/>
                    <w:spacing w:after="0"/>
                    <w:ind w:firstLine="0" w:firstLineChars="0"/>
                    <w:jc w:val="center"/>
                    <w:rPr>
                      <w:color w:val="auto"/>
                    </w:rPr>
                  </w:pPr>
                </w:p>
              </w:tc>
              <w:tc>
                <w:tcPr>
                  <w:tcW w:w="2646" w:type="dxa"/>
                  <w:shd w:val="clear" w:color="auto" w:fill="auto"/>
                  <w:vAlign w:val="center"/>
                </w:tcPr>
                <w:p>
                  <w:pPr>
                    <w:pStyle w:val="006"/>
                    <w:spacing w:after="0"/>
                    <w:rPr>
                      <w:color w:val="auto"/>
                    </w:rPr>
                  </w:pPr>
                </w:p>
              </w:tc>
              <w:tc>
                <w:tcPr>
                  <w:tcW w:w="884" w:type="dxa"/>
                  <w:shd w:val="clear" w:color="auto" w:fill="auto"/>
                  <w:vAlign w:val="center"/>
                </w:tcPr>
                <w:p>
                  <w:pPr>
                    <w:pStyle w:val="006"/>
                    <w:spacing w:after="0"/>
                    <w:rPr>
                      <w:color w:val="auto"/>
                    </w:rPr>
                  </w:pPr>
                </w:p>
              </w:tc>
              <w:tc>
                <w:tcPr>
                  <w:tcW w:w="467" w:type="dxa"/>
                  <w:shd w:val="clear" w:color="auto" w:fill="auto"/>
                  <w:vAlign w:val="center"/>
                </w:tcPr>
                <w:p>
                  <w:pPr>
                    <w:pStyle w:val="003"/>
                    <w:spacing w:after="0"/>
                    <w:ind w:firstLine="0" w:firstLineChars="0"/>
                    <w:jc w:val="center"/>
                    <w:rPr>
                      <w:color w:val="auto"/>
                    </w:rPr>
                  </w:pPr>
                </w:p>
              </w:tc>
            </w:tr>
            <w:tr>
              <w:tblPrEx>
                <w:tblW w:w="0" w:type="auto"/>
                <w:tblInd w:w="0" w:type="dxa"/>
                <w:tblCellMar>
                  <w:top w:w="0" w:type="dxa"/>
                  <w:left w:w="108" w:type="dxa"/>
                  <w:bottom w:w="0" w:type="dxa"/>
                  <w:right w:w="108" w:type="dxa"/>
                </w:tblCellMar>
              </w:tblPrEx>
              <w:tc>
                <w:tcPr>
                  <w:tcW w:w="1792" w:type="dxa"/>
                  <w:vMerge/>
                  <w:shd w:val="clear" w:color="auto" w:fill="auto"/>
                  <w:vAlign w:val="center"/>
                </w:tcPr>
                <w:p/>
              </w:tc>
              <w:tc>
                <w:tcPr>
                  <w:tcW w:w="496" w:type="dxa"/>
                  <w:vMerge/>
                  <w:shd w:val="clear" w:color="auto" w:fill="auto"/>
                  <w:vAlign w:val="center"/>
                </w:tcPr>
                <w:p/>
              </w:tc>
              <w:tc>
                <w:tcPr>
                  <w:tcW w:w="496" w:type="dxa"/>
                  <w:shd w:val="clear" w:color="auto" w:fill="auto"/>
                  <w:vAlign w:val="center"/>
                </w:tcPr>
                <w:p>
                  <w:pPr>
                    <w:pStyle w:val="003"/>
                    <w:spacing w:before="0"/>
                    <w:ind w:firstLine="0" w:firstLineChars="0"/>
                    <w:jc w:val="center"/>
                    <w:rPr>
                      <w:color w:val="auto"/>
                    </w:rPr>
                  </w:pPr>
                  <w:r>
                    <w:rPr>
                      <w:rFonts w:ascii="宋体" w:hAnsi="宋体" w:hint="eastAsia"/>
                      <w:color w:val="auto"/>
                      <w:szCs w:val="21"/>
                    </w:rPr>
                    <w:t>环境风险防控</w:t>
                  </w:r>
                </w:p>
              </w:tc>
              <w:tc>
                <w:tcPr>
                  <w:tcW w:w="2646" w:type="dxa"/>
                  <w:shd w:val="clear" w:color="auto" w:fill="auto"/>
                  <w:vAlign w:val="center"/>
                </w:tcPr>
                <w:p>
                  <w:pPr>
                    <w:pStyle w:val="006"/>
                    <w:spacing w:before="0"/>
                    <w:rPr>
                      <w:color w:val="auto"/>
                    </w:rPr>
                  </w:pPr>
                  <w:r>
                    <w:rPr>
                      <w:rFonts w:ascii="宋体" w:hAnsi="宋体" w:hint="eastAsia"/>
                      <w:color w:val="auto"/>
                      <w:szCs w:val="21"/>
                    </w:rPr>
                    <w:t>强化企业液体物料及废弃液体存储、转运等环节的管控，避免泄露风险；区内企业均应建立应急收集处理设施，且加强维护，保证事故状态下能正常运行，避免泄露风险；强化园区污水处理厂运行监管。</w:t>
                  </w:r>
                </w:p>
              </w:tc>
              <w:tc>
                <w:tcPr>
                  <w:tcW w:w="884" w:type="dxa"/>
                  <w:shd w:val="clear" w:color="auto" w:fill="auto"/>
                  <w:vAlign w:val="center"/>
                </w:tcPr>
                <w:p>
                  <w:pPr>
                    <w:pStyle w:val="006"/>
                    <w:spacing w:before="0"/>
                    <w:rPr>
                      <w:color w:val="auto"/>
                    </w:rPr>
                  </w:pPr>
                  <w:r>
                    <w:rPr>
                      <w:rFonts w:hint="eastAsia"/>
                      <w:color w:val="auto"/>
                    </w:rPr>
                    <w:t>项目设置相应应急措施。</w:t>
                  </w:r>
                </w:p>
              </w:tc>
              <w:tc>
                <w:tcPr>
                  <w:tcW w:w="467" w:type="dxa"/>
                  <w:shd w:val="clear" w:color="auto" w:fill="auto"/>
                  <w:vAlign w:val="center"/>
                </w:tcPr>
                <w:p>
                  <w:pPr>
                    <w:pStyle w:val="003"/>
                    <w:spacing w:before="0"/>
                    <w:ind w:firstLine="0" w:firstLineChars="0"/>
                    <w:jc w:val="center"/>
                    <w:rPr>
                      <w:color w:val="auto"/>
                    </w:rPr>
                  </w:pPr>
                  <w:r>
                    <w:rPr>
                      <w:rFonts w:hint="eastAsia"/>
                      <w:color w:val="auto"/>
                    </w:rPr>
                    <w:t>符合</w:t>
                  </w:r>
                </w:p>
              </w:tc>
            </w:tr>
            <w:tr>
              <w:tblPrEx>
                <w:tblW w:w="0" w:type="auto"/>
                <w:tblInd w:w="0" w:type="dxa"/>
                <w:tblCellMar>
                  <w:top w:w="0" w:type="dxa"/>
                  <w:left w:w="108" w:type="dxa"/>
                  <w:bottom w:w="0" w:type="dxa"/>
                  <w:right w:w="108" w:type="dxa"/>
                </w:tblCellMar>
              </w:tblPrEx>
              <w:tc>
                <w:tcPr>
                  <w:tcW w:w="1792" w:type="dxa"/>
                  <w:vMerge w:val="restart"/>
                  <w:shd w:val="clear" w:color="auto" w:fill="auto"/>
                  <w:vAlign w:val="center"/>
                </w:tcPr>
                <w:p>
                  <w:pPr>
                    <w:pStyle w:val="003"/>
                    <w:ind w:firstLine="0" w:firstLineChars="0"/>
                    <w:jc w:val="center"/>
                    <w:rPr>
                      <w:color w:val="auto"/>
                    </w:rPr>
                  </w:pPr>
                  <w:r>
                    <w:rPr>
                      <w:rFonts w:ascii="宋体" w:hAnsi="宋体" w:hint="eastAsia"/>
                      <w:color w:val="auto"/>
                    </w:rPr>
                    <w:t>YS5118022310001</w:t>
                  </w:r>
                </w:p>
              </w:tc>
              <w:tc>
                <w:tcPr>
                  <w:tcW w:w="496" w:type="dxa"/>
                  <w:vMerge w:val="restart"/>
                  <w:shd w:val="clear" w:color="auto" w:fill="auto"/>
                  <w:vAlign w:val="center"/>
                </w:tcPr>
                <w:p>
                  <w:pPr>
                    <w:pStyle w:val="003"/>
                    <w:ind w:firstLine="0" w:firstLineChars="0"/>
                    <w:jc w:val="center"/>
                    <w:rPr>
                      <w:color w:val="auto"/>
                    </w:rPr>
                  </w:pPr>
                  <w:r>
                    <w:rPr>
                      <w:rFonts w:ascii="宋体" w:hAnsi="宋体" w:hint="eastAsia"/>
                      <w:color w:val="auto"/>
                    </w:rPr>
                    <w:t>雅安经济技术开发区</w:t>
                  </w:r>
                </w:p>
              </w:tc>
              <w:tc>
                <w:tcPr>
                  <w:tcW w:w="496" w:type="dxa"/>
                  <w:shd w:val="clear" w:color="auto" w:fill="auto"/>
                  <w:vAlign w:val="center"/>
                </w:tcPr>
                <w:p>
                  <w:pPr>
                    <w:pStyle w:val="003"/>
                    <w:ind w:firstLine="0" w:firstLineChars="0"/>
                    <w:jc w:val="center"/>
                    <w:rPr>
                      <w:color w:val="auto"/>
                    </w:rPr>
                  </w:pPr>
                  <w:r>
                    <w:rPr>
                      <w:rFonts w:ascii="宋体" w:hAnsi="宋体" w:hint="eastAsia"/>
                      <w:color w:val="auto"/>
                      <w:szCs w:val="21"/>
                    </w:rPr>
                    <w:t>污染物排放管控</w:t>
                  </w:r>
                </w:p>
              </w:tc>
              <w:tc>
                <w:tcPr>
                  <w:tcW w:w="2646" w:type="dxa"/>
                  <w:shd w:val="clear" w:color="auto" w:fill="auto"/>
                  <w:vAlign w:val="center"/>
                </w:tcPr>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大气环境质量执行标准</w:t>
                  </w:r>
                </w:p>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《环境空气质量标准》（GB3095-2012）：二级</w:t>
                  </w:r>
                </w:p>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区域大气污染物削减/替代要求</w:t>
                  </w:r>
                </w:p>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新增大气污染物排放的建设项目实施总量削减替代。</w:t>
                  </w:r>
                </w:p>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燃煤和其他能源大气污染控制要求</w:t>
                  </w:r>
                </w:p>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工业废气污染控制要求</w:t>
                  </w:r>
                </w:p>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机动车船大气污染控制要求</w:t>
                  </w:r>
                </w:p>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扬尘污染控制要求</w:t>
                  </w:r>
                </w:p>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农业生产经营活动大气污染控制要求</w:t>
                  </w:r>
                </w:p>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重点行业企业专项治理要求</w:t>
                  </w:r>
                </w:p>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深化重点行业脱硫、脱硝、除尘改造。开展对铁合金、水泥、有色金属冶炼等重点行业的提标升级。开展砖瓦、陶瓷建材行业企业摸底调查，推进实施砖瓦、陶瓷建材行业企业环境污染综合整治。加大环境执法力度，依法查处环境违法行为。</w:t>
                  </w:r>
                </w:p>
                <w:p>
                  <w:pPr>
                    <w:pStyle w:val="006"/>
                    <w:rPr>
                      <w:color w:val="auto"/>
                    </w:rPr>
                  </w:pPr>
                  <w:r>
                    <w:rPr>
                      <w:rFonts w:ascii="宋体" w:hAnsi="宋体" w:hint="eastAsia"/>
                      <w:color w:val="auto"/>
                      <w:szCs w:val="21"/>
                    </w:rPr>
                    <w:t>其他大气污染物排放管控要求</w:t>
                  </w:r>
                </w:p>
              </w:tc>
              <w:tc>
                <w:tcPr>
                  <w:tcW w:w="884" w:type="dxa"/>
                  <w:shd w:val="clear" w:color="auto" w:fill="auto"/>
                  <w:vAlign w:val="center"/>
                </w:tcPr>
                <w:p>
                  <w:pPr>
                    <w:pStyle w:val="006"/>
                    <w:rPr>
                      <w:color w:val="auto"/>
                    </w:rPr>
                  </w:pPr>
                  <w:r>
                    <w:rPr>
                      <w:rFonts w:hint="eastAsia"/>
                      <w:color w:val="auto"/>
                    </w:rPr>
                    <w:t>本项目非工业类项目，为生态影响类项目。道路运营期汽车尾气容易稀释产生污染较小。</w:t>
                  </w:r>
                </w:p>
              </w:tc>
              <w:tc>
                <w:tcPr>
                  <w:tcW w:w="467" w:type="dxa"/>
                  <w:shd w:val="clear" w:color="auto" w:fill="auto"/>
                  <w:vAlign w:val="center"/>
                </w:tcPr>
                <w:p>
                  <w:pPr>
                    <w:pStyle w:val="003"/>
                    <w:ind w:firstLine="0" w:firstLineChars="0"/>
                    <w:jc w:val="center"/>
                    <w:rPr>
                      <w:color w:val="auto"/>
                    </w:rPr>
                  </w:pPr>
                  <w:r>
                    <w:rPr>
                      <w:rFonts w:hint="eastAsia"/>
                      <w:color w:val="auto"/>
                    </w:rPr>
                    <w:t>符合</w:t>
                  </w:r>
                </w:p>
              </w:tc>
            </w:tr>
            <w:tr>
              <w:tblPrEx>
                <w:tblW w:w="0" w:type="auto"/>
                <w:tblInd w:w="0" w:type="dxa"/>
                <w:tblCellMar>
                  <w:top w:w="0" w:type="dxa"/>
                  <w:left w:w="108" w:type="dxa"/>
                  <w:bottom w:w="0" w:type="dxa"/>
                  <w:right w:w="108" w:type="dxa"/>
                </w:tblCellMar>
              </w:tblPrEx>
              <w:tc>
                <w:tcPr>
                  <w:tcW w:w="1792" w:type="dxa"/>
                  <w:vMerge/>
                  <w:shd w:val="clear" w:color="auto" w:fill="auto"/>
                  <w:vAlign w:val="center"/>
                </w:tcPr>
                <w:p>
                  <w:pPr>
                    <w:pStyle w:val="003"/>
                    <w:ind w:firstLine="0" w:firstLineChars="0"/>
                    <w:jc w:val="center"/>
                    <w:rPr>
                      <w:rFonts w:ascii="宋体" w:hAnsi="宋体"/>
                      <w:color w:val="auto"/>
                    </w:rPr>
                  </w:pPr>
                </w:p>
              </w:tc>
              <w:tc>
                <w:tcPr>
                  <w:tcW w:w="496" w:type="dxa"/>
                  <w:vMerge/>
                  <w:shd w:val="clear" w:color="auto" w:fill="auto"/>
                  <w:vAlign w:val="center"/>
                </w:tcPr>
                <w:p>
                  <w:pPr>
                    <w:pStyle w:val="003"/>
                    <w:ind w:firstLine="0" w:firstLineChars="0"/>
                    <w:jc w:val="center"/>
                    <w:rPr>
                      <w:rFonts w:ascii="宋体" w:hAnsi="宋体"/>
                      <w:color w:val="auto"/>
                    </w:rPr>
                  </w:pPr>
                </w:p>
              </w:tc>
              <w:tc>
                <w:tcPr>
                  <w:tcW w:w="496" w:type="dxa"/>
                  <w:shd w:val="clear" w:color="auto" w:fill="auto"/>
                  <w:vAlign w:val="center"/>
                </w:tcPr>
                <w:p>
                  <w:pPr>
                    <w:pStyle w:val="003"/>
                    <w:ind w:firstLine="0" w:firstLineChars="0"/>
                    <w:jc w:val="center"/>
                    <w:rPr>
                      <w:rFonts w:ascii="宋体" w:hAnsi="宋体"/>
                      <w:color w:val="auto"/>
                      <w:szCs w:val="21"/>
                    </w:rPr>
                  </w:pPr>
                  <w:r>
                    <w:rPr>
                      <w:rFonts w:ascii="宋体" w:hAnsi="宋体" w:hint="eastAsia"/>
                      <w:color w:val="auto"/>
                      <w:szCs w:val="21"/>
                    </w:rPr>
                    <w:t>空间布局约束</w:t>
                  </w:r>
                </w:p>
              </w:tc>
              <w:tc>
                <w:tcPr>
                  <w:tcW w:w="2646" w:type="dxa"/>
                  <w:shd w:val="clear" w:color="auto" w:fill="auto"/>
                  <w:vAlign w:val="center"/>
                </w:tcPr>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加强工业园区土地利用控制，规划工业园区时，注意与城镇规划的衔接、优化布局，保持与城镇规划边界的合理距离针对土地资源闲置与利用率不高的工业园区，提高现有工业园区的土地利用效率，应实时进行修编规划，优化用地规模，集约用地</w:t>
                  </w:r>
                </w:p>
              </w:tc>
              <w:tc>
                <w:tcPr>
                  <w:tcW w:w="884" w:type="dxa"/>
                  <w:shd w:val="clear" w:color="auto" w:fill="auto"/>
                  <w:vAlign w:val="center"/>
                </w:tcPr>
                <w:p>
                  <w:pPr>
                    <w:pStyle w:val="006"/>
                    <w:rPr>
                      <w:color w:val="auto"/>
                    </w:rPr>
                  </w:pPr>
                  <w:r>
                    <w:rPr>
                      <w:rFonts w:hint="eastAsia"/>
                      <w:color w:val="auto"/>
                    </w:rPr>
                    <w:t>本项目为园区配套工程，用地受控于园区规划</w:t>
                  </w:r>
                </w:p>
              </w:tc>
              <w:tc>
                <w:tcPr>
                  <w:tcW w:w="467" w:type="dxa"/>
                  <w:shd w:val="clear" w:color="auto" w:fill="auto"/>
                  <w:vAlign w:val="center"/>
                </w:tcPr>
                <w:p>
                  <w:pPr>
                    <w:pStyle w:val="003"/>
                    <w:ind w:firstLine="0" w:firstLineChars="0"/>
                    <w:jc w:val="center"/>
                    <w:rPr>
                      <w:color w:val="auto"/>
                    </w:rPr>
                  </w:pPr>
                  <w:r>
                    <w:rPr>
                      <w:rFonts w:hint="eastAsia"/>
                      <w:color w:val="auto"/>
                    </w:rPr>
                    <w:t>符合</w:t>
                  </w:r>
                </w:p>
              </w:tc>
            </w:tr>
          </w:tbl>
          <w:p/>
        </w:tc>
      </w:tr>
    </w:tbl>
    <w:p>
      <w:pPr>
        <w:sectPr>
          <w:footerReference w:type="even" r:id="rId36"/>
          <w:footerReference w:type="default" r:id="rId37"/>
          <w:type w:val="nextPage"/>
          <w:pgSz w:w="11906" w:h="16838"/>
          <w:pgMar w:top="1701" w:right="1531" w:bottom="1701" w:left="1531" w:header="851" w:footer="1077" w:gutter="0"/>
          <w:pgNumType w:fmt="numberInDash" w:start="12"/>
          <w:cols w:num="1" w:space="720"/>
          <w:titlePg w:val="0"/>
          <w:docGrid w:linePitch="312" w:charSpace="0"/>
        </w:sectPr>
      </w:pP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6869"/>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8905"/>
        </w:trPr>
        <w:tc>
          <w:tcPr>
            <w:tcW w:w="2226" w:type="dxa"/>
            <w:tcMar>
              <w:top w:w="16" w:type="dxa"/>
              <w:left w:w="16" w:type="dxa"/>
              <w:right w:w="16" w:type="dxa"/>
            </w:tcMar>
            <w:vAlign w:val="center"/>
          </w:tcPr>
          <w:p/>
        </w:tc>
        <w:tc>
          <w:tcPr>
            <w:tcW w:w="6813" w:type="dxa"/>
            <w:tcMar>
              <w:top w:w="16" w:type="dxa"/>
              <w:left w:w="16" w:type="dxa"/>
              <w:right w:w="16" w:type="dxa"/>
            </w:tcMar>
            <w:vAlign w:val="center"/>
          </w:tcPr>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792"/>
              <w:gridCol w:w="496"/>
              <w:gridCol w:w="496"/>
              <w:gridCol w:w="2646"/>
              <w:gridCol w:w="884"/>
              <w:gridCol w:w="467"/>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1792" w:type="dxa"/>
                  <w:shd w:val="clear" w:color="auto" w:fill="auto"/>
                  <w:vAlign w:val="center"/>
                </w:tcPr>
                <w:p>
                  <w:pPr>
                    <w:pStyle w:val="003"/>
                    <w:ind w:firstLine="0" w:firstLineChars="0"/>
                    <w:jc w:val="center"/>
                    <w:rPr>
                      <w:rFonts w:ascii="宋体" w:hAnsi="宋体"/>
                      <w:color w:val="auto"/>
                    </w:rPr>
                  </w:pPr>
                  <w:r>
                    <w:rPr>
                      <w:rFonts w:ascii="宋体" w:hAnsi="宋体" w:hint="eastAsia"/>
                      <w:color w:val="auto"/>
                    </w:rPr>
                    <w:t>YS5118022530001</w:t>
                  </w:r>
                </w:p>
              </w:tc>
              <w:tc>
                <w:tcPr>
                  <w:tcW w:w="496" w:type="dxa"/>
                  <w:shd w:val="clear" w:color="auto" w:fill="auto"/>
                  <w:vAlign w:val="center"/>
                </w:tcPr>
                <w:p>
                  <w:pPr>
                    <w:pStyle w:val="003"/>
                    <w:ind w:firstLine="0" w:firstLineChars="0"/>
                    <w:jc w:val="center"/>
                    <w:rPr>
                      <w:rFonts w:ascii="宋体" w:hAnsi="宋体"/>
                      <w:color w:val="auto"/>
                    </w:rPr>
                  </w:pPr>
                  <w:r>
                    <w:rPr>
                      <w:rFonts w:ascii="宋体" w:hAnsi="宋体" w:hint="eastAsia"/>
                      <w:color w:val="auto"/>
                    </w:rPr>
                    <w:t>雅安经济技术开发区</w:t>
                  </w:r>
                </w:p>
              </w:tc>
              <w:tc>
                <w:tcPr>
                  <w:tcW w:w="496" w:type="dxa"/>
                  <w:shd w:val="clear" w:color="auto" w:fill="auto"/>
                  <w:vAlign w:val="center"/>
                </w:tcPr>
                <w:p>
                  <w:pPr>
                    <w:pStyle w:val="003"/>
                    <w:ind w:firstLine="0" w:firstLineChars="0"/>
                    <w:jc w:val="center"/>
                    <w:rPr>
                      <w:rFonts w:ascii="宋体" w:hAnsi="宋体"/>
                      <w:color w:val="auto"/>
                      <w:szCs w:val="21"/>
                    </w:rPr>
                  </w:pPr>
                  <w:r>
                    <w:rPr>
                      <w:rFonts w:ascii="宋体" w:hAnsi="宋体" w:hint="eastAsia"/>
                      <w:color w:val="auto"/>
                      <w:szCs w:val="21"/>
                    </w:rPr>
                    <w:t>空间布局约束</w:t>
                  </w:r>
                </w:p>
              </w:tc>
              <w:tc>
                <w:tcPr>
                  <w:tcW w:w="2646" w:type="dxa"/>
                  <w:shd w:val="clear" w:color="auto" w:fill="auto"/>
                  <w:vAlign w:val="center"/>
                </w:tcPr>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合理开发高效利用水资源，建设节水型社会；优化土地利用布局与结构；优化产业空间布局，构建清洁能源体系</w:t>
                  </w:r>
                </w:p>
              </w:tc>
              <w:tc>
                <w:tcPr>
                  <w:tcW w:w="884" w:type="dxa"/>
                  <w:shd w:val="clear" w:color="auto" w:fill="auto"/>
                  <w:vAlign w:val="center"/>
                </w:tcPr>
                <w:p>
                  <w:pPr>
                    <w:pStyle w:val="006"/>
                    <w:rPr>
                      <w:color w:val="auto"/>
                    </w:rPr>
                  </w:pPr>
                  <w:r>
                    <w:rPr>
                      <w:rFonts w:hint="eastAsia"/>
                      <w:color w:val="auto"/>
                    </w:rPr>
                    <w:t>本项目为</w:t>
                  </w:r>
                  <w:r>
                    <w:rPr>
                      <w:color w:val="auto"/>
                    </w:rPr>
                    <w:t>道路建设</w:t>
                  </w:r>
                  <w:r>
                    <w:rPr>
                      <w:rFonts w:hint="eastAsia"/>
                      <w:color w:val="auto"/>
                    </w:rPr>
                    <w:t>，运营期不排放工业废水</w:t>
                  </w:r>
                </w:p>
              </w:tc>
              <w:tc>
                <w:tcPr>
                  <w:tcW w:w="467" w:type="dxa"/>
                  <w:shd w:val="clear" w:color="auto" w:fill="auto"/>
                  <w:vAlign w:val="center"/>
                </w:tcPr>
                <w:p>
                  <w:pPr>
                    <w:pStyle w:val="003"/>
                    <w:ind w:firstLine="0" w:firstLineChars="0"/>
                    <w:jc w:val="center"/>
                    <w:rPr>
                      <w:color w:val="auto"/>
                    </w:rPr>
                  </w:pPr>
                  <w:r>
                    <w:rPr>
                      <w:rFonts w:hint="eastAsia"/>
                      <w:color w:val="auto"/>
                    </w:rPr>
                    <w:t>符合</w:t>
                  </w:r>
                </w:p>
              </w:tc>
            </w:tr>
            <w:tr>
              <w:tblPrEx>
                <w:tblW w:w="0" w:type="auto"/>
                <w:tblInd w:w="0" w:type="dxa"/>
                <w:tblCellMar>
                  <w:top w:w="0" w:type="dxa"/>
                  <w:left w:w="108" w:type="dxa"/>
                  <w:bottom w:w="0" w:type="dxa"/>
                  <w:right w:w="108" w:type="dxa"/>
                </w:tblCellMar>
              </w:tblPrEx>
              <w:tc>
                <w:tcPr>
                  <w:tcW w:w="1792" w:type="dxa"/>
                  <w:shd w:val="clear" w:color="auto" w:fill="auto"/>
                  <w:vAlign w:val="center"/>
                </w:tcPr>
                <w:p>
                  <w:pPr>
                    <w:pStyle w:val="003"/>
                    <w:ind w:firstLine="0" w:firstLineChars="0"/>
                    <w:jc w:val="center"/>
                    <w:rPr>
                      <w:color w:val="auto"/>
                    </w:rPr>
                  </w:pPr>
                  <w:r>
                    <w:rPr>
                      <w:rFonts w:ascii="宋体" w:hAnsi="宋体" w:hint="eastAsia"/>
                      <w:color w:val="auto"/>
                    </w:rPr>
                    <w:t>YS5118022550001</w:t>
                  </w:r>
                </w:p>
              </w:tc>
              <w:tc>
                <w:tcPr>
                  <w:tcW w:w="496" w:type="dxa"/>
                  <w:shd w:val="clear" w:color="auto" w:fill="auto"/>
                  <w:vAlign w:val="center"/>
                </w:tcPr>
                <w:p>
                  <w:pPr>
                    <w:pStyle w:val="003"/>
                    <w:ind w:firstLine="0" w:firstLineChars="0"/>
                    <w:jc w:val="center"/>
                    <w:rPr>
                      <w:color w:val="auto"/>
                    </w:rPr>
                  </w:pPr>
                  <w:r>
                    <w:rPr>
                      <w:rFonts w:ascii="宋体" w:hAnsi="宋体" w:hint="eastAsia"/>
                      <w:color w:val="auto"/>
                    </w:rPr>
                    <w:t>自然资源重点管控区</w:t>
                  </w:r>
                </w:p>
              </w:tc>
              <w:tc>
                <w:tcPr>
                  <w:tcW w:w="496" w:type="dxa"/>
                  <w:shd w:val="clear" w:color="auto" w:fill="auto"/>
                  <w:vAlign w:val="center"/>
                </w:tcPr>
                <w:p>
                  <w:pPr>
                    <w:pStyle w:val="003"/>
                    <w:ind w:firstLine="0" w:firstLineChars="0"/>
                    <w:jc w:val="center"/>
                    <w:rPr>
                      <w:color w:val="auto"/>
                    </w:rPr>
                  </w:pPr>
                  <w:r>
                    <w:rPr>
                      <w:rFonts w:ascii="宋体" w:hAnsi="宋体" w:hint="eastAsia"/>
                      <w:color w:val="auto"/>
                      <w:szCs w:val="21"/>
                    </w:rPr>
                    <w:t>空间布局约束</w:t>
                  </w:r>
                </w:p>
              </w:tc>
              <w:tc>
                <w:tcPr>
                  <w:tcW w:w="2646" w:type="dxa"/>
                  <w:shd w:val="clear" w:color="auto" w:fill="auto"/>
                  <w:vAlign w:val="center"/>
                </w:tcPr>
                <w:p>
                  <w:pPr>
                    <w:pStyle w:val="006"/>
                    <w:rPr>
                      <w:color w:val="auto"/>
                    </w:rPr>
                  </w:pPr>
                  <w:r>
                    <w:rPr>
                      <w:rFonts w:ascii="宋体" w:hAnsi="宋体" w:hint="eastAsia"/>
                      <w:color w:val="auto"/>
                      <w:szCs w:val="21"/>
                    </w:rPr>
                    <w:t>合理开发高效利用水资源，建设节水型社会；优化土地利用布局与结构；优化产业空间布局，构建清洁能源体系</w:t>
                  </w:r>
                </w:p>
              </w:tc>
              <w:tc>
                <w:tcPr>
                  <w:tcW w:w="884" w:type="dxa"/>
                  <w:shd w:val="clear" w:color="auto" w:fill="auto"/>
                  <w:vAlign w:val="center"/>
                </w:tcPr>
                <w:p>
                  <w:pPr>
                    <w:pStyle w:val="006"/>
                    <w:rPr>
                      <w:color w:val="auto"/>
                    </w:rPr>
                  </w:pPr>
                  <w:r>
                    <w:rPr>
                      <w:rFonts w:hint="eastAsia"/>
                      <w:color w:val="auto"/>
                    </w:rPr>
                    <w:t>本项目非工业类项目，为生态影响类项目。</w:t>
                  </w:r>
                </w:p>
              </w:tc>
              <w:tc>
                <w:tcPr>
                  <w:tcW w:w="467" w:type="dxa"/>
                  <w:shd w:val="clear" w:color="auto" w:fill="auto"/>
                  <w:vAlign w:val="center"/>
                </w:tcPr>
                <w:p>
                  <w:pPr>
                    <w:pStyle w:val="003"/>
                    <w:ind w:firstLine="0" w:firstLineChars="0"/>
                    <w:jc w:val="center"/>
                    <w:rPr>
                      <w:color w:val="auto"/>
                    </w:rPr>
                  </w:pPr>
                  <w:r>
                    <w:rPr>
                      <w:rFonts w:hint="eastAsia"/>
                      <w:color w:val="auto"/>
                    </w:rPr>
                    <w:t>符合</w:t>
                  </w:r>
                </w:p>
              </w:tc>
            </w:tr>
            <w:tr>
              <w:tblPrEx>
                <w:tblW w:w="0" w:type="auto"/>
                <w:tblInd w:w="0" w:type="dxa"/>
                <w:tblCellMar>
                  <w:top w:w="0" w:type="dxa"/>
                  <w:left w:w="108" w:type="dxa"/>
                  <w:bottom w:w="0" w:type="dxa"/>
                  <w:right w:w="108" w:type="dxa"/>
                </w:tblCellMar>
              </w:tblPrEx>
              <w:tc>
                <w:tcPr>
                  <w:tcW w:w="1792" w:type="dxa"/>
                  <w:shd w:val="clear" w:color="auto" w:fill="auto"/>
                  <w:vAlign w:val="center"/>
                </w:tcPr>
                <w:p>
                  <w:pPr>
                    <w:pStyle w:val="003"/>
                    <w:ind w:firstLine="0" w:firstLineChars="0"/>
                    <w:jc w:val="center"/>
                    <w:rPr>
                      <w:color w:val="auto"/>
                    </w:rPr>
                  </w:pPr>
                  <w:r>
                    <w:rPr>
                      <w:rFonts w:ascii="宋体" w:hAnsi="宋体" w:hint="eastAsia"/>
                      <w:color w:val="auto"/>
                    </w:rPr>
                    <w:t>YS5118022420001</w:t>
                  </w:r>
                </w:p>
              </w:tc>
              <w:tc>
                <w:tcPr>
                  <w:tcW w:w="496" w:type="dxa"/>
                  <w:shd w:val="clear" w:color="auto" w:fill="auto"/>
                  <w:vAlign w:val="center"/>
                </w:tcPr>
                <w:p>
                  <w:pPr>
                    <w:pStyle w:val="003"/>
                    <w:spacing w:after="0"/>
                    <w:ind w:firstLine="0" w:firstLineChars="0"/>
                    <w:jc w:val="center"/>
                    <w:rPr>
                      <w:color w:val="auto"/>
                    </w:rPr>
                  </w:pPr>
                </w:p>
              </w:tc>
              <w:tc>
                <w:tcPr>
                  <w:tcW w:w="496" w:type="dxa"/>
                  <w:shd w:val="clear" w:color="auto" w:fill="auto"/>
                  <w:vAlign w:val="center"/>
                </w:tcPr>
                <w:p>
                  <w:pPr>
                    <w:pStyle w:val="003"/>
                    <w:ind w:firstLine="0" w:firstLineChars="0"/>
                    <w:jc w:val="center"/>
                    <w:rPr>
                      <w:color w:val="auto"/>
                    </w:rPr>
                  </w:pPr>
                  <w:r>
                    <w:rPr>
                      <w:rFonts w:ascii="宋体" w:hAnsi="宋体" w:hint="eastAsia"/>
                      <w:color w:val="auto"/>
                      <w:szCs w:val="21"/>
                    </w:rPr>
                    <w:t>空间布局约束</w:t>
                  </w:r>
                </w:p>
              </w:tc>
              <w:tc>
                <w:tcPr>
                  <w:tcW w:w="2646" w:type="dxa"/>
                  <w:shd w:val="clear" w:color="auto" w:fill="auto"/>
                  <w:vAlign w:val="center"/>
                </w:tcPr>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禁止开发建设活动的要求</w:t>
                  </w:r>
                </w:p>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限制开发建设活动的要求</w:t>
                  </w:r>
                </w:p>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允许开发建设活动的要求</w:t>
                  </w:r>
                </w:p>
                <w:p>
                  <w:pPr>
                    <w:pStyle w:val="Normal00"/>
                    <w:widowControl/>
                    <w:shd w:val="clear" w:color="auto" w:fill="FFFFFF"/>
                    <w:spacing w:line="240" w:lineRule="auto"/>
                    <w:ind w:firstLineChars="0"/>
                    <w:jc w:val="left"/>
                    <w:rPr>
                      <w:rFonts w:ascii="宋体" w:eastAsia="宋体" w:hAnsi="宋体"/>
                      <w:sz w:val="21"/>
                    </w:rPr>
                  </w:pPr>
                  <w:r>
                    <w:rPr>
                      <w:rFonts w:ascii="宋体" w:eastAsia="宋体" w:hAnsi="宋体" w:hint="eastAsia"/>
                      <w:sz w:val="21"/>
                    </w:rPr>
                    <w:t>不符合空间布局要求活动的退出要求</w:t>
                  </w:r>
                </w:p>
                <w:p>
                  <w:pPr>
                    <w:pStyle w:val="006"/>
                    <w:ind w:firstLine="200" w:firstLineChars="0"/>
                    <w:rPr>
                      <w:color w:val="auto"/>
                    </w:rPr>
                  </w:pPr>
                  <w:r>
                    <w:rPr>
                      <w:rFonts w:ascii="宋体" w:hAnsi="宋体" w:hint="eastAsia"/>
                      <w:color w:val="auto"/>
                      <w:szCs w:val="21"/>
                    </w:rPr>
                    <w:t>其他空间布局约束要求</w:t>
                  </w:r>
                </w:p>
              </w:tc>
              <w:tc>
                <w:tcPr>
                  <w:tcW w:w="884" w:type="dxa"/>
                  <w:shd w:val="clear" w:color="auto" w:fill="auto"/>
                  <w:vAlign w:val="center"/>
                </w:tcPr>
                <w:p>
                  <w:pPr>
                    <w:pStyle w:val="006"/>
                    <w:rPr>
                      <w:color w:val="auto"/>
                    </w:rPr>
                  </w:pPr>
                  <w:r>
                    <w:rPr>
                      <w:rFonts w:hint="eastAsia"/>
                      <w:color w:val="auto"/>
                    </w:rPr>
                    <w:t>本项目符合工业重点管控单元普适性管控要求</w:t>
                  </w:r>
                </w:p>
              </w:tc>
              <w:tc>
                <w:tcPr>
                  <w:tcW w:w="467" w:type="dxa"/>
                  <w:shd w:val="clear" w:color="auto" w:fill="auto"/>
                  <w:vAlign w:val="center"/>
                </w:tcPr>
                <w:p>
                  <w:pPr>
                    <w:pStyle w:val="003"/>
                    <w:ind w:firstLine="0" w:firstLineChars="0"/>
                    <w:jc w:val="center"/>
                    <w:rPr>
                      <w:color w:val="auto"/>
                    </w:rPr>
                  </w:pPr>
                  <w:r>
                    <w:rPr>
                      <w:rFonts w:hint="eastAsia"/>
                      <w:color w:val="auto"/>
                    </w:rPr>
                    <w:t>符合</w:t>
                  </w:r>
                </w:p>
              </w:tc>
            </w:tr>
          </w:tbl>
          <w:p/>
        </w:tc>
      </w:tr>
    </w:tbl>
    <w:p>
      <w:pPr>
        <w:sectPr>
          <w:footerReference w:type="even" r:id="rId38"/>
          <w:footerReference w:type="default" r:id="rId39"/>
          <w:type w:val="nextPage"/>
          <w:pgSz w:w="11906" w:h="16838"/>
          <w:pgMar w:top="1701" w:right="1531" w:bottom="1701" w:left="1531" w:header="851" w:footer="1077" w:gutter="0"/>
          <w:pgNumType w:fmt="numberInDash" w:start="13"/>
          <w:cols w:num="1" w:space="720"/>
          <w:titlePg w:val="0"/>
          <w:docGrid w:linePitch="312" w:charSpace="0"/>
        </w:sectPr>
      </w:pPr>
    </w:p>
    <w:tbl>
      <w:tblPr>
        <w:tblStyle w:val="TableNormal"/>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170"/>
        <w:gridCol w:w="6869"/>
      </w:tblGrid>
      <w:tr>
        <w:tblPrEx>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8905"/>
        </w:trPr>
        <w:tc>
          <w:tcPr>
            <w:tcW w:w="2226" w:type="dxa"/>
            <w:tcMar>
              <w:top w:w="16" w:type="dxa"/>
              <w:left w:w="16" w:type="dxa"/>
              <w:right w:w="16" w:type="dxa"/>
            </w:tcMar>
            <w:vAlign w:val="center"/>
          </w:tcPr>
          <w:p/>
        </w:tc>
        <w:tc>
          <w:tcPr>
            <w:tcW w:w="6813" w:type="dxa"/>
            <w:tcMar>
              <w:top w:w="16" w:type="dxa"/>
              <w:left w:w="16" w:type="dxa"/>
              <w:right w:w="16" w:type="dxa"/>
            </w:tcMar>
            <w:vAlign w:val="center"/>
          </w:tcPr>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792"/>
              <w:gridCol w:w="496"/>
              <w:gridCol w:w="496"/>
              <w:gridCol w:w="2646"/>
              <w:gridCol w:w="884"/>
              <w:gridCol w:w="467"/>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1792" w:type="dxa"/>
                  <w:shd w:val="clear" w:color="auto" w:fill="auto"/>
                  <w:vAlign w:val="center"/>
                </w:tcPr>
                <w:p/>
              </w:tc>
              <w:tc>
                <w:tcPr>
                  <w:tcW w:w="496" w:type="dxa"/>
                  <w:shd w:val="clear" w:color="auto" w:fill="auto"/>
                  <w:vAlign w:val="center"/>
                </w:tcPr>
                <w:p>
                  <w:pPr>
                    <w:pStyle w:val="003"/>
                    <w:spacing w:before="0"/>
                    <w:ind w:firstLine="0" w:firstLineChars="0"/>
                    <w:jc w:val="center"/>
                    <w:rPr>
                      <w:color w:val="auto"/>
                    </w:rPr>
                  </w:pPr>
                  <w:r>
                    <w:rPr>
                      <w:rFonts w:ascii="宋体" w:hAnsi="宋体" w:hint="eastAsia"/>
                      <w:color w:val="auto"/>
                    </w:rPr>
                    <w:t>雨城区建设用地污染风险重点管控区</w:t>
                  </w:r>
                </w:p>
              </w:tc>
              <w:tc>
                <w:tcPr>
                  <w:tcW w:w="496" w:type="dxa"/>
                  <w:shd w:val="clear" w:color="auto" w:fill="auto"/>
                  <w:vAlign w:val="center"/>
                </w:tcPr>
                <w:p/>
              </w:tc>
              <w:tc>
                <w:tcPr>
                  <w:tcW w:w="2646" w:type="dxa"/>
                  <w:shd w:val="clear" w:color="auto" w:fill="auto"/>
                  <w:vAlign w:val="center"/>
                </w:tcPr>
                <w:p/>
              </w:tc>
              <w:tc>
                <w:tcPr>
                  <w:tcW w:w="884" w:type="dxa"/>
                  <w:shd w:val="clear" w:color="auto" w:fill="auto"/>
                  <w:vAlign w:val="center"/>
                </w:tcPr>
                <w:p/>
              </w:tc>
              <w:tc>
                <w:tcPr>
                  <w:tcW w:w="467" w:type="dxa"/>
                  <w:shd w:val="clear" w:color="auto" w:fill="auto"/>
                  <w:vAlign w:val="center"/>
                </w:tcPr>
                <w:p/>
              </w:tc>
            </w:tr>
          </w:tbl>
          <w:p>
            <w:pPr>
              <w:pStyle w:val="003"/>
              <w:ind w:firstLine="420"/>
              <w:rPr>
                <w:color w:val="auto"/>
              </w:rPr>
            </w:pPr>
            <w:r>
              <w:rPr>
                <w:color w:val="auto"/>
              </w:rPr>
              <w:t>综上，本项目符合项目所在</w:t>
            </w:r>
            <w:r>
              <w:rPr>
                <w:rFonts w:hint="eastAsia"/>
                <w:color w:val="auto"/>
              </w:rPr>
              <w:t>区域</w:t>
            </w:r>
            <w:r>
              <w:rPr>
                <w:color w:val="auto"/>
              </w:rPr>
              <w:t>三线一单要求。</w:t>
            </w: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tc>
      </w:tr>
    </w:tbl>
    <w:p>
      <w:pPr>
        <w:spacing w:line="360" w:lineRule="auto"/>
        <w:outlineLvl w:val="0"/>
        <w:rPr>
          <w:rFonts w:eastAsia="黑体"/>
          <w:sz w:val="30"/>
        </w:rPr>
        <w:sectPr>
          <w:footerReference w:type="even" r:id="rId40"/>
          <w:footerReference w:type="default" r:id="rId41"/>
          <w:type w:val="nextPage"/>
          <w:pgSz w:w="11906" w:h="16838"/>
          <w:pgMar w:top="1701" w:right="1531" w:bottom="1701" w:left="1531" w:header="851" w:footer="1077" w:gutter="0"/>
          <w:pgNumType w:fmt="numberInDash" w:start="14"/>
          <w:cols w:num="1" w:space="720"/>
          <w:titlePg w:val="0"/>
          <w:docGrid w:linePitch="312" w:charSpace="0"/>
        </w:sectPr>
      </w:pPr>
    </w:p>
    <w:p>
      <w:pPr>
        <w:pStyle w:val="NormalWeb"/>
        <w:jc w:val="center"/>
        <w:outlineLvl w:val="0"/>
        <w:rPr>
          <w:rFonts w:ascii="Times New Roman" w:eastAsia="黑体" w:hAnsi="Times New Roman"/>
          <w:snapToGrid w:val="0"/>
          <w:sz w:val="30"/>
          <w:szCs w:val="30"/>
        </w:rPr>
      </w:pPr>
      <w:r>
        <w:rPr>
          <w:rFonts w:ascii="Times New Roman" w:eastAsia="黑体" w:hAnsi="Times New Roman"/>
          <w:snapToGrid w:val="0"/>
          <w:sz w:val="30"/>
          <w:szCs w:val="30"/>
        </w:rPr>
        <w:t>二、建设内容</w:t>
      </w: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497"/>
          <w:jc w:val="center"/>
        </w:trPr>
        <w:tc>
          <w:tcPr>
            <w:tcW w:w="236" w:type="dxa"/>
            <w:vAlign w:val="center"/>
          </w:tcPr>
          <w:p>
            <w:pPr>
              <w:adjustRightInd w:val="0"/>
              <w:snapToGrid w:val="0"/>
              <w:jc w:val="center"/>
              <w:rPr>
                <w:kern w:val="0"/>
                <w:szCs w:val="21"/>
              </w:rPr>
            </w:pPr>
            <w:r>
              <w:rPr>
                <w:kern w:val="0"/>
                <w:szCs w:val="21"/>
              </w:rPr>
              <w:t>地理位置</w:t>
            </w:r>
          </w:p>
        </w:tc>
        <w:tc>
          <w:tcPr>
            <w:tcW w:w="9413" w:type="dxa"/>
            <w:vAlign w:val="center"/>
          </w:tcPr>
          <w:p>
            <w:pPr>
              <w:pStyle w:val="003"/>
              <w:ind w:firstLine="420"/>
              <w:rPr>
                <w:color w:val="auto"/>
              </w:rPr>
            </w:pPr>
            <w:r>
              <w:rPr>
                <w:color w:val="auto"/>
              </w:rPr>
              <w:t>本工程位于雅安市雨城区</w:t>
            </w:r>
            <w:r>
              <w:rPr>
                <w:rFonts w:hint="eastAsia"/>
                <w:color w:val="auto"/>
                <w:lang w:eastAsia="zh-CN"/>
              </w:rPr>
              <w:t>**</w:t>
            </w:r>
            <w:r>
              <w:rPr>
                <w:color w:val="auto"/>
              </w:rPr>
              <w:t>镇，在雅安市雨城区</w:t>
            </w:r>
            <w:r>
              <w:rPr>
                <w:rFonts w:hint="eastAsia"/>
                <w:color w:val="auto"/>
                <w:lang w:eastAsia="zh-CN"/>
              </w:rPr>
              <w:t>**</w:t>
            </w:r>
            <w:r>
              <w:rPr>
                <w:color w:val="auto"/>
              </w:rPr>
              <w:t>镇四川雅安经济开发区（芦天宝飞地园区）内。本项目路线整体走向为由西向东，道路起点（桩号K0+000）与龙洲路相接，终点（桩号K3+029.095）止于永兴大道，路线长度3029.095m。</w:t>
            </w:r>
          </w:p>
        </w:tc>
      </w:tr>
      <w:tr>
        <w:tblPrEx>
          <w:tblW w:w="9649" w:type="dxa"/>
          <w:jc w:val="center"/>
          <w:tblCellMar>
            <w:top w:w="0" w:type="dxa"/>
            <w:left w:w="108" w:type="dxa"/>
            <w:bottom w:w="0" w:type="dxa"/>
            <w:right w:w="108" w:type="dxa"/>
          </w:tblCellMar>
        </w:tblPrEx>
        <w:trPr>
          <w:trHeight w:val="3119"/>
          <w:jc w:val="center"/>
        </w:trPr>
        <w:tc>
          <w:tcPr>
            <w:tcW w:w="236" w:type="dxa"/>
            <w:vAlign w:val="center"/>
          </w:tcPr>
          <w:p>
            <w:pPr>
              <w:adjustRightInd w:val="0"/>
              <w:snapToGrid w:val="0"/>
              <w:jc w:val="center"/>
              <w:rPr>
                <w:kern w:val="0"/>
                <w:szCs w:val="21"/>
              </w:rPr>
            </w:pPr>
            <w:r>
              <w:rPr>
                <w:kern w:val="0"/>
                <w:szCs w:val="21"/>
              </w:rPr>
              <w:t>项目组成及规模</w:t>
            </w:r>
          </w:p>
        </w:tc>
        <w:tc>
          <w:tcPr>
            <w:tcW w:w="9413" w:type="dxa"/>
            <w:vAlign w:val="center"/>
          </w:tcPr>
          <w:p>
            <w:pPr>
              <w:pStyle w:val="040"/>
            </w:pPr>
            <w:r>
              <w:t>一、项目由来</w:t>
            </w:r>
          </w:p>
          <w:p>
            <w:pPr>
              <w:pStyle w:val="003"/>
              <w:ind w:firstLine="420"/>
              <w:rPr>
                <w:color w:val="auto"/>
              </w:rPr>
            </w:pPr>
            <w:r>
              <w:rPr>
                <w:color w:val="auto"/>
              </w:rPr>
              <w:t>本项目位于雅安文教新城，</w:t>
            </w:r>
            <w:r>
              <w:rPr>
                <w:rFonts w:hint="eastAsia"/>
                <w:color w:val="auto"/>
              </w:rPr>
              <w:t>雅安市要加快推动文教跨越发展，2</w:t>
            </w:r>
            <w:r>
              <w:rPr>
                <w:color w:val="auto"/>
              </w:rPr>
              <w:t>019</w:t>
            </w:r>
            <w:r>
              <w:rPr>
                <w:rFonts w:hint="eastAsia"/>
                <w:color w:val="auto"/>
              </w:rPr>
              <w:t>年拟规划建设文教新城，以</w:t>
            </w:r>
            <w:r>
              <w:rPr>
                <w:rFonts w:hint="eastAsia"/>
                <w:color w:val="auto"/>
                <w:lang w:eastAsia="zh-CN"/>
              </w:rPr>
              <w:t>**</w:t>
            </w:r>
            <w:r>
              <w:rPr>
                <w:rFonts w:hint="eastAsia"/>
                <w:color w:val="auto"/>
              </w:rPr>
              <w:t>文教新城建设为重要载体，努力建成川西教育中心，规划建设文教新城。雅安文教新城规划范围用地总面积46.20平方公里，建设用地约25.67平方公里。</w:t>
            </w:r>
            <w:r>
              <w:rPr>
                <w:rFonts w:hint="eastAsia"/>
                <w:color w:val="auto"/>
                <w:lang w:eastAsia="zh-CN"/>
              </w:rPr>
              <w:t>**</w:t>
            </w:r>
            <w:r>
              <w:rPr>
                <w:rFonts w:hint="eastAsia"/>
                <w:color w:val="auto"/>
              </w:rPr>
              <w:t>片区规划总用地面积约13.53平方公里。雅安文教新城规划范围包含</w:t>
            </w:r>
            <w:r>
              <w:rPr>
                <w:rFonts w:hint="eastAsia"/>
                <w:color w:val="auto"/>
                <w:lang w:eastAsia="zh-CN"/>
              </w:rPr>
              <w:t>**</w:t>
            </w:r>
            <w:r>
              <w:rPr>
                <w:rFonts w:hint="eastAsia"/>
                <w:color w:val="auto"/>
              </w:rPr>
              <w:t>片区。</w:t>
            </w:r>
          </w:p>
          <w:p>
            <w:pPr>
              <w:pStyle w:val="003"/>
              <w:ind w:firstLine="420"/>
              <w:rPr>
                <w:color w:val="auto"/>
              </w:rPr>
            </w:pPr>
            <w:r>
              <w:rPr>
                <w:color w:val="auto"/>
              </w:rPr>
              <w:t>2021年6月，雅安市雨城区发展和改革局出具《雅安市雨城区发展和改革局关于雅安文教新城基础设施及功能配套建设项目</w:t>
            </w:r>
            <w:r>
              <w:rPr>
                <w:rFonts w:hint="eastAsia"/>
                <w:color w:val="auto"/>
              </w:rPr>
              <w:t>（</w:t>
            </w:r>
            <w:r>
              <w:rPr>
                <w:color w:val="auto"/>
              </w:rPr>
              <w:t>二期）项目建议书的批复》（雨发改投资</w:t>
            </w:r>
            <w:r>
              <w:rPr>
                <w:rFonts w:hint="eastAsia"/>
                <w:color w:val="auto"/>
              </w:rPr>
              <w:t>〔</w:t>
            </w:r>
            <w:r>
              <w:rPr>
                <w:color w:val="auto"/>
              </w:rPr>
              <w:t>2021</w:t>
            </w:r>
            <w:r>
              <w:rPr>
                <w:rFonts w:hint="eastAsia"/>
                <w:color w:val="auto"/>
              </w:rPr>
              <w:t>〕</w:t>
            </w:r>
            <w:r>
              <w:rPr>
                <w:color w:val="auto"/>
              </w:rPr>
              <w:t>60号），原则同意批复雅安文教新城基础设施及功能配套建设项目（二期）项目的建设</w:t>
            </w:r>
            <w:r>
              <w:rPr>
                <w:rFonts w:hint="eastAsia"/>
                <w:color w:val="auto"/>
              </w:rPr>
              <w:t>，</w:t>
            </w:r>
            <w:r>
              <w:rPr>
                <w:color w:val="auto"/>
              </w:rPr>
              <w:t>项目分三个标段实施，其中一标段为配套道路工程（本项目），二标段为企业服务综合体工程，三标段为农贸市场及智慧停车场工程。</w:t>
            </w:r>
            <w:r>
              <w:rPr>
                <w:rFonts w:hint="eastAsia"/>
                <w:color w:val="auto"/>
              </w:rPr>
              <w:t>2021年6月，雅安市雨城区发展和改革局出具《关于〈雅安文教新城基础设施及功能配套建设项目（二期））可行性研究报告〉的批复》（</w:t>
            </w:r>
            <w:r>
              <w:rPr>
                <w:rFonts w:hint="eastAsia"/>
                <w:color w:val="auto"/>
                <w:lang w:eastAsia="zh-CN"/>
              </w:rPr>
              <w:t>雨发改审批[2021]***</w:t>
            </w:r>
            <w:r>
              <w:rPr>
                <w:rFonts w:hint="eastAsia"/>
                <w:color w:val="auto"/>
              </w:rPr>
              <w:t>号），</w:t>
            </w:r>
            <w:r>
              <w:rPr>
                <w:color w:val="auto"/>
              </w:rPr>
              <w:t>原则同意</w:t>
            </w:r>
            <w:r>
              <w:rPr>
                <w:rFonts w:hint="eastAsia"/>
                <w:color w:val="auto"/>
              </w:rPr>
              <w:t>雅安文教新城基础设施及功能配套建设项目（二期））可行性研究报告（详见附件</w:t>
            </w:r>
            <w:r>
              <w:rPr>
                <w:color w:val="auto"/>
              </w:rPr>
              <w:t>2</w:t>
            </w:r>
            <w:r>
              <w:rPr>
                <w:rFonts w:hint="eastAsia"/>
                <w:color w:val="auto"/>
              </w:rPr>
              <w:t>）。根据园区建设进度，目前不具备</w:t>
            </w:r>
            <w:r>
              <w:rPr>
                <w:color w:val="auto"/>
              </w:rPr>
              <w:t>二标段企业服务综合体工程</w:t>
            </w:r>
            <w:r>
              <w:rPr>
                <w:rFonts w:hint="eastAsia"/>
                <w:color w:val="auto"/>
              </w:rPr>
              <w:t>、</w:t>
            </w:r>
            <w:r>
              <w:rPr>
                <w:color w:val="auto"/>
              </w:rPr>
              <w:t>三标段农贸市场及智慧停车场工程</w:t>
            </w:r>
            <w:r>
              <w:rPr>
                <w:rFonts w:hint="eastAsia"/>
                <w:color w:val="auto"/>
              </w:rPr>
              <w:t>的建设条件，</w:t>
            </w:r>
            <w:r>
              <w:rPr>
                <w:color w:val="auto"/>
              </w:rPr>
              <w:t>一标段配套道路工程（本项目）</w:t>
            </w:r>
            <w:r>
              <w:rPr>
                <w:rFonts w:hint="eastAsia"/>
                <w:color w:val="auto"/>
              </w:rPr>
              <w:t>先行建设。</w:t>
            </w:r>
          </w:p>
          <w:p>
            <w:pPr>
              <w:pStyle w:val="003"/>
              <w:ind w:firstLine="420"/>
              <w:rPr>
                <w:color w:val="auto"/>
              </w:rPr>
            </w:pPr>
            <w:r>
              <w:rPr>
                <w:color w:val="auto"/>
              </w:rPr>
              <w:t>2022年5月，雅安市雨城区发展和改革局出具《关于雅安文教新城基础设施及功能配套建设项目</w:t>
            </w:r>
            <w:r>
              <w:rPr>
                <w:rFonts w:hint="eastAsia"/>
                <w:color w:val="auto"/>
              </w:rPr>
              <w:t>（</w:t>
            </w:r>
            <w:r>
              <w:rPr>
                <w:color w:val="auto"/>
              </w:rPr>
              <w:t>二期）一标段配套道路工程初步设计概算的批复》（雨发改投资</w:t>
            </w:r>
            <w:r>
              <w:rPr>
                <w:rFonts w:hint="eastAsia"/>
                <w:color w:val="auto"/>
              </w:rPr>
              <w:t>〔</w:t>
            </w:r>
            <w:r>
              <w:rPr>
                <w:color w:val="auto"/>
              </w:rPr>
              <w:t>2022</w:t>
            </w:r>
            <w:r>
              <w:rPr>
                <w:rFonts w:hint="eastAsia"/>
                <w:color w:val="auto"/>
              </w:rPr>
              <w:t>〕</w:t>
            </w:r>
            <w:r>
              <w:rPr>
                <w:color w:val="auto"/>
              </w:rPr>
              <w:t>25号），</w:t>
            </w:r>
            <w:r>
              <w:rPr>
                <w:rFonts w:hint="eastAsia"/>
                <w:b/>
                <w:bCs/>
                <w:color w:val="auto"/>
                <w:u w:val="single"/>
              </w:rPr>
              <w:t>批复项目建设规模和主要建设内容：项目主要建设内容为新建道路全长3029.095米，红线宽度20米，为城市次干路，包含道路工程、桥梁工程、管线工程、交通工程、照明工程、绿化工程等。</w:t>
            </w:r>
            <w:r>
              <w:rPr>
                <w:color w:val="auto"/>
              </w:rPr>
              <w:t>表明</w:t>
            </w:r>
            <w:r>
              <w:rPr>
                <w:i/>
                <w:iCs/>
                <w:color w:val="auto"/>
                <w:u w:val="single"/>
              </w:rPr>
              <w:t>一标段配套道路工程</w:t>
            </w:r>
            <w:r>
              <w:rPr>
                <w:color w:val="auto"/>
              </w:rPr>
              <w:t>（本项目）单独建设，因此本次评价仅针对</w:t>
            </w:r>
            <w:r>
              <w:rPr>
                <w:i/>
                <w:iCs/>
                <w:color w:val="auto"/>
                <w:u w:val="single"/>
              </w:rPr>
              <w:t>雅安文教新城基础设施及功能配套建设项目</w:t>
            </w:r>
            <w:r>
              <w:rPr>
                <w:rFonts w:hint="eastAsia"/>
                <w:i/>
                <w:iCs/>
                <w:color w:val="auto"/>
                <w:u w:val="single"/>
              </w:rPr>
              <w:t>（</w:t>
            </w:r>
            <w:r>
              <w:rPr>
                <w:i/>
                <w:iCs/>
                <w:color w:val="auto"/>
                <w:u w:val="single"/>
              </w:rPr>
              <w:t>二期）一标段配套道路工程</w:t>
            </w:r>
            <w:r>
              <w:rPr>
                <w:color w:val="auto"/>
              </w:rPr>
              <w:t>进行评价。</w:t>
            </w:r>
          </w:p>
          <w:p>
            <w:pPr>
              <w:pStyle w:val="003"/>
              <w:ind w:firstLine="420"/>
              <w:rPr>
                <w:color w:val="auto"/>
              </w:rPr>
            </w:pPr>
            <w:r>
              <w:rPr>
                <w:color w:val="auto"/>
              </w:rPr>
              <w:t>根据《建设项目环境影响评价分类管理名录（2021版）》（生态环境部 部令 第16号），本项目属于</w:t>
            </w:r>
            <w:r>
              <w:rPr>
                <w:b/>
                <w:bCs/>
                <w:i/>
                <w:iCs/>
                <w:color w:val="auto"/>
              </w:rPr>
              <w:t>第 131 城市道路（不含维护；不含支路、人行天桥、人行地道）</w:t>
            </w:r>
            <w:r>
              <w:rPr>
                <w:color w:val="auto"/>
              </w:rPr>
              <w:t>中的</w:t>
            </w:r>
            <w:r>
              <w:rPr>
                <w:b/>
                <w:bCs/>
                <w:i/>
                <w:iCs/>
                <w:color w:val="auto"/>
              </w:rPr>
              <w:t>城市桥梁</w:t>
            </w:r>
            <w:r>
              <w:rPr>
                <w:color w:val="auto"/>
              </w:rPr>
              <w:t>，</w:t>
            </w:r>
            <w:r>
              <w:rPr>
                <w:rFonts w:hint="eastAsia"/>
                <w:color w:val="auto"/>
              </w:rPr>
              <w:t>应</w:t>
            </w:r>
            <w:r>
              <w:rPr>
                <w:color w:val="auto"/>
              </w:rPr>
              <w:t>编制环境影响报告表。</w:t>
            </w:r>
          </w:p>
          <w:p>
            <w:pPr>
              <w:pStyle w:val="040"/>
            </w:pPr>
            <w:r>
              <w:t>二、建设项目基本情况</w:t>
            </w:r>
          </w:p>
          <w:p>
            <w:pPr>
              <w:pStyle w:val="003"/>
              <w:ind w:firstLine="420"/>
              <w:rPr>
                <w:bCs/>
                <w:iCs/>
                <w:color w:val="auto"/>
              </w:rPr>
            </w:pPr>
            <w:r>
              <w:rPr>
                <w:bCs/>
                <w:iCs/>
                <w:color w:val="auto"/>
              </w:rPr>
              <w:t>项目名称：</w:t>
            </w:r>
            <w:r>
              <w:rPr>
                <w:color w:val="auto"/>
              </w:rPr>
              <w:t>雅安文教新城基础设施及功能配套建设项目（二期）一标段配套道路工程</w:t>
            </w:r>
          </w:p>
          <w:p>
            <w:pPr>
              <w:pStyle w:val="003"/>
              <w:ind w:firstLine="420"/>
              <w:rPr>
                <w:color w:val="auto"/>
              </w:rPr>
            </w:pPr>
            <w:r>
              <w:rPr>
                <w:bCs/>
                <w:iCs/>
                <w:color w:val="auto"/>
              </w:rPr>
              <w:t>建设单位：</w:t>
            </w:r>
            <w:r>
              <w:rPr>
                <w:color w:val="auto"/>
              </w:rPr>
              <w:t>雅安蜀天新城开发建设有限责任公司</w:t>
            </w:r>
          </w:p>
          <w:p>
            <w:pPr>
              <w:pStyle w:val="003"/>
              <w:ind w:firstLine="420"/>
              <w:rPr>
                <w:bCs/>
                <w:iCs/>
                <w:color w:val="auto"/>
              </w:rPr>
            </w:pPr>
            <w:r>
              <w:rPr>
                <w:bCs/>
                <w:iCs/>
                <w:color w:val="auto"/>
              </w:rPr>
              <w:t>建设性质：新建</w:t>
            </w:r>
          </w:p>
          <w:p>
            <w:pPr>
              <w:pStyle w:val="003"/>
              <w:ind w:firstLine="420"/>
              <w:rPr>
                <w:color w:val="auto"/>
              </w:rPr>
            </w:pPr>
            <w:r>
              <w:rPr>
                <w:bCs/>
                <w:iCs/>
                <w:color w:val="auto"/>
              </w:rPr>
              <w:t>项目投资：</w:t>
            </w:r>
            <w:r>
              <w:rPr>
                <w:rFonts w:hint="eastAsia"/>
                <w:bCs/>
                <w:iCs/>
                <w:color w:val="auto"/>
                <w:lang w:eastAsia="zh-CN"/>
              </w:rPr>
              <w:t>******</w:t>
            </w:r>
            <w:r>
              <w:rPr>
                <w:color w:val="auto"/>
              </w:rPr>
              <w:t>万元，其中环保投资1030.18万元。</w:t>
            </w:r>
          </w:p>
        </w:tc>
      </w:tr>
    </w:tbl>
    <w:p>
      <w:pPr>
        <w:sectPr>
          <w:footerReference w:type="even" r:id="rId42"/>
          <w:footerReference w:type="default" r:id="rId43"/>
          <w:pgSz w:w="11906" w:h="16838"/>
          <w:pgMar w:top="1440" w:right="1800" w:bottom="1440" w:left="1800" w:header="851" w:footer="1077" w:gutter="0"/>
          <w:pgNumType w:start="15"/>
          <w:cols w:num="1" w:space="72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pStyle w:val="003"/>
              <w:ind w:firstLine="420"/>
              <w:rPr>
                <w:bCs/>
                <w:iCs/>
                <w:strike/>
                <w:color w:val="auto"/>
              </w:rPr>
            </w:pPr>
            <w:r>
              <w:rPr>
                <w:bCs/>
                <w:iCs/>
                <w:color w:val="auto"/>
              </w:rPr>
              <w:t>设计标准：城市次干路。本项目路线全长3029.095m，道路红线宽度20m，双向4车道，行车道宽度4*3.5m，设计速度40km/h，路面为沥青混凝土路面，设6处平面交叉，2处中桥。主要技术指标见下表。</w:t>
            </w:r>
          </w:p>
          <w:p>
            <w:pPr>
              <w:pStyle w:val="0020"/>
              <w:rPr>
                <w:color w:val="auto"/>
              </w:rPr>
            </w:pPr>
            <w:r>
              <w:rPr>
                <w:color w:val="auto"/>
              </w:rPr>
              <w:t>表2-1  主要技术指标表</w:t>
            </w:r>
          </w:p>
          <w:tbl>
            <w:tblPr>
              <w:tblStyle w:val="TableNormal"/>
              <w:tblW w:w="5000" w:type="pct"/>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CellMar>
                <w:top w:w="0" w:type="dxa"/>
                <w:left w:w="108" w:type="dxa"/>
                <w:bottom w:w="0" w:type="dxa"/>
                <w:right w:w="108" w:type="dxa"/>
              </w:tblCellMar>
            </w:tblPr>
            <w:tblGrid>
              <w:gridCol w:w="997"/>
              <w:gridCol w:w="2640"/>
              <w:gridCol w:w="2148"/>
              <w:gridCol w:w="3222"/>
            </w:tblGrid>
            <w:tr>
              <w:tblPrEx>
                <w:tblW w:w="5000" w:type="pct"/>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CellMar>
                  <w:top w:w="0" w:type="dxa"/>
                  <w:left w:w="108" w:type="dxa"/>
                  <w:bottom w:w="0" w:type="dxa"/>
                  <w:right w:w="108" w:type="dxa"/>
                </w:tblCellMar>
              </w:tblPrEx>
              <w:trPr>
                <w:trHeight w:val="170"/>
                <w:tblHeader/>
                <w:jc w:val="center"/>
              </w:trPr>
              <w:tc>
                <w:tcPr>
                  <w:tcW w:w="554" w:type="pct"/>
                  <w:vAlign w:val="center"/>
                </w:tcPr>
                <w:p>
                  <w:pPr>
                    <w:pStyle w:val="BodyText"/>
                    <w:spacing w:before="0" w:after="0" w:line="240" w:lineRule="auto"/>
                    <w:ind w:right="0"/>
                    <w:jc w:val="center"/>
                    <w:rPr>
                      <w:b/>
                      <w:sz w:val="21"/>
                      <w:szCs w:val="21"/>
                    </w:rPr>
                  </w:pPr>
                  <w:r>
                    <w:rPr>
                      <w:b/>
                      <w:sz w:val="21"/>
                      <w:szCs w:val="21"/>
                    </w:rPr>
                    <w:t>序号</w:t>
                  </w:r>
                </w:p>
              </w:tc>
              <w:tc>
                <w:tcPr>
                  <w:tcW w:w="1465" w:type="pct"/>
                  <w:vAlign w:val="center"/>
                </w:tcPr>
                <w:p>
                  <w:pPr>
                    <w:pStyle w:val="BodyText"/>
                    <w:spacing w:before="0" w:after="0" w:line="240" w:lineRule="auto"/>
                    <w:ind w:right="0"/>
                    <w:jc w:val="center"/>
                    <w:rPr>
                      <w:b/>
                      <w:sz w:val="21"/>
                      <w:szCs w:val="21"/>
                    </w:rPr>
                  </w:pPr>
                  <w:r>
                    <w:rPr>
                      <w:b/>
                      <w:sz w:val="21"/>
                      <w:szCs w:val="21"/>
                    </w:rPr>
                    <w:t>名称</w:t>
                  </w:r>
                </w:p>
              </w:tc>
              <w:tc>
                <w:tcPr>
                  <w:tcW w:w="1192" w:type="pct"/>
                  <w:vAlign w:val="center"/>
                </w:tcPr>
                <w:p>
                  <w:pPr>
                    <w:pStyle w:val="BodyText"/>
                    <w:spacing w:before="0" w:after="0" w:line="240" w:lineRule="auto"/>
                    <w:ind w:right="0"/>
                    <w:jc w:val="center"/>
                    <w:rPr>
                      <w:b/>
                      <w:sz w:val="21"/>
                      <w:szCs w:val="21"/>
                    </w:rPr>
                  </w:pPr>
                  <w:r>
                    <w:rPr>
                      <w:b/>
                      <w:sz w:val="21"/>
                      <w:szCs w:val="21"/>
                    </w:rPr>
                    <w:t>单位</w:t>
                  </w:r>
                </w:p>
              </w:tc>
              <w:tc>
                <w:tcPr>
                  <w:tcW w:w="1788" w:type="pct"/>
                  <w:vAlign w:val="center"/>
                </w:tcPr>
                <w:p>
                  <w:pPr>
                    <w:pStyle w:val="BodyText"/>
                    <w:spacing w:before="0" w:after="0" w:line="240" w:lineRule="auto"/>
                    <w:ind w:right="0"/>
                    <w:jc w:val="center"/>
                    <w:rPr>
                      <w:b/>
                      <w:sz w:val="21"/>
                      <w:szCs w:val="21"/>
                    </w:rPr>
                  </w:pPr>
                  <w:r>
                    <w:rPr>
                      <w:b/>
                      <w:sz w:val="21"/>
                      <w:szCs w:val="21"/>
                    </w:rPr>
                    <w:t>配套道路</w:t>
                  </w:r>
                </w:p>
              </w:tc>
            </w:tr>
            <w:tr>
              <w:tblPrEx>
                <w:tblW w:w="5000" w:type="pct"/>
                <w:jc w:val="center"/>
                <w:tblCellMar>
                  <w:top w:w="0" w:type="dxa"/>
                  <w:left w:w="108" w:type="dxa"/>
                  <w:bottom w:w="0" w:type="dxa"/>
                  <w:right w:w="108" w:type="dxa"/>
                </w:tblCellMar>
              </w:tblPrEx>
              <w:trPr>
                <w:trHeight w:val="170"/>
                <w:jc w:val="center"/>
              </w:trPr>
              <w:tc>
                <w:tcPr>
                  <w:tcW w:w="554" w:type="pct"/>
                  <w:vAlign w:val="center"/>
                </w:tcPr>
                <w:p>
                  <w:pPr>
                    <w:pStyle w:val="BodyText"/>
                    <w:spacing w:before="0" w:after="0" w:line="240" w:lineRule="auto"/>
                    <w:ind w:right="0"/>
                    <w:jc w:val="center"/>
                    <w:rPr>
                      <w:sz w:val="21"/>
                      <w:szCs w:val="21"/>
                    </w:rPr>
                  </w:pPr>
                  <w:r>
                    <w:rPr>
                      <w:sz w:val="21"/>
                      <w:szCs w:val="21"/>
                    </w:rPr>
                    <w:t>1</w:t>
                  </w:r>
                </w:p>
              </w:tc>
              <w:tc>
                <w:tcPr>
                  <w:tcW w:w="1465" w:type="pct"/>
                  <w:vAlign w:val="center"/>
                </w:tcPr>
                <w:p>
                  <w:pPr>
                    <w:pStyle w:val="BodyText"/>
                    <w:spacing w:before="0" w:after="0" w:line="240" w:lineRule="auto"/>
                    <w:ind w:right="0"/>
                    <w:jc w:val="center"/>
                    <w:rPr>
                      <w:sz w:val="21"/>
                      <w:szCs w:val="21"/>
                    </w:rPr>
                  </w:pPr>
                  <w:r>
                    <w:rPr>
                      <w:sz w:val="21"/>
                      <w:szCs w:val="21"/>
                    </w:rPr>
                    <w:t>道路等级</w:t>
                  </w:r>
                </w:p>
              </w:tc>
              <w:tc>
                <w:tcPr>
                  <w:tcW w:w="1192" w:type="pct"/>
                  <w:vAlign w:val="center"/>
                </w:tcPr>
                <w:p>
                  <w:pPr>
                    <w:pStyle w:val="BodyText"/>
                    <w:spacing w:before="0" w:after="0" w:line="240" w:lineRule="auto"/>
                    <w:ind w:right="0"/>
                    <w:jc w:val="center"/>
                    <w:rPr>
                      <w:sz w:val="21"/>
                      <w:szCs w:val="21"/>
                    </w:rPr>
                  </w:pPr>
                </w:p>
              </w:tc>
              <w:tc>
                <w:tcPr>
                  <w:tcW w:w="1788" w:type="pct"/>
                  <w:vAlign w:val="center"/>
                </w:tcPr>
                <w:p>
                  <w:pPr>
                    <w:pStyle w:val="BodyText"/>
                    <w:spacing w:before="0" w:after="0" w:line="240" w:lineRule="auto"/>
                    <w:ind w:right="0"/>
                    <w:jc w:val="center"/>
                    <w:rPr>
                      <w:sz w:val="21"/>
                      <w:szCs w:val="21"/>
                    </w:rPr>
                  </w:pPr>
                  <w:r>
                    <w:rPr>
                      <w:sz w:val="21"/>
                      <w:szCs w:val="21"/>
                    </w:rPr>
                    <w:t>次干路</w:t>
                  </w:r>
                </w:p>
              </w:tc>
            </w:tr>
            <w:tr>
              <w:tblPrEx>
                <w:tblW w:w="5000" w:type="pct"/>
                <w:jc w:val="center"/>
                <w:tblCellMar>
                  <w:top w:w="0" w:type="dxa"/>
                  <w:left w:w="108" w:type="dxa"/>
                  <w:bottom w:w="0" w:type="dxa"/>
                  <w:right w:w="108" w:type="dxa"/>
                </w:tblCellMar>
              </w:tblPrEx>
              <w:trPr>
                <w:trHeight w:val="170"/>
                <w:jc w:val="center"/>
              </w:trPr>
              <w:tc>
                <w:tcPr>
                  <w:tcW w:w="554" w:type="pct"/>
                  <w:vAlign w:val="center"/>
                </w:tcPr>
                <w:p>
                  <w:pPr>
                    <w:pStyle w:val="BodyText"/>
                    <w:spacing w:before="0" w:after="0" w:line="240" w:lineRule="auto"/>
                    <w:ind w:right="0"/>
                    <w:jc w:val="center"/>
                    <w:rPr>
                      <w:sz w:val="21"/>
                      <w:szCs w:val="21"/>
                    </w:rPr>
                  </w:pPr>
                  <w:r>
                    <w:rPr>
                      <w:sz w:val="21"/>
                      <w:szCs w:val="21"/>
                    </w:rPr>
                    <w:t>2</w:t>
                  </w:r>
                </w:p>
              </w:tc>
              <w:tc>
                <w:tcPr>
                  <w:tcW w:w="1465" w:type="pct"/>
                  <w:vAlign w:val="center"/>
                </w:tcPr>
                <w:p>
                  <w:pPr>
                    <w:pStyle w:val="BodyText"/>
                    <w:spacing w:before="0" w:after="0" w:line="240" w:lineRule="auto"/>
                    <w:ind w:right="0"/>
                    <w:jc w:val="center"/>
                    <w:rPr>
                      <w:sz w:val="21"/>
                      <w:szCs w:val="21"/>
                    </w:rPr>
                  </w:pPr>
                  <w:r>
                    <w:rPr>
                      <w:sz w:val="21"/>
                      <w:szCs w:val="21"/>
                    </w:rPr>
                    <w:t>道路长度</w:t>
                  </w:r>
                </w:p>
              </w:tc>
              <w:tc>
                <w:tcPr>
                  <w:tcW w:w="1192" w:type="pct"/>
                  <w:vAlign w:val="center"/>
                </w:tcPr>
                <w:p>
                  <w:pPr>
                    <w:pStyle w:val="BodyText"/>
                    <w:spacing w:before="0" w:after="0" w:line="240" w:lineRule="auto"/>
                    <w:ind w:right="0"/>
                    <w:jc w:val="center"/>
                    <w:rPr>
                      <w:sz w:val="21"/>
                      <w:szCs w:val="21"/>
                    </w:rPr>
                  </w:pPr>
                  <w:r>
                    <w:rPr>
                      <w:sz w:val="21"/>
                      <w:szCs w:val="21"/>
                    </w:rPr>
                    <w:t>m</w:t>
                  </w:r>
                </w:p>
              </w:tc>
              <w:tc>
                <w:tcPr>
                  <w:tcW w:w="1788" w:type="pct"/>
                  <w:vAlign w:val="center"/>
                </w:tcPr>
                <w:p>
                  <w:pPr>
                    <w:pStyle w:val="BodyText"/>
                    <w:spacing w:before="0" w:after="0" w:line="240" w:lineRule="auto"/>
                    <w:ind w:right="0"/>
                    <w:jc w:val="center"/>
                    <w:rPr>
                      <w:sz w:val="21"/>
                      <w:szCs w:val="21"/>
                    </w:rPr>
                  </w:pPr>
                  <w:r>
                    <w:rPr>
                      <w:sz w:val="21"/>
                      <w:szCs w:val="21"/>
                    </w:rPr>
                    <w:t>3029.095</w:t>
                  </w:r>
                </w:p>
              </w:tc>
            </w:tr>
            <w:tr>
              <w:tblPrEx>
                <w:tblW w:w="5000" w:type="pct"/>
                <w:jc w:val="center"/>
                <w:tblCellMar>
                  <w:top w:w="0" w:type="dxa"/>
                  <w:left w:w="108" w:type="dxa"/>
                  <w:bottom w:w="0" w:type="dxa"/>
                  <w:right w:w="108" w:type="dxa"/>
                </w:tblCellMar>
              </w:tblPrEx>
              <w:trPr>
                <w:trHeight w:val="170"/>
                <w:jc w:val="center"/>
              </w:trPr>
              <w:tc>
                <w:tcPr>
                  <w:tcW w:w="554" w:type="pct"/>
                  <w:vAlign w:val="center"/>
                </w:tcPr>
                <w:p>
                  <w:pPr>
                    <w:pStyle w:val="BodyText"/>
                    <w:spacing w:before="0" w:after="0" w:line="240" w:lineRule="auto"/>
                    <w:ind w:right="0"/>
                    <w:jc w:val="center"/>
                    <w:rPr>
                      <w:sz w:val="21"/>
                      <w:szCs w:val="21"/>
                    </w:rPr>
                  </w:pPr>
                  <w:r>
                    <w:rPr>
                      <w:sz w:val="21"/>
                      <w:szCs w:val="21"/>
                    </w:rPr>
                    <w:t>3</w:t>
                  </w:r>
                </w:p>
              </w:tc>
              <w:tc>
                <w:tcPr>
                  <w:tcW w:w="1465" w:type="pct"/>
                  <w:vAlign w:val="center"/>
                </w:tcPr>
                <w:p>
                  <w:pPr>
                    <w:pStyle w:val="BodyText"/>
                    <w:spacing w:before="0" w:after="0" w:line="240" w:lineRule="auto"/>
                    <w:ind w:right="0"/>
                    <w:jc w:val="center"/>
                    <w:rPr>
                      <w:sz w:val="21"/>
                      <w:szCs w:val="21"/>
                    </w:rPr>
                  </w:pPr>
                  <w:r>
                    <w:rPr>
                      <w:sz w:val="21"/>
                      <w:szCs w:val="21"/>
                    </w:rPr>
                    <w:t>设计速度</w:t>
                  </w:r>
                </w:p>
              </w:tc>
              <w:tc>
                <w:tcPr>
                  <w:tcW w:w="1192" w:type="pct"/>
                  <w:vAlign w:val="center"/>
                </w:tcPr>
                <w:p>
                  <w:pPr>
                    <w:pStyle w:val="BodyText"/>
                    <w:spacing w:before="0" w:after="0" w:line="240" w:lineRule="auto"/>
                    <w:ind w:right="0"/>
                    <w:jc w:val="center"/>
                    <w:rPr>
                      <w:sz w:val="21"/>
                      <w:szCs w:val="21"/>
                    </w:rPr>
                  </w:pPr>
                  <w:r>
                    <w:rPr>
                      <w:sz w:val="21"/>
                      <w:szCs w:val="21"/>
                    </w:rPr>
                    <w:t>km/h</w:t>
                  </w:r>
                </w:p>
              </w:tc>
              <w:tc>
                <w:tcPr>
                  <w:tcW w:w="1788" w:type="pct"/>
                  <w:vAlign w:val="center"/>
                </w:tcPr>
                <w:p>
                  <w:pPr>
                    <w:pStyle w:val="BodyText"/>
                    <w:spacing w:before="0" w:after="0" w:line="240" w:lineRule="auto"/>
                    <w:ind w:right="0"/>
                    <w:jc w:val="center"/>
                    <w:rPr>
                      <w:sz w:val="21"/>
                      <w:szCs w:val="21"/>
                    </w:rPr>
                  </w:pPr>
                  <w:r>
                    <w:rPr>
                      <w:sz w:val="21"/>
                      <w:szCs w:val="21"/>
                    </w:rPr>
                    <w:t>40</w:t>
                  </w:r>
                </w:p>
              </w:tc>
            </w:tr>
            <w:tr>
              <w:tblPrEx>
                <w:tblW w:w="5000" w:type="pct"/>
                <w:jc w:val="center"/>
                <w:tblCellMar>
                  <w:top w:w="0" w:type="dxa"/>
                  <w:left w:w="108" w:type="dxa"/>
                  <w:bottom w:w="0" w:type="dxa"/>
                  <w:right w:w="108" w:type="dxa"/>
                </w:tblCellMar>
              </w:tblPrEx>
              <w:trPr>
                <w:trHeight w:val="170"/>
                <w:jc w:val="center"/>
              </w:trPr>
              <w:tc>
                <w:tcPr>
                  <w:tcW w:w="554" w:type="pct"/>
                  <w:vAlign w:val="center"/>
                </w:tcPr>
                <w:p>
                  <w:pPr>
                    <w:pStyle w:val="BodyText"/>
                    <w:spacing w:before="0" w:after="0" w:line="240" w:lineRule="auto"/>
                    <w:ind w:right="0"/>
                    <w:jc w:val="center"/>
                    <w:rPr>
                      <w:sz w:val="21"/>
                      <w:szCs w:val="21"/>
                    </w:rPr>
                  </w:pPr>
                  <w:r>
                    <w:rPr>
                      <w:sz w:val="21"/>
                      <w:szCs w:val="21"/>
                    </w:rPr>
                    <w:t>4</w:t>
                  </w:r>
                </w:p>
              </w:tc>
              <w:tc>
                <w:tcPr>
                  <w:tcW w:w="1465" w:type="pct"/>
                  <w:vAlign w:val="center"/>
                </w:tcPr>
                <w:p>
                  <w:pPr>
                    <w:pStyle w:val="BodyText"/>
                    <w:spacing w:before="0" w:after="0" w:line="240" w:lineRule="auto"/>
                    <w:ind w:right="0"/>
                    <w:jc w:val="center"/>
                    <w:rPr>
                      <w:sz w:val="21"/>
                      <w:szCs w:val="21"/>
                    </w:rPr>
                  </w:pPr>
                  <w:r>
                    <w:rPr>
                      <w:sz w:val="21"/>
                      <w:szCs w:val="21"/>
                    </w:rPr>
                    <w:t>车道数</w:t>
                  </w:r>
                </w:p>
              </w:tc>
              <w:tc>
                <w:tcPr>
                  <w:tcW w:w="1192" w:type="pct"/>
                  <w:vAlign w:val="center"/>
                </w:tcPr>
                <w:p>
                  <w:pPr>
                    <w:pStyle w:val="BodyText"/>
                    <w:spacing w:before="0" w:after="0" w:line="240" w:lineRule="auto"/>
                    <w:ind w:right="0"/>
                    <w:jc w:val="center"/>
                    <w:rPr>
                      <w:sz w:val="21"/>
                      <w:szCs w:val="21"/>
                    </w:rPr>
                  </w:pPr>
                  <w:r>
                    <w:rPr>
                      <w:sz w:val="21"/>
                      <w:szCs w:val="21"/>
                    </w:rPr>
                    <w:t>条</w:t>
                  </w:r>
                </w:p>
              </w:tc>
              <w:tc>
                <w:tcPr>
                  <w:tcW w:w="1788" w:type="pct"/>
                  <w:vAlign w:val="center"/>
                </w:tcPr>
                <w:p>
                  <w:pPr>
                    <w:pStyle w:val="BodyText"/>
                    <w:spacing w:before="0" w:after="0" w:line="240" w:lineRule="auto"/>
                    <w:ind w:right="0"/>
                    <w:jc w:val="center"/>
                    <w:rPr>
                      <w:sz w:val="21"/>
                      <w:szCs w:val="21"/>
                    </w:rPr>
                  </w:pPr>
                  <w:r>
                    <w:rPr>
                      <w:sz w:val="21"/>
                      <w:szCs w:val="21"/>
                    </w:rPr>
                    <w:t>4（双向）</w:t>
                  </w:r>
                </w:p>
              </w:tc>
            </w:tr>
            <w:tr>
              <w:tblPrEx>
                <w:tblW w:w="5000" w:type="pct"/>
                <w:jc w:val="center"/>
                <w:tblCellMar>
                  <w:top w:w="0" w:type="dxa"/>
                  <w:left w:w="108" w:type="dxa"/>
                  <w:bottom w:w="0" w:type="dxa"/>
                  <w:right w:w="108" w:type="dxa"/>
                </w:tblCellMar>
              </w:tblPrEx>
              <w:trPr>
                <w:trHeight w:val="170"/>
                <w:jc w:val="center"/>
              </w:trPr>
              <w:tc>
                <w:tcPr>
                  <w:tcW w:w="554" w:type="pct"/>
                  <w:vAlign w:val="center"/>
                </w:tcPr>
                <w:p>
                  <w:pPr>
                    <w:pStyle w:val="BodyText"/>
                    <w:spacing w:before="0" w:after="0" w:line="240" w:lineRule="auto"/>
                    <w:ind w:right="0"/>
                    <w:jc w:val="center"/>
                    <w:rPr>
                      <w:sz w:val="21"/>
                      <w:szCs w:val="21"/>
                    </w:rPr>
                  </w:pPr>
                  <w:r>
                    <w:rPr>
                      <w:sz w:val="21"/>
                      <w:szCs w:val="21"/>
                    </w:rPr>
                    <w:t>5</w:t>
                  </w:r>
                </w:p>
              </w:tc>
              <w:tc>
                <w:tcPr>
                  <w:tcW w:w="1465" w:type="pct"/>
                  <w:vAlign w:val="center"/>
                </w:tcPr>
                <w:p>
                  <w:pPr>
                    <w:pStyle w:val="BodyText"/>
                    <w:spacing w:before="0" w:after="0" w:line="240" w:lineRule="auto"/>
                    <w:ind w:right="0"/>
                    <w:jc w:val="center"/>
                    <w:rPr>
                      <w:sz w:val="21"/>
                      <w:szCs w:val="21"/>
                    </w:rPr>
                  </w:pPr>
                  <w:r>
                    <w:rPr>
                      <w:sz w:val="21"/>
                      <w:szCs w:val="21"/>
                    </w:rPr>
                    <w:t>红线宽度</w:t>
                  </w:r>
                </w:p>
              </w:tc>
              <w:tc>
                <w:tcPr>
                  <w:tcW w:w="1192" w:type="pct"/>
                  <w:vAlign w:val="center"/>
                </w:tcPr>
                <w:p>
                  <w:pPr>
                    <w:pStyle w:val="BodyText"/>
                    <w:spacing w:before="0" w:after="0" w:line="240" w:lineRule="auto"/>
                    <w:ind w:right="0"/>
                    <w:jc w:val="center"/>
                    <w:rPr>
                      <w:sz w:val="21"/>
                      <w:szCs w:val="21"/>
                    </w:rPr>
                  </w:pPr>
                  <w:r>
                    <w:rPr>
                      <w:sz w:val="21"/>
                      <w:szCs w:val="21"/>
                    </w:rPr>
                    <w:t>m</w:t>
                  </w:r>
                </w:p>
              </w:tc>
              <w:tc>
                <w:tcPr>
                  <w:tcW w:w="1788" w:type="pct"/>
                  <w:vAlign w:val="center"/>
                </w:tcPr>
                <w:p>
                  <w:pPr>
                    <w:pStyle w:val="BodyText"/>
                    <w:spacing w:before="0" w:after="0" w:line="240" w:lineRule="auto"/>
                    <w:ind w:right="0"/>
                    <w:jc w:val="center"/>
                    <w:rPr>
                      <w:sz w:val="21"/>
                      <w:szCs w:val="21"/>
                    </w:rPr>
                  </w:pPr>
                  <w:r>
                    <w:rPr>
                      <w:sz w:val="21"/>
                      <w:szCs w:val="21"/>
                    </w:rPr>
                    <w:t>20</w:t>
                  </w:r>
                </w:p>
              </w:tc>
            </w:tr>
            <w:tr>
              <w:tblPrEx>
                <w:tblW w:w="5000" w:type="pct"/>
                <w:jc w:val="center"/>
                <w:tblCellMar>
                  <w:top w:w="0" w:type="dxa"/>
                  <w:left w:w="108" w:type="dxa"/>
                  <w:bottom w:w="0" w:type="dxa"/>
                  <w:right w:w="108" w:type="dxa"/>
                </w:tblCellMar>
              </w:tblPrEx>
              <w:trPr>
                <w:trHeight w:val="170"/>
                <w:jc w:val="center"/>
              </w:trPr>
              <w:tc>
                <w:tcPr>
                  <w:tcW w:w="554" w:type="pct"/>
                  <w:vAlign w:val="center"/>
                </w:tcPr>
                <w:p>
                  <w:pPr>
                    <w:pStyle w:val="BodyText"/>
                    <w:spacing w:before="0" w:after="0" w:line="240" w:lineRule="auto"/>
                    <w:ind w:right="0"/>
                    <w:jc w:val="center"/>
                    <w:rPr>
                      <w:sz w:val="21"/>
                      <w:szCs w:val="21"/>
                    </w:rPr>
                  </w:pPr>
                  <w:r>
                    <w:rPr>
                      <w:sz w:val="21"/>
                      <w:szCs w:val="21"/>
                    </w:rPr>
                    <w:t>6</w:t>
                  </w:r>
                </w:p>
              </w:tc>
              <w:tc>
                <w:tcPr>
                  <w:tcW w:w="1465" w:type="pct"/>
                  <w:vAlign w:val="center"/>
                </w:tcPr>
                <w:p>
                  <w:pPr>
                    <w:pStyle w:val="BodyText"/>
                    <w:spacing w:before="0" w:after="0" w:line="240" w:lineRule="auto"/>
                    <w:ind w:right="0"/>
                    <w:jc w:val="center"/>
                    <w:rPr>
                      <w:sz w:val="21"/>
                      <w:szCs w:val="21"/>
                    </w:rPr>
                  </w:pPr>
                  <w:r>
                    <w:rPr>
                      <w:sz w:val="21"/>
                      <w:szCs w:val="21"/>
                    </w:rPr>
                    <w:t>最大纵坡</w:t>
                  </w:r>
                </w:p>
              </w:tc>
              <w:tc>
                <w:tcPr>
                  <w:tcW w:w="1192" w:type="pct"/>
                  <w:vAlign w:val="center"/>
                </w:tcPr>
                <w:p>
                  <w:pPr>
                    <w:pStyle w:val="BodyText"/>
                    <w:spacing w:before="0" w:after="0" w:line="240" w:lineRule="auto"/>
                    <w:ind w:right="0"/>
                    <w:jc w:val="center"/>
                    <w:rPr>
                      <w:sz w:val="21"/>
                      <w:szCs w:val="21"/>
                    </w:rPr>
                  </w:pPr>
                  <w:r>
                    <w:rPr>
                      <w:rFonts w:hint="eastAsia"/>
                      <w:sz w:val="21"/>
                      <w:szCs w:val="21"/>
                    </w:rPr>
                    <w:t>%</w:t>
                  </w:r>
                </w:p>
              </w:tc>
              <w:tc>
                <w:tcPr>
                  <w:tcW w:w="1788" w:type="pct"/>
                  <w:vAlign w:val="center"/>
                </w:tcPr>
                <w:p>
                  <w:pPr>
                    <w:pStyle w:val="BodyText"/>
                    <w:spacing w:before="0" w:after="0" w:line="240" w:lineRule="auto"/>
                    <w:ind w:right="0"/>
                    <w:jc w:val="center"/>
                    <w:rPr>
                      <w:sz w:val="21"/>
                      <w:szCs w:val="21"/>
                    </w:rPr>
                  </w:pPr>
                  <w:r>
                    <w:rPr>
                      <w:sz w:val="21"/>
                      <w:szCs w:val="21"/>
                    </w:rPr>
                    <w:t>4.9</w:t>
                  </w:r>
                </w:p>
              </w:tc>
            </w:tr>
            <w:tr>
              <w:tblPrEx>
                <w:tblW w:w="5000" w:type="pct"/>
                <w:jc w:val="center"/>
                <w:tblCellMar>
                  <w:top w:w="0" w:type="dxa"/>
                  <w:left w:w="108" w:type="dxa"/>
                  <w:bottom w:w="0" w:type="dxa"/>
                  <w:right w:w="108" w:type="dxa"/>
                </w:tblCellMar>
              </w:tblPrEx>
              <w:trPr>
                <w:trHeight w:val="170"/>
                <w:jc w:val="center"/>
              </w:trPr>
              <w:tc>
                <w:tcPr>
                  <w:tcW w:w="554" w:type="pct"/>
                  <w:vAlign w:val="center"/>
                </w:tcPr>
                <w:p>
                  <w:pPr>
                    <w:pStyle w:val="BodyText"/>
                    <w:spacing w:before="0" w:after="0" w:line="240" w:lineRule="auto"/>
                    <w:ind w:right="0"/>
                    <w:jc w:val="center"/>
                    <w:rPr>
                      <w:sz w:val="21"/>
                      <w:szCs w:val="21"/>
                    </w:rPr>
                  </w:pPr>
                  <w:r>
                    <w:rPr>
                      <w:sz w:val="21"/>
                      <w:szCs w:val="21"/>
                    </w:rPr>
                    <w:t>7</w:t>
                  </w:r>
                </w:p>
              </w:tc>
              <w:tc>
                <w:tcPr>
                  <w:tcW w:w="1465" w:type="pct"/>
                  <w:vAlign w:val="center"/>
                </w:tcPr>
                <w:p>
                  <w:pPr>
                    <w:pStyle w:val="BodyText"/>
                    <w:spacing w:before="0" w:after="0" w:line="240" w:lineRule="auto"/>
                    <w:ind w:right="0"/>
                    <w:jc w:val="center"/>
                    <w:rPr>
                      <w:sz w:val="21"/>
                      <w:szCs w:val="21"/>
                    </w:rPr>
                  </w:pPr>
                  <w:r>
                    <w:rPr>
                      <w:sz w:val="21"/>
                      <w:szCs w:val="21"/>
                    </w:rPr>
                    <w:t>最小纵坡</w:t>
                  </w:r>
                </w:p>
              </w:tc>
              <w:tc>
                <w:tcPr>
                  <w:tcW w:w="1192" w:type="pct"/>
                  <w:vAlign w:val="center"/>
                </w:tcPr>
                <w:p>
                  <w:pPr>
                    <w:pStyle w:val="BodyText"/>
                    <w:spacing w:before="0" w:after="0" w:line="240" w:lineRule="auto"/>
                    <w:ind w:right="0"/>
                    <w:jc w:val="center"/>
                    <w:rPr>
                      <w:sz w:val="21"/>
                      <w:szCs w:val="21"/>
                    </w:rPr>
                  </w:pPr>
                  <w:r>
                    <w:rPr>
                      <w:sz w:val="21"/>
                      <w:szCs w:val="21"/>
                    </w:rPr>
                    <w:t>%</w:t>
                  </w:r>
                </w:p>
              </w:tc>
              <w:tc>
                <w:tcPr>
                  <w:tcW w:w="1788" w:type="pct"/>
                  <w:vAlign w:val="center"/>
                </w:tcPr>
                <w:p>
                  <w:pPr>
                    <w:pStyle w:val="BodyText"/>
                    <w:spacing w:before="0" w:after="0" w:line="240" w:lineRule="auto"/>
                    <w:ind w:right="0"/>
                    <w:jc w:val="center"/>
                    <w:rPr>
                      <w:sz w:val="21"/>
                      <w:szCs w:val="21"/>
                    </w:rPr>
                  </w:pPr>
                  <w:r>
                    <w:rPr>
                      <w:sz w:val="21"/>
                      <w:szCs w:val="21"/>
                    </w:rPr>
                    <w:t>0.3</w:t>
                  </w:r>
                </w:p>
              </w:tc>
            </w:tr>
            <w:tr>
              <w:tblPrEx>
                <w:tblW w:w="5000" w:type="pct"/>
                <w:jc w:val="center"/>
                <w:tblCellMar>
                  <w:top w:w="0" w:type="dxa"/>
                  <w:left w:w="108" w:type="dxa"/>
                  <w:bottom w:w="0" w:type="dxa"/>
                  <w:right w:w="108" w:type="dxa"/>
                </w:tblCellMar>
              </w:tblPrEx>
              <w:trPr>
                <w:trHeight w:val="170"/>
                <w:jc w:val="center"/>
              </w:trPr>
              <w:tc>
                <w:tcPr>
                  <w:tcW w:w="554" w:type="pct"/>
                  <w:vAlign w:val="center"/>
                </w:tcPr>
                <w:p>
                  <w:pPr>
                    <w:pStyle w:val="BodyText"/>
                    <w:spacing w:before="0" w:after="0" w:line="240" w:lineRule="auto"/>
                    <w:ind w:right="0"/>
                    <w:jc w:val="center"/>
                    <w:rPr>
                      <w:sz w:val="21"/>
                      <w:szCs w:val="21"/>
                    </w:rPr>
                  </w:pPr>
                  <w:r>
                    <w:rPr>
                      <w:sz w:val="21"/>
                      <w:szCs w:val="21"/>
                    </w:rPr>
                    <w:t>8</w:t>
                  </w:r>
                </w:p>
              </w:tc>
              <w:tc>
                <w:tcPr>
                  <w:tcW w:w="1465" w:type="pct"/>
                  <w:vAlign w:val="center"/>
                </w:tcPr>
                <w:p>
                  <w:pPr>
                    <w:pStyle w:val="BodyText"/>
                    <w:spacing w:before="0" w:after="0" w:line="240" w:lineRule="auto"/>
                    <w:ind w:right="0"/>
                    <w:jc w:val="center"/>
                    <w:rPr>
                      <w:sz w:val="21"/>
                      <w:szCs w:val="21"/>
                    </w:rPr>
                  </w:pPr>
                  <w:r>
                    <w:rPr>
                      <w:sz w:val="21"/>
                      <w:szCs w:val="21"/>
                    </w:rPr>
                    <w:t>荷载等级</w:t>
                  </w:r>
                </w:p>
              </w:tc>
              <w:tc>
                <w:tcPr>
                  <w:tcW w:w="1192" w:type="pct"/>
                  <w:vAlign w:val="center"/>
                </w:tcPr>
                <w:p>
                  <w:pPr>
                    <w:pStyle w:val="BodyText"/>
                    <w:spacing w:before="0" w:after="0" w:line="240" w:lineRule="auto"/>
                    <w:ind w:right="0"/>
                    <w:jc w:val="center"/>
                    <w:rPr>
                      <w:sz w:val="21"/>
                      <w:szCs w:val="21"/>
                    </w:rPr>
                  </w:pPr>
                </w:p>
              </w:tc>
              <w:tc>
                <w:tcPr>
                  <w:tcW w:w="1788" w:type="pct"/>
                  <w:vAlign w:val="center"/>
                </w:tcPr>
                <w:p>
                  <w:pPr>
                    <w:pStyle w:val="BodyText"/>
                    <w:spacing w:before="0" w:after="0" w:line="240" w:lineRule="auto"/>
                    <w:ind w:right="0"/>
                    <w:jc w:val="center"/>
                    <w:rPr>
                      <w:sz w:val="21"/>
                      <w:szCs w:val="21"/>
                    </w:rPr>
                  </w:pPr>
                  <w:r>
                    <w:rPr>
                      <w:sz w:val="21"/>
                      <w:szCs w:val="21"/>
                    </w:rPr>
                    <w:t>BZZ-100KN</w:t>
                  </w:r>
                </w:p>
              </w:tc>
            </w:tr>
            <w:tr>
              <w:tblPrEx>
                <w:tblW w:w="5000" w:type="pct"/>
                <w:jc w:val="center"/>
                <w:tblCellMar>
                  <w:top w:w="0" w:type="dxa"/>
                  <w:left w:w="108" w:type="dxa"/>
                  <w:bottom w:w="0" w:type="dxa"/>
                  <w:right w:w="108" w:type="dxa"/>
                </w:tblCellMar>
              </w:tblPrEx>
              <w:trPr>
                <w:trHeight w:val="170"/>
                <w:jc w:val="center"/>
              </w:trPr>
              <w:tc>
                <w:tcPr>
                  <w:tcW w:w="554" w:type="pct"/>
                  <w:vAlign w:val="center"/>
                </w:tcPr>
                <w:p>
                  <w:pPr>
                    <w:pStyle w:val="BodyText"/>
                    <w:spacing w:before="0" w:after="0" w:line="240" w:lineRule="auto"/>
                    <w:ind w:right="0"/>
                    <w:jc w:val="center"/>
                    <w:rPr>
                      <w:sz w:val="21"/>
                      <w:szCs w:val="21"/>
                    </w:rPr>
                  </w:pPr>
                  <w:r>
                    <w:rPr>
                      <w:sz w:val="21"/>
                      <w:szCs w:val="21"/>
                    </w:rPr>
                    <w:t>9</w:t>
                  </w:r>
                </w:p>
              </w:tc>
              <w:tc>
                <w:tcPr>
                  <w:tcW w:w="1465" w:type="pct"/>
                  <w:vAlign w:val="center"/>
                </w:tcPr>
                <w:p>
                  <w:pPr>
                    <w:pStyle w:val="BodyText"/>
                    <w:spacing w:before="0" w:after="0" w:line="240" w:lineRule="auto"/>
                    <w:ind w:right="0"/>
                    <w:jc w:val="center"/>
                    <w:rPr>
                      <w:sz w:val="21"/>
                      <w:szCs w:val="21"/>
                    </w:rPr>
                  </w:pPr>
                  <w:r>
                    <w:rPr>
                      <w:sz w:val="21"/>
                      <w:szCs w:val="21"/>
                    </w:rPr>
                    <w:t>路面类型</w:t>
                  </w:r>
                </w:p>
              </w:tc>
              <w:tc>
                <w:tcPr>
                  <w:tcW w:w="1192" w:type="pct"/>
                  <w:vAlign w:val="center"/>
                </w:tcPr>
                <w:p>
                  <w:pPr>
                    <w:pStyle w:val="BodyText"/>
                    <w:spacing w:before="0" w:after="0" w:line="240" w:lineRule="auto"/>
                    <w:ind w:right="0"/>
                    <w:jc w:val="center"/>
                    <w:rPr>
                      <w:sz w:val="21"/>
                      <w:szCs w:val="21"/>
                    </w:rPr>
                  </w:pPr>
                </w:p>
              </w:tc>
              <w:tc>
                <w:tcPr>
                  <w:tcW w:w="1788" w:type="pct"/>
                  <w:vAlign w:val="center"/>
                </w:tcPr>
                <w:p>
                  <w:pPr>
                    <w:pStyle w:val="BodyText"/>
                    <w:spacing w:before="0" w:after="0" w:line="240" w:lineRule="auto"/>
                    <w:ind w:right="0"/>
                    <w:jc w:val="center"/>
                    <w:rPr>
                      <w:sz w:val="21"/>
                      <w:szCs w:val="21"/>
                    </w:rPr>
                  </w:pPr>
                  <w:r>
                    <w:rPr>
                      <w:sz w:val="21"/>
                      <w:szCs w:val="21"/>
                    </w:rPr>
                    <w:t>沥青混凝土</w:t>
                  </w:r>
                </w:p>
              </w:tc>
            </w:tr>
            <w:tr>
              <w:tblPrEx>
                <w:tblW w:w="5000" w:type="pct"/>
                <w:jc w:val="center"/>
                <w:tblCellMar>
                  <w:top w:w="0" w:type="dxa"/>
                  <w:left w:w="108" w:type="dxa"/>
                  <w:bottom w:w="0" w:type="dxa"/>
                  <w:right w:w="108" w:type="dxa"/>
                </w:tblCellMar>
              </w:tblPrEx>
              <w:trPr>
                <w:trHeight w:val="170"/>
                <w:jc w:val="center"/>
              </w:trPr>
              <w:tc>
                <w:tcPr>
                  <w:tcW w:w="554" w:type="pct"/>
                </w:tcPr>
                <w:p>
                  <w:pPr>
                    <w:pStyle w:val="BodyText"/>
                    <w:spacing w:before="0" w:after="0" w:line="240" w:lineRule="auto"/>
                    <w:ind w:right="0"/>
                    <w:jc w:val="center"/>
                    <w:rPr>
                      <w:sz w:val="21"/>
                      <w:szCs w:val="21"/>
                    </w:rPr>
                  </w:pPr>
                  <w:r>
                    <w:rPr>
                      <w:sz w:val="21"/>
                      <w:szCs w:val="21"/>
                    </w:rPr>
                    <w:t>10</w:t>
                  </w:r>
                </w:p>
              </w:tc>
              <w:tc>
                <w:tcPr>
                  <w:tcW w:w="1465" w:type="pct"/>
                  <w:vAlign w:val="center"/>
                </w:tcPr>
                <w:p>
                  <w:pPr>
                    <w:pStyle w:val="BodyText"/>
                    <w:spacing w:before="0" w:after="0" w:line="240" w:lineRule="auto"/>
                    <w:ind w:right="0"/>
                    <w:jc w:val="center"/>
                    <w:rPr>
                      <w:sz w:val="21"/>
                      <w:szCs w:val="21"/>
                    </w:rPr>
                  </w:pPr>
                  <w:r>
                    <w:rPr>
                      <w:sz w:val="21"/>
                      <w:szCs w:val="21"/>
                    </w:rPr>
                    <w:t>地震动峰值加速度</w:t>
                  </w:r>
                </w:p>
              </w:tc>
              <w:tc>
                <w:tcPr>
                  <w:tcW w:w="1192" w:type="pct"/>
                  <w:vAlign w:val="center"/>
                </w:tcPr>
                <w:p>
                  <w:pPr>
                    <w:pStyle w:val="BodyText"/>
                    <w:spacing w:before="0" w:after="0" w:line="240" w:lineRule="auto"/>
                    <w:ind w:right="0"/>
                    <w:jc w:val="center"/>
                    <w:rPr>
                      <w:sz w:val="21"/>
                      <w:szCs w:val="21"/>
                    </w:rPr>
                  </w:pPr>
                  <w:r>
                    <w:rPr>
                      <w:sz w:val="21"/>
                      <w:szCs w:val="21"/>
                    </w:rPr>
                    <w:t>g</w:t>
                  </w:r>
                </w:p>
              </w:tc>
              <w:tc>
                <w:tcPr>
                  <w:tcW w:w="1788" w:type="pct"/>
                  <w:vAlign w:val="center"/>
                </w:tcPr>
                <w:p>
                  <w:pPr>
                    <w:pStyle w:val="BodyText"/>
                    <w:spacing w:before="0" w:after="0" w:line="240" w:lineRule="auto"/>
                    <w:ind w:right="0"/>
                    <w:jc w:val="center"/>
                    <w:rPr>
                      <w:sz w:val="21"/>
                      <w:szCs w:val="21"/>
                    </w:rPr>
                  </w:pPr>
                  <w:r>
                    <w:rPr>
                      <w:sz w:val="21"/>
                      <w:szCs w:val="21"/>
                    </w:rPr>
                    <w:t>0.1</w:t>
                  </w:r>
                </w:p>
              </w:tc>
            </w:tr>
            <w:tr>
              <w:tblPrEx>
                <w:tblW w:w="5000" w:type="pct"/>
                <w:jc w:val="center"/>
                <w:tblCellMar>
                  <w:top w:w="0" w:type="dxa"/>
                  <w:left w:w="108" w:type="dxa"/>
                  <w:bottom w:w="0" w:type="dxa"/>
                  <w:right w:w="108" w:type="dxa"/>
                </w:tblCellMar>
              </w:tblPrEx>
              <w:trPr>
                <w:trHeight w:val="170"/>
                <w:jc w:val="center"/>
              </w:trPr>
              <w:tc>
                <w:tcPr>
                  <w:tcW w:w="554" w:type="pct"/>
                </w:tcPr>
                <w:p>
                  <w:pPr>
                    <w:pStyle w:val="BodyText"/>
                    <w:spacing w:before="0" w:after="0" w:line="240" w:lineRule="auto"/>
                    <w:ind w:right="0"/>
                    <w:jc w:val="center"/>
                    <w:rPr>
                      <w:sz w:val="21"/>
                      <w:szCs w:val="21"/>
                    </w:rPr>
                  </w:pPr>
                  <w:r>
                    <w:rPr>
                      <w:sz w:val="21"/>
                      <w:szCs w:val="21"/>
                    </w:rPr>
                    <w:t>11</w:t>
                  </w:r>
                </w:p>
              </w:tc>
              <w:tc>
                <w:tcPr>
                  <w:tcW w:w="1465" w:type="pct"/>
                  <w:vAlign w:val="center"/>
                </w:tcPr>
                <w:p>
                  <w:pPr>
                    <w:pStyle w:val="BodyText"/>
                    <w:spacing w:before="0" w:after="0" w:line="240" w:lineRule="auto"/>
                    <w:ind w:right="0"/>
                    <w:jc w:val="center"/>
                    <w:rPr>
                      <w:sz w:val="21"/>
                      <w:szCs w:val="21"/>
                    </w:rPr>
                  </w:pPr>
                  <w:r>
                    <w:rPr>
                      <w:sz w:val="21"/>
                      <w:szCs w:val="21"/>
                    </w:rPr>
                    <w:t>停车视距</w:t>
                  </w:r>
                </w:p>
              </w:tc>
              <w:tc>
                <w:tcPr>
                  <w:tcW w:w="1192" w:type="pct"/>
                  <w:vAlign w:val="center"/>
                </w:tcPr>
                <w:p>
                  <w:pPr>
                    <w:pStyle w:val="BodyText"/>
                    <w:spacing w:before="0" w:after="0" w:line="240" w:lineRule="auto"/>
                    <w:ind w:right="0"/>
                    <w:jc w:val="center"/>
                    <w:rPr>
                      <w:sz w:val="21"/>
                      <w:szCs w:val="21"/>
                    </w:rPr>
                  </w:pPr>
                  <w:r>
                    <w:rPr>
                      <w:sz w:val="21"/>
                      <w:szCs w:val="21"/>
                    </w:rPr>
                    <w:t>m</w:t>
                  </w:r>
                </w:p>
              </w:tc>
              <w:tc>
                <w:tcPr>
                  <w:tcW w:w="1788" w:type="pct"/>
                  <w:vAlign w:val="center"/>
                </w:tcPr>
                <w:p>
                  <w:pPr>
                    <w:pStyle w:val="BodyText"/>
                    <w:spacing w:before="0" w:after="0" w:line="240" w:lineRule="auto"/>
                    <w:ind w:right="0"/>
                    <w:jc w:val="center"/>
                    <w:rPr>
                      <w:sz w:val="21"/>
                      <w:szCs w:val="21"/>
                    </w:rPr>
                  </w:pPr>
                  <w:r>
                    <w:rPr>
                      <w:sz w:val="21"/>
                      <w:szCs w:val="21"/>
                    </w:rPr>
                    <w:t>40</w:t>
                  </w:r>
                </w:p>
              </w:tc>
            </w:tr>
            <w:tr>
              <w:tblPrEx>
                <w:tblW w:w="5000" w:type="pct"/>
                <w:jc w:val="center"/>
                <w:tblCellMar>
                  <w:top w:w="0" w:type="dxa"/>
                  <w:left w:w="108" w:type="dxa"/>
                  <w:bottom w:w="0" w:type="dxa"/>
                  <w:right w:w="108" w:type="dxa"/>
                </w:tblCellMar>
              </w:tblPrEx>
              <w:trPr>
                <w:trHeight w:val="170"/>
                <w:jc w:val="center"/>
              </w:trPr>
              <w:tc>
                <w:tcPr>
                  <w:tcW w:w="554" w:type="pct"/>
                </w:tcPr>
                <w:p>
                  <w:pPr>
                    <w:pStyle w:val="BodyText"/>
                    <w:spacing w:before="0" w:after="0" w:line="240" w:lineRule="auto"/>
                    <w:ind w:right="0"/>
                    <w:jc w:val="center"/>
                    <w:rPr>
                      <w:sz w:val="21"/>
                      <w:szCs w:val="21"/>
                    </w:rPr>
                  </w:pPr>
                  <w:r>
                    <w:rPr>
                      <w:sz w:val="21"/>
                      <w:szCs w:val="21"/>
                    </w:rPr>
                    <w:t>12</w:t>
                  </w:r>
                </w:p>
              </w:tc>
              <w:tc>
                <w:tcPr>
                  <w:tcW w:w="1465" w:type="pct"/>
                  <w:vAlign w:val="center"/>
                </w:tcPr>
                <w:p>
                  <w:pPr>
                    <w:pStyle w:val="BodyText"/>
                    <w:spacing w:before="0" w:after="0" w:line="240" w:lineRule="auto"/>
                    <w:ind w:right="0"/>
                    <w:jc w:val="center"/>
                    <w:rPr>
                      <w:sz w:val="21"/>
                      <w:szCs w:val="21"/>
                    </w:rPr>
                  </w:pPr>
                  <w:r>
                    <w:rPr>
                      <w:sz w:val="21"/>
                      <w:szCs w:val="21"/>
                    </w:rPr>
                    <w:t>道路净空</w:t>
                  </w:r>
                </w:p>
              </w:tc>
              <w:tc>
                <w:tcPr>
                  <w:tcW w:w="1192" w:type="pct"/>
                  <w:vAlign w:val="center"/>
                </w:tcPr>
                <w:p>
                  <w:pPr>
                    <w:pStyle w:val="BodyText"/>
                    <w:spacing w:before="0" w:after="0" w:line="240" w:lineRule="auto"/>
                    <w:ind w:right="0"/>
                    <w:jc w:val="center"/>
                    <w:rPr>
                      <w:sz w:val="21"/>
                      <w:szCs w:val="21"/>
                    </w:rPr>
                  </w:pPr>
                  <w:r>
                    <w:rPr>
                      <w:sz w:val="21"/>
                      <w:szCs w:val="21"/>
                    </w:rPr>
                    <w:t>m</w:t>
                  </w:r>
                </w:p>
              </w:tc>
              <w:tc>
                <w:tcPr>
                  <w:tcW w:w="1788" w:type="pct"/>
                  <w:vAlign w:val="center"/>
                </w:tcPr>
                <w:p>
                  <w:pPr>
                    <w:pStyle w:val="BodyText"/>
                    <w:spacing w:before="0" w:after="0" w:line="240" w:lineRule="auto"/>
                    <w:ind w:right="0"/>
                    <w:jc w:val="center"/>
                    <w:rPr>
                      <w:sz w:val="21"/>
                      <w:szCs w:val="21"/>
                    </w:rPr>
                  </w:pPr>
                  <w:r>
                    <w:rPr>
                      <w:sz w:val="21"/>
                      <w:szCs w:val="21"/>
                    </w:rPr>
                    <w:t>车行道≥5.0</w:t>
                  </w:r>
                </w:p>
                <w:p>
                  <w:pPr>
                    <w:pStyle w:val="BodyText"/>
                    <w:spacing w:before="0" w:after="0" w:line="240" w:lineRule="auto"/>
                    <w:ind w:right="0"/>
                    <w:jc w:val="center"/>
                    <w:rPr>
                      <w:sz w:val="21"/>
                      <w:szCs w:val="21"/>
                    </w:rPr>
                  </w:pPr>
                  <w:r>
                    <w:rPr>
                      <w:sz w:val="21"/>
                      <w:szCs w:val="21"/>
                    </w:rPr>
                    <w:t>人行道≥3.0</w:t>
                  </w:r>
                </w:p>
              </w:tc>
            </w:tr>
            <w:tr>
              <w:tblPrEx>
                <w:tblW w:w="5000" w:type="pct"/>
                <w:jc w:val="center"/>
                <w:tblCellMar>
                  <w:top w:w="0" w:type="dxa"/>
                  <w:left w:w="108" w:type="dxa"/>
                  <w:bottom w:w="0" w:type="dxa"/>
                  <w:right w:w="108" w:type="dxa"/>
                </w:tblCellMar>
              </w:tblPrEx>
              <w:trPr>
                <w:trHeight w:val="170"/>
                <w:jc w:val="center"/>
              </w:trPr>
              <w:tc>
                <w:tcPr>
                  <w:tcW w:w="554" w:type="pct"/>
                  <w:vAlign w:val="center"/>
                </w:tcPr>
                <w:p>
                  <w:pPr>
                    <w:pStyle w:val="BodyText"/>
                    <w:spacing w:before="0" w:after="0" w:line="240" w:lineRule="auto"/>
                    <w:ind w:right="0"/>
                    <w:jc w:val="center"/>
                    <w:rPr>
                      <w:sz w:val="21"/>
                      <w:szCs w:val="21"/>
                    </w:rPr>
                  </w:pPr>
                  <w:r>
                    <w:rPr>
                      <w:sz w:val="21"/>
                      <w:szCs w:val="21"/>
                    </w:rPr>
                    <w:t>13</w:t>
                  </w:r>
                </w:p>
              </w:tc>
              <w:tc>
                <w:tcPr>
                  <w:tcW w:w="1465" w:type="pct"/>
                  <w:vAlign w:val="center"/>
                </w:tcPr>
                <w:p>
                  <w:pPr>
                    <w:pStyle w:val="BodyText"/>
                    <w:spacing w:before="0" w:after="0" w:line="240" w:lineRule="auto"/>
                    <w:ind w:right="0"/>
                    <w:jc w:val="center"/>
                    <w:rPr>
                      <w:sz w:val="21"/>
                      <w:szCs w:val="21"/>
                    </w:rPr>
                  </w:pPr>
                  <w:r>
                    <w:rPr>
                      <w:sz w:val="21"/>
                      <w:szCs w:val="21"/>
                    </w:rPr>
                    <w:t>抗震设防烈度</w:t>
                  </w:r>
                </w:p>
              </w:tc>
              <w:tc>
                <w:tcPr>
                  <w:tcW w:w="1192" w:type="pct"/>
                  <w:vAlign w:val="center"/>
                </w:tcPr>
                <w:p>
                  <w:pPr>
                    <w:pStyle w:val="BodyText"/>
                    <w:spacing w:before="0" w:after="0" w:line="240" w:lineRule="auto"/>
                    <w:ind w:right="0"/>
                    <w:jc w:val="center"/>
                    <w:rPr>
                      <w:sz w:val="21"/>
                      <w:szCs w:val="21"/>
                    </w:rPr>
                  </w:pPr>
                </w:p>
              </w:tc>
              <w:tc>
                <w:tcPr>
                  <w:tcW w:w="1788" w:type="pct"/>
                  <w:vAlign w:val="center"/>
                </w:tcPr>
                <w:p>
                  <w:pPr>
                    <w:pStyle w:val="BodyText"/>
                    <w:spacing w:before="0" w:after="0" w:line="240" w:lineRule="auto"/>
                    <w:ind w:right="0"/>
                    <w:jc w:val="center"/>
                    <w:rPr>
                      <w:sz w:val="21"/>
                      <w:szCs w:val="21"/>
                    </w:rPr>
                  </w:pPr>
                  <w:r>
                    <w:rPr>
                      <w:sz w:val="21"/>
                      <w:szCs w:val="21"/>
                    </w:rPr>
                    <w:t>7度</w:t>
                  </w:r>
                </w:p>
              </w:tc>
            </w:tr>
            <w:tr>
              <w:tblPrEx>
                <w:tblW w:w="5000" w:type="pct"/>
                <w:jc w:val="center"/>
                <w:tblCellMar>
                  <w:top w:w="0" w:type="dxa"/>
                  <w:left w:w="108" w:type="dxa"/>
                  <w:bottom w:w="0" w:type="dxa"/>
                  <w:right w:w="108" w:type="dxa"/>
                </w:tblCellMar>
              </w:tblPrEx>
              <w:trPr>
                <w:trHeight w:val="170"/>
                <w:jc w:val="center"/>
              </w:trPr>
              <w:tc>
                <w:tcPr>
                  <w:tcW w:w="554" w:type="pct"/>
                </w:tcPr>
                <w:p>
                  <w:pPr>
                    <w:pStyle w:val="BodyText"/>
                    <w:spacing w:before="0" w:after="0" w:line="240" w:lineRule="auto"/>
                    <w:ind w:right="0"/>
                    <w:jc w:val="center"/>
                    <w:rPr>
                      <w:sz w:val="21"/>
                      <w:szCs w:val="21"/>
                    </w:rPr>
                  </w:pPr>
                  <w:r>
                    <w:rPr>
                      <w:sz w:val="21"/>
                      <w:szCs w:val="21"/>
                    </w:rPr>
                    <w:t>14</w:t>
                  </w:r>
                </w:p>
              </w:tc>
              <w:tc>
                <w:tcPr>
                  <w:tcW w:w="1465" w:type="pct"/>
                  <w:vAlign w:val="center"/>
                </w:tcPr>
                <w:p>
                  <w:pPr>
                    <w:pStyle w:val="BodyText"/>
                    <w:spacing w:before="0" w:after="0" w:line="240" w:lineRule="auto"/>
                    <w:ind w:right="0"/>
                    <w:jc w:val="center"/>
                    <w:rPr>
                      <w:sz w:val="21"/>
                      <w:szCs w:val="21"/>
                    </w:rPr>
                  </w:pPr>
                  <w:r>
                    <w:rPr>
                      <w:sz w:val="21"/>
                      <w:szCs w:val="21"/>
                    </w:rPr>
                    <w:t>路面结构设计年限</w:t>
                  </w:r>
                </w:p>
              </w:tc>
              <w:tc>
                <w:tcPr>
                  <w:tcW w:w="1192" w:type="pct"/>
                  <w:vAlign w:val="center"/>
                </w:tcPr>
                <w:p>
                  <w:pPr>
                    <w:pStyle w:val="BodyText"/>
                    <w:spacing w:before="0" w:after="0" w:line="240" w:lineRule="auto"/>
                    <w:ind w:right="0"/>
                    <w:jc w:val="center"/>
                    <w:rPr>
                      <w:sz w:val="21"/>
                      <w:szCs w:val="21"/>
                    </w:rPr>
                  </w:pPr>
                  <w:r>
                    <w:rPr>
                      <w:sz w:val="21"/>
                      <w:szCs w:val="21"/>
                    </w:rPr>
                    <w:t>年</w:t>
                  </w:r>
                </w:p>
              </w:tc>
              <w:tc>
                <w:tcPr>
                  <w:tcW w:w="1788" w:type="pct"/>
                  <w:vAlign w:val="center"/>
                </w:tcPr>
                <w:p>
                  <w:pPr>
                    <w:pStyle w:val="BodyText"/>
                    <w:spacing w:before="0" w:after="0" w:line="240" w:lineRule="auto"/>
                    <w:ind w:right="0"/>
                    <w:jc w:val="center"/>
                    <w:rPr>
                      <w:sz w:val="21"/>
                      <w:szCs w:val="21"/>
                    </w:rPr>
                  </w:pPr>
                  <w:r>
                    <w:rPr>
                      <w:sz w:val="21"/>
                      <w:szCs w:val="21"/>
                    </w:rPr>
                    <w:t>15</w:t>
                  </w:r>
                </w:p>
              </w:tc>
            </w:tr>
            <w:tr>
              <w:tblPrEx>
                <w:tblW w:w="5000" w:type="pct"/>
                <w:jc w:val="center"/>
                <w:tblCellMar>
                  <w:top w:w="0" w:type="dxa"/>
                  <w:left w:w="108" w:type="dxa"/>
                  <w:bottom w:w="0" w:type="dxa"/>
                  <w:right w:w="108" w:type="dxa"/>
                </w:tblCellMar>
              </w:tblPrEx>
              <w:trPr>
                <w:trHeight w:val="170"/>
                <w:jc w:val="center"/>
              </w:trPr>
              <w:tc>
                <w:tcPr>
                  <w:tcW w:w="554" w:type="pct"/>
                </w:tcPr>
                <w:p>
                  <w:pPr>
                    <w:pStyle w:val="BodyText"/>
                    <w:spacing w:before="0" w:after="0" w:line="240" w:lineRule="auto"/>
                    <w:ind w:right="0"/>
                    <w:jc w:val="center"/>
                    <w:rPr>
                      <w:sz w:val="21"/>
                      <w:szCs w:val="21"/>
                    </w:rPr>
                  </w:pPr>
                  <w:r>
                    <w:rPr>
                      <w:sz w:val="21"/>
                      <w:szCs w:val="21"/>
                    </w:rPr>
                    <w:t>15</w:t>
                  </w:r>
                </w:p>
              </w:tc>
              <w:tc>
                <w:tcPr>
                  <w:tcW w:w="1465" w:type="pct"/>
                  <w:vAlign w:val="center"/>
                </w:tcPr>
                <w:p>
                  <w:pPr>
                    <w:pStyle w:val="BodyText"/>
                    <w:spacing w:before="0" w:after="0" w:line="240" w:lineRule="auto"/>
                    <w:ind w:right="0"/>
                    <w:jc w:val="center"/>
                    <w:rPr>
                      <w:sz w:val="21"/>
                      <w:szCs w:val="21"/>
                    </w:rPr>
                  </w:pPr>
                  <w:r>
                    <w:rPr>
                      <w:sz w:val="21"/>
                      <w:szCs w:val="21"/>
                    </w:rPr>
                    <w:t>交通量饱和状态时设计年限</w:t>
                  </w:r>
                </w:p>
              </w:tc>
              <w:tc>
                <w:tcPr>
                  <w:tcW w:w="1192" w:type="pct"/>
                  <w:vAlign w:val="center"/>
                </w:tcPr>
                <w:p>
                  <w:pPr>
                    <w:pStyle w:val="BodyText"/>
                    <w:spacing w:before="0" w:after="0" w:line="240" w:lineRule="auto"/>
                    <w:ind w:right="0"/>
                    <w:jc w:val="center"/>
                    <w:rPr>
                      <w:sz w:val="21"/>
                      <w:szCs w:val="21"/>
                    </w:rPr>
                  </w:pPr>
                  <w:r>
                    <w:rPr>
                      <w:sz w:val="21"/>
                      <w:szCs w:val="21"/>
                    </w:rPr>
                    <w:t>年</w:t>
                  </w:r>
                </w:p>
              </w:tc>
              <w:tc>
                <w:tcPr>
                  <w:tcW w:w="1788" w:type="pct"/>
                  <w:vAlign w:val="center"/>
                </w:tcPr>
                <w:p>
                  <w:pPr>
                    <w:pStyle w:val="BodyText"/>
                    <w:spacing w:before="0" w:after="0" w:line="240" w:lineRule="auto"/>
                    <w:ind w:right="0"/>
                    <w:jc w:val="center"/>
                    <w:rPr>
                      <w:sz w:val="21"/>
                      <w:szCs w:val="21"/>
                    </w:rPr>
                  </w:pPr>
                  <w:r>
                    <w:rPr>
                      <w:sz w:val="21"/>
                      <w:szCs w:val="21"/>
                    </w:rPr>
                    <w:t>15</w:t>
                  </w:r>
                </w:p>
              </w:tc>
            </w:tr>
          </w:tbl>
          <w:p>
            <w:pPr>
              <w:pStyle w:val="0020"/>
              <w:rPr>
                <w:color w:val="auto"/>
              </w:rPr>
            </w:pPr>
          </w:p>
          <w:p>
            <w:pPr>
              <w:pStyle w:val="041"/>
            </w:pPr>
            <w:r>
              <w:t>三、项目组成及主要环境问题</w:t>
            </w:r>
            <w:bookmarkStart w:id="4" w:name="项目组成及主要环境问题表"/>
            <w:bookmarkEnd w:id="4"/>
          </w:p>
          <w:p>
            <w:pPr>
              <w:pStyle w:val="003"/>
              <w:ind w:firstLine="420"/>
              <w:rPr>
                <w:color w:val="auto"/>
              </w:rPr>
            </w:pPr>
            <w:bookmarkStart w:id="5" w:name="_Hlk114830858"/>
            <w:r>
              <w:rPr>
                <w:color w:val="auto"/>
              </w:rPr>
              <w:t>本项目为新建工程，建设内容主要包括道路工程、桥涵工程、交通设施、管线工程、照明工程、景观绿化工程、给排水工程等，</w:t>
            </w:r>
            <w:bookmarkEnd w:id="5"/>
            <w:r>
              <w:rPr>
                <w:color w:val="auto"/>
              </w:rPr>
              <w:t>各子项工程基本情况如下述：</w:t>
            </w:r>
          </w:p>
          <w:p>
            <w:pPr>
              <w:pStyle w:val="021"/>
            </w:pPr>
            <w:r>
              <w:t>表2-2  主要建设内容一览表</w:t>
            </w:r>
          </w:p>
          <w:tbl>
            <w:tblPr>
              <w:tblStyle w:val="TableNormal"/>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794"/>
              <w:gridCol w:w="1290"/>
              <w:gridCol w:w="4287"/>
              <w:gridCol w:w="1171"/>
              <w:gridCol w:w="1465"/>
            </w:tblGrid>
            <w:tr>
              <w:tblPrEx>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544"/>
              </w:trPr>
              <w:tc>
                <w:tcPr>
                  <w:tcW w:w="441" w:type="pct"/>
                  <w:vMerge w:val="restart"/>
                  <w:vAlign w:val="center"/>
                </w:tcPr>
                <w:p>
                  <w:pPr>
                    <w:pStyle w:val="003"/>
                    <w:spacing w:line="240" w:lineRule="auto"/>
                    <w:ind w:firstLine="0" w:firstLineChars="0"/>
                    <w:jc w:val="center"/>
                    <w:rPr>
                      <w:b/>
                      <w:bCs/>
                      <w:color w:val="auto"/>
                      <w:szCs w:val="21"/>
                    </w:rPr>
                  </w:pPr>
                  <w:r>
                    <w:rPr>
                      <w:b/>
                      <w:bCs/>
                      <w:color w:val="auto"/>
                      <w:szCs w:val="21"/>
                    </w:rPr>
                    <w:t>工程类别</w:t>
                  </w:r>
                </w:p>
              </w:tc>
              <w:tc>
                <w:tcPr>
                  <w:tcW w:w="716" w:type="pct"/>
                  <w:vMerge w:val="restart"/>
                  <w:vAlign w:val="center"/>
                </w:tcPr>
                <w:p>
                  <w:pPr>
                    <w:pStyle w:val="003"/>
                    <w:spacing w:line="240" w:lineRule="auto"/>
                    <w:ind w:firstLine="0" w:firstLineChars="0"/>
                    <w:jc w:val="center"/>
                    <w:rPr>
                      <w:b/>
                      <w:bCs/>
                      <w:color w:val="auto"/>
                      <w:szCs w:val="21"/>
                    </w:rPr>
                  </w:pPr>
                  <w:r>
                    <w:rPr>
                      <w:b/>
                      <w:bCs/>
                      <w:color w:val="auto"/>
                      <w:szCs w:val="21"/>
                    </w:rPr>
                    <w:t>单项工程名称</w:t>
                  </w:r>
                </w:p>
              </w:tc>
              <w:tc>
                <w:tcPr>
                  <w:tcW w:w="2380" w:type="pct"/>
                  <w:vMerge w:val="restart"/>
                  <w:vAlign w:val="center"/>
                </w:tcPr>
                <w:p>
                  <w:pPr>
                    <w:pStyle w:val="003"/>
                    <w:spacing w:line="240" w:lineRule="auto"/>
                    <w:ind w:firstLine="0" w:firstLineChars="0"/>
                    <w:jc w:val="center"/>
                    <w:rPr>
                      <w:b/>
                      <w:bCs/>
                      <w:color w:val="auto"/>
                      <w:szCs w:val="21"/>
                    </w:rPr>
                  </w:pPr>
                  <w:r>
                    <w:rPr>
                      <w:b/>
                      <w:bCs/>
                      <w:color w:val="auto"/>
                      <w:szCs w:val="21"/>
                    </w:rPr>
                    <w:t>工程规模</w:t>
                  </w:r>
                </w:p>
              </w:tc>
              <w:tc>
                <w:tcPr>
                  <w:tcW w:w="1463" w:type="pct"/>
                  <w:gridSpan w:val="2"/>
                  <w:vAlign w:val="center"/>
                </w:tcPr>
                <w:p>
                  <w:pPr>
                    <w:pStyle w:val="003"/>
                    <w:spacing w:line="240" w:lineRule="auto"/>
                    <w:ind w:firstLine="0" w:firstLineChars="0"/>
                    <w:jc w:val="center"/>
                    <w:rPr>
                      <w:b/>
                      <w:bCs/>
                      <w:color w:val="auto"/>
                      <w:szCs w:val="21"/>
                    </w:rPr>
                  </w:pPr>
                  <w:r>
                    <w:rPr>
                      <w:b/>
                      <w:bCs/>
                      <w:color w:val="auto"/>
                      <w:szCs w:val="21"/>
                    </w:rPr>
                    <w:t>主要环境影响</w:t>
                  </w:r>
                </w:p>
              </w:tc>
            </w:tr>
            <w:tr>
              <w:tblPrEx>
                <w:tblW w:w="5000" w:type="pct"/>
                <w:tblInd w:w="0" w:type="dxa"/>
                <w:tblCellMar>
                  <w:top w:w="0" w:type="dxa"/>
                  <w:left w:w="108" w:type="dxa"/>
                  <w:bottom w:w="0" w:type="dxa"/>
                  <w:right w:w="108" w:type="dxa"/>
                </w:tblCellMar>
              </w:tblPrEx>
              <w:trPr>
                <w:trHeight w:val="544"/>
              </w:trPr>
              <w:tc>
                <w:tcPr>
                  <w:tcW w:w="441" w:type="pct"/>
                  <w:vMerge/>
                  <w:vAlign w:val="center"/>
                </w:tcPr>
                <w:p>
                  <w:pPr>
                    <w:pStyle w:val="003"/>
                    <w:spacing w:line="240" w:lineRule="auto"/>
                    <w:ind w:firstLine="0" w:firstLineChars="0"/>
                    <w:jc w:val="center"/>
                    <w:rPr>
                      <w:b/>
                      <w:bCs/>
                      <w:color w:val="auto"/>
                      <w:szCs w:val="21"/>
                    </w:rPr>
                  </w:pPr>
                </w:p>
              </w:tc>
              <w:tc>
                <w:tcPr>
                  <w:tcW w:w="716" w:type="pct"/>
                  <w:vMerge/>
                  <w:vAlign w:val="center"/>
                </w:tcPr>
                <w:p>
                  <w:pPr>
                    <w:pStyle w:val="003"/>
                    <w:spacing w:line="240" w:lineRule="auto"/>
                    <w:ind w:firstLine="0" w:firstLineChars="0"/>
                    <w:jc w:val="center"/>
                    <w:rPr>
                      <w:b/>
                      <w:bCs/>
                      <w:color w:val="auto"/>
                      <w:szCs w:val="21"/>
                    </w:rPr>
                  </w:pPr>
                </w:p>
              </w:tc>
              <w:tc>
                <w:tcPr>
                  <w:tcW w:w="2380" w:type="pct"/>
                  <w:vMerge/>
                  <w:vAlign w:val="center"/>
                </w:tcPr>
                <w:p>
                  <w:pPr>
                    <w:pStyle w:val="003"/>
                    <w:spacing w:line="240" w:lineRule="auto"/>
                    <w:ind w:firstLine="0" w:firstLineChars="0"/>
                    <w:jc w:val="center"/>
                    <w:rPr>
                      <w:b/>
                      <w:bCs/>
                      <w:color w:val="auto"/>
                      <w:szCs w:val="21"/>
                    </w:rPr>
                  </w:pPr>
                </w:p>
              </w:tc>
              <w:tc>
                <w:tcPr>
                  <w:tcW w:w="650" w:type="pct"/>
                  <w:vAlign w:val="center"/>
                </w:tcPr>
                <w:p>
                  <w:pPr>
                    <w:pStyle w:val="003"/>
                    <w:spacing w:line="240" w:lineRule="auto"/>
                    <w:ind w:firstLine="0" w:firstLineChars="0"/>
                    <w:jc w:val="center"/>
                    <w:rPr>
                      <w:b/>
                      <w:bCs/>
                      <w:color w:val="auto"/>
                      <w:szCs w:val="21"/>
                    </w:rPr>
                  </w:pPr>
                  <w:r>
                    <w:rPr>
                      <w:b/>
                      <w:bCs/>
                      <w:color w:val="auto"/>
                      <w:szCs w:val="21"/>
                    </w:rPr>
                    <w:t>施工期</w:t>
                  </w:r>
                </w:p>
              </w:tc>
              <w:tc>
                <w:tcPr>
                  <w:tcW w:w="813" w:type="pct"/>
                  <w:vAlign w:val="center"/>
                </w:tcPr>
                <w:p>
                  <w:pPr>
                    <w:pStyle w:val="003"/>
                    <w:spacing w:line="240" w:lineRule="auto"/>
                    <w:ind w:firstLine="0" w:firstLineChars="0"/>
                    <w:jc w:val="center"/>
                    <w:rPr>
                      <w:b/>
                      <w:bCs/>
                      <w:color w:val="auto"/>
                      <w:szCs w:val="21"/>
                    </w:rPr>
                  </w:pPr>
                  <w:r>
                    <w:rPr>
                      <w:b/>
                      <w:bCs/>
                      <w:color w:val="auto"/>
                      <w:szCs w:val="21"/>
                    </w:rPr>
                    <w:t>运营期</w:t>
                  </w:r>
                </w:p>
              </w:tc>
            </w:tr>
            <w:tr>
              <w:tblPrEx>
                <w:tblW w:w="5000" w:type="pct"/>
                <w:tblInd w:w="0" w:type="dxa"/>
                <w:tblCellMar>
                  <w:top w:w="0" w:type="dxa"/>
                  <w:left w:w="108" w:type="dxa"/>
                  <w:bottom w:w="0" w:type="dxa"/>
                  <w:right w:w="108" w:type="dxa"/>
                </w:tblCellMar>
              </w:tblPrEx>
              <w:trPr>
                <w:trHeight w:val="544"/>
              </w:trPr>
              <w:tc>
                <w:tcPr>
                  <w:tcW w:w="441" w:type="pct"/>
                  <w:vMerge w:val="restart"/>
                  <w:vAlign w:val="center"/>
                </w:tcPr>
                <w:p>
                  <w:pPr>
                    <w:pStyle w:val="003"/>
                    <w:spacing w:line="240" w:lineRule="auto"/>
                    <w:ind w:firstLine="0" w:firstLineChars="0"/>
                    <w:jc w:val="center"/>
                    <w:rPr>
                      <w:b/>
                      <w:bCs/>
                      <w:color w:val="auto"/>
                      <w:szCs w:val="21"/>
                    </w:rPr>
                  </w:pPr>
                  <w:r>
                    <w:rPr>
                      <w:b/>
                      <w:bCs/>
                      <w:color w:val="auto"/>
                      <w:szCs w:val="21"/>
                    </w:rPr>
                    <w:t>主体工程</w:t>
                  </w:r>
                </w:p>
              </w:tc>
              <w:tc>
                <w:tcPr>
                  <w:tcW w:w="716" w:type="pct"/>
                  <w:vAlign w:val="center"/>
                </w:tcPr>
                <w:p>
                  <w:pPr>
                    <w:pStyle w:val="003"/>
                    <w:spacing w:line="240" w:lineRule="auto"/>
                    <w:ind w:firstLine="0" w:firstLineChars="0"/>
                    <w:jc w:val="center"/>
                    <w:rPr>
                      <w:color w:val="auto"/>
                      <w:szCs w:val="21"/>
                    </w:rPr>
                  </w:pPr>
                  <w:r>
                    <w:rPr>
                      <w:color w:val="auto"/>
                      <w:szCs w:val="21"/>
                    </w:rPr>
                    <w:t>道路工程</w:t>
                  </w:r>
                </w:p>
              </w:tc>
              <w:tc>
                <w:tcPr>
                  <w:tcW w:w="2380" w:type="pct"/>
                  <w:vAlign w:val="center"/>
                </w:tcPr>
                <w:p>
                  <w:pPr>
                    <w:pStyle w:val="006"/>
                    <w:rPr>
                      <w:color w:val="auto"/>
                    </w:rPr>
                  </w:pPr>
                  <w:r>
                    <w:rPr>
                      <w:color w:val="auto"/>
                    </w:rPr>
                    <w:t>起点（桩号K0+000）与龙洲路相接，终点（桩号K3+029.095）止于永兴大道，道路全长3029.095m，全线为新建工程。</w:t>
                  </w:r>
                  <w:bookmarkStart w:id="6" w:name="_Hlk114830938"/>
                  <w:r>
                    <w:rPr>
                      <w:color w:val="auto"/>
                    </w:rPr>
                    <w:t>道路为双向4车道，路基红线宽度为20m，横断面布置为2.5m人行道+0.25路缘带+2*3.5m机动车道+0.5m双黄线+2*3.5m机动车道+0.25路缘带+2.5m人行道=20m。</w:t>
                  </w:r>
                </w:p>
                <w:bookmarkEnd w:id="6"/>
                <w:p>
                  <w:pPr>
                    <w:pStyle w:val="006"/>
                    <w:rPr>
                      <w:b/>
                      <w:bCs/>
                      <w:color w:val="auto"/>
                      <w:szCs w:val="21"/>
                    </w:rPr>
                  </w:pPr>
                  <w:r>
                    <w:rPr>
                      <w:color w:val="auto"/>
                    </w:rPr>
                    <w:t>路面采用沥青混凝土路面，设置6个平面交叉路口，不设置公交站台。</w:t>
                  </w:r>
                </w:p>
              </w:tc>
              <w:tc>
                <w:tcPr>
                  <w:tcW w:w="650" w:type="pct"/>
                  <w:vMerge w:val="restart"/>
                  <w:vAlign w:val="center"/>
                </w:tcPr>
                <w:p>
                  <w:pPr>
                    <w:pStyle w:val="003"/>
                    <w:spacing w:line="240" w:lineRule="auto"/>
                    <w:ind w:firstLine="0" w:firstLineChars="0"/>
                    <w:jc w:val="center"/>
                    <w:rPr>
                      <w:b/>
                      <w:bCs/>
                      <w:color w:val="auto"/>
                      <w:szCs w:val="21"/>
                    </w:rPr>
                  </w:pPr>
                  <w:r>
                    <w:rPr>
                      <w:color w:val="auto"/>
                      <w:szCs w:val="21"/>
                    </w:rPr>
                    <w:t>施工废水、扬尘、噪声、渣土、生活垃圾、生活污水、生态环境短期破坏、施工机械及运输车辆尾气、沥青烟</w:t>
                  </w:r>
                </w:p>
              </w:tc>
              <w:tc>
                <w:tcPr>
                  <w:tcW w:w="813" w:type="pct"/>
                  <w:vMerge w:val="restart"/>
                  <w:vAlign w:val="center"/>
                </w:tcPr>
                <w:p>
                  <w:pPr>
                    <w:pStyle w:val="003"/>
                    <w:spacing w:line="240" w:lineRule="auto"/>
                    <w:ind w:firstLine="0" w:firstLineChars="0"/>
                    <w:jc w:val="center"/>
                    <w:rPr>
                      <w:b/>
                      <w:bCs/>
                      <w:color w:val="auto"/>
                      <w:szCs w:val="21"/>
                    </w:rPr>
                  </w:pPr>
                  <w:r>
                    <w:rPr>
                      <w:color w:val="auto"/>
                    </w:rPr>
                    <w:t>汽车尾气、扬 尘、交通噪声、固废</w:t>
                  </w:r>
                </w:p>
              </w:tc>
            </w:tr>
            <w:tr>
              <w:tblPrEx>
                <w:tblW w:w="5000" w:type="pct"/>
                <w:tblInd w:w="0" w:type="dxa"/>
                <w:tblCellMar>
                  <w:top w:w="0" w:type="dxa"/>
                  <w:left w:w="108" w:type="dxa"/>
                  <w:bottom w:w="0" w:type="dxa"/>
                  <w:right w:w="108" w:type="dxa"/>
                </w:tblCellMar>
              </w:tblPrEx>
              <w:tc>
                <w:tcPr>
                  <w:tcW w:w="441" w:type="pct"/>
                  <w:vMerge/>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color w:val="auto"/>
                      <w:szCs w:val="21"/>
                    </w:rPr>
                    <w:t>桥涵工程</w:t>
                  </w:r>
                </w:p>
              </w:tc>
              <w:tc>
                <w:tcPr>
                  <w:tcW w:w="2380" w:type="pct"/>
                  <w:vAlign w:val="center"/>
                </w:tcPr>
                <w:p>
                  <w:pPr>
                    <w:pStyle w:val="006"/>
                    <w:rPr>
                      <w:color w:val="auto"/>
                    </w:rPr>
                  </w:pPr>
                  <w:r>
                    <w:rPr>
                      <w:color w:val="auto"/>
                    </w:rPr>
                    <w:t>本项目全线新建两座桥梁，分别为K2+064中桥和K2+787 中桥。桥梁横断面布置为2.5m人行道+0.25m路缘带+7.5m机动车道+0.5m双黄线+7.5m机动车道+0.25m路缘带+2.5m人行道=20m</w:t>
                  </w:r>
                </w:p>
                <w:p>
                  <w:pPr>
                    <w:pStyle w:val="006"/>
                    <w:spacing w:after="0"/>
                    <w:rPr>
                      <w:color w:val="auto"/>
                    </w:rPr>
                  </w:pPr>
                </w:p>
              </w:tc>
              <w:tc>
                <w:tcPr>
                  <w:tcW w:w="650" w:type="pct"/>
                  <w:vMerge/>
                  <w:vAlign w:val="center"/>
                </w:tcPr>
                <w:p>
                  <w:pPr>
                    <w:pStyle w:val="003"/>
                    <w:spacing w:line="240" w:lineRule="auto"/>
                    <w:ind w:firstLine="0" w:firstLineChars="0"/>
                    <w:jc w:val="center"/>
                    <w:rPr>
                      <w:color w:val="auto"/>
                      <w:szCs w:val="21"/>
                    </w:rPr>
                  </w:pPr>
                </w:p>
              </w:tc>
              <w:tc>
                <w:tcPr>
                  <w:tcW w:w="813" w:type="pct"/>
                  <w:vMerge/>
                  <w:vAlign w:val="center"/>
                </w:tcPr>
                <w:p>
                  <w:pPr>
                    <w:pStyle w:val="003"/>
                    <w:spacing w:line="240" w:lineRule="auto"/>
                    <w:ind w:firstLine="0" w:firstLineChars="0"/>
                    <w:jc w:val="center"/>
                    <w:rPr>
                      <w:color w:val="auto"/>
                      <w:szCs w:val="21"/>
                    </w:rPr>
                  </w:pPr>
                </w:p>
              </w:tc>
            </w:tr>
          </w:tbl>
          <w:p/>
        </w:tc>
      </w:tr>
    </w:tbl>
    <w:p>
      <w:pPr>
        <w:sectPr>
          <w:footerReference w:type="even" r:id="rId44"/>
          <w:footerReference w:type="default" r:id="rId45"/>
          <w:type w:val="nextPage"/>
          <w:pgSz w:w="11906" w:h="16838"/>
          <w:pgMar w:top="1440" w:right="1800" w:bottom="1440" w:left="1800" w:header="851" w:footer="1077" w:gutter="0"/>
          <w:pgNumType w:start="16"/>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tbl>
            <w:tblPr>
              <w:tblStyle w:val="TableNormal"/>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794"/>
              <w:gridCol w:w="1290"/>
              <w:gridCol w:w="4287"/>
              <w:gridCol w:w="1171"/>
              <w:gridCol w:w="1465"/>
            </w:tblGrid>
            <w:tr>
              <w:tblPrEx>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441" w:type="pct"/>
                  <w:vMerge w:val="restart"/>
                  <w:vAlign w:val="center"/>
                </w:tcPr>
                <w:p/>
              </w:tc>
              <w:tc>
                <w:tcPr>
                  <w:tcW w:w="716" w:type="pct"/>
                  <w:vAlign w:val="center"/>
                </w:tcPr>
                <w:p/>
              </w:tc>
              <w:tc>
                <w:tcPr>
                  <w:tcW w:w="2380" w:type="pct"/>
                  <w:vAlign w:val="center"/>
                </w:tcPr>
                <w:p>
                  <w:pPr>
                    <w:pStyle w:val="006"/>
                    <w:spacing w:before="0"/>
                    <w:rPr>
                      <w:color w:val="auto"/>
                    </w:rPr>
                  </w:pPr>
                  <w:r>
                    <w:rPr>
                      <w:color w:val="auto"/>
                    </w:rPr>
                    <w:t>K2+064中桥设计总长度为39.56m，总面积是791.2m</w:t>
                  </w:r>
                  <w:r>
                    <w:rPr>
                      <w:color w:val="auto"/>
                      <w:vertAlign w:val="superscript"/>
                    </w:rPr>
                    <w:t>2</w:t>
                  </w:r>
                  <w:r>
                    <w:rPr>
                      <w:color w:val="auto"/>
                    </w:rPr>
                    <w:t>，上部结构为预应力预制小箱梁，下部结构墩台为U台，基础为灌注桩。</w:t>
                  </w:r>
                </w:p>
                <w:p>
                  <w:pPr>
                    <w:pStyle w:val="006"/>
                    <w:rPr>
                      <w:color w:val="auto"/>
                    </w:rPr>
                  </w:pPr>
                  <w:r>
                    <w:rPr>
                      <w:color w:val="auto"/>
                    </w:rPr>
                    <w:t>K2+787中桥设计总长度为36.56m，总面积是731.2 m</w:t>
                  </w:r>
                  <w:r>
                    <w:rPr>
                      <w:color w:val="auto"/>
                      <w:vertAlign w:val="superscript"/>
                    </w:rPr>
                    <w:t>2</w:t>
                  </w:r>
                  <w:r>
                    <w:rPr>
                      <w:color w:val="auto"/>
                    </w:rPr>
                    <w:t>，上部结构为预应力预制小箱梁，下部结构墩台为U台、桩柱式桥台，基础为灌注桩。</w:t>
                  </w:r>
                </w:p>
              </w:tc>
              <w:tc>
                <w:tcPr>
                  <w:tcW w:w="650" w:type="pct"/>
                  <w:vMerge w:val="restart"/>
                  <w:vAlign w:val="center"/>
                </w:tcPr>
                <w:p/>
              </w:tc>
              <w:tc>
                <w:tcPr>
                  <w:tcW w:w="813" w:type="pct"/>
                  <w:vAlign w:val="center"/>
                </w:tcPr>
                <w:p/>
              </w:tc>
            </w:tr>
            <w:tr>
              <w:tblPrEx>
                <w:tblW w:w="5000" w:type="pct"/>
                <w:tblInd w:w="0" w:type="dxa"/>
                <w:tblCellMar>
                  <w:top w:w="0" w:type="dxa"/>
                  <w:left w:w="108" w:type="dxa"/>
                  <w:bottom w:w="0" w:type="dxa"/>
                  <w:right w:w="108" w:type="dxa"/>
                </w:tblCellMar>
              </w:tblPrEx>
              <w:tc>
                <w:tcPr>
                  <w:tcW w:w="441" w:type="pct"/>
                  <w:vMerge w:val="restart"/>
                  <w:vAlign w:val="center"/>
                </w:tcPr>
                <w:p>
                  <w:pPr>
                    <w:pStyle w:val="003"/>
                    <w:spacing w:line="240" w:lineRule="auto"/>
                    <w:ind w:firstLine="0" w:firstLineChars="0"/>
                    <w:jc w:val="center"/>
                    <w:rPr>
                      <w:b/>
                      <w:bCs/>
                      <w:color w:val="auto"/>
                      <w:szCs w:val="21"/>
                    </w:rPr>
                  </w:pPr>
                  <w:r>
                    <w:rPr>
                      <w:b/>
                      <w:bCs/>
                      <w:color w:val="auto"/>
                      <w:szCs w:val="21"/>
                    </w:rPr>
                    <w:t>附属工程</w:t>
                  </w:r>
                </w:p>
              </w:tc>
              <w:tc>
                <w:tcPr>
                  <w:tcW w:w="716" w:type="pct"/>
                  <w:vAlign w:val="center"/>
                </w:tcPr>
                <w:p>
                  <w:pPr>
                    <w:pStyle w:val="003"/>
                    <w:spacing w:line="240" w:lineRule="auto"/>
                    <w:ind w:firstLine="0" w:firstLineChars="0"/>
                    <w:jc w:val="center"/>
                    <w:rPr>
                      <w:color w:val="auto"/>
                      <w:szCs w:val="21"/>
                    </w:rPr>
                  </w:pPr>
                  <w:r>
                    <w:rPr>
                      <w:color w:val="auto"/>
                      <w:szCs w:val="21"/>
                    </w:rPr>
                    <w:t>交通设施</w:t>
                  </w:r>
                </w:p>
              </w:tc>
              <w:tc>
                <w:tcPr>
                  <w:tcW w:w="2380" w:type="pct"/>
                  <w:vAlign w:val="center"/>
                </w:tcPr>
                <w:p>
                  <w:pPr>
                    <w:pStyle w:val="006"/>
                    <w:rPr>
                      <w:color w:val="auto"/>
                      <w:szCs w:val="21"/>
                    </w:rPr>
                  </w:pPr>
                  <w:r>
                    <w:rPr>
                      <w:color w:val="auto"/>
                    </w:rPr>
                    <w:t>交通设施包括：交通标线、交通标志、交通信号灯、电子警察、监控。</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color w:val="auto"/>
                      <w:szCs w:val="21"/>
                    </w:rPr>
                    <w:t>管线</w:t>
                  </w:r>
                </w:p>
              </w:tc>
              <w:tc>
                <w:tcPr>
                  <w:tcW w:w="2380" w:type="pct"/>
                  <w:vAlign w:val="center"/>
                </w:tcPr>
                <w:p>
                  <w:pPr>
                    <w:pStyle w:val="006"/>
                    <w:rPr>
                      <w:color w:val="auto"/>
                    </w:rPr>
                  </w:pPr>
                  <w:r>
                    <w:rPr>
                      <w:color w:val="auto"/>
                    </w:rPr>
                    <w:t>本次建设工程仅考虑给水、雨水、污水、电力、通信、路灯管线设计，燃气管线仅考虑预留管位。道路车行道下不布置任何市政管线</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color w:val="auto"/>
                      <w:szCs w:val="21"/>
                    </w:rPr>
                    <w:t>照明</w:t>
                  </w:r>
                </w:p>
              </w:tc>
              <w:tc>
                <w:tcPr>
                  <w:tcW w:w="2380" w:type="pct"/>
                  <w:vAlign w:val="center"/>
                </w:tcPr>
                <w:p>
                  <w:pPr>
                    <w:pStyle w:val="006"/>
                    <w:rPr>
                      <w:color w:val="auto"/>
                      <w:szCs w:val="21"/>
                    </w:rPr>
                  </w:pPr>
                  <w:r>
                    <w:rPr>
                      <w:color w:val="auto"/>
                      <w:szCs w:val="21"/>
                    </w:rPr>
                    <w:t>路灯采用沿人行道两侧双侧布置，灯中心距车行道0.5米，灯杆间距30米；灯具采用10m的单臂路灯，光源采用半截光型LED80W。路口或转弯处灯具适当加密，并增设3x200W投光灯进行加强照明，杆高15m。</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color w:val="auto"/>
                      <w:szCs w:val="21"/>
                    </w:rPr>
                    <w:t>景观绿化</w:t>
                  </w:r>
                </w:p>
              </w:tc>
              <w:tc>
                <w:tcPr>
                  <w:tcW w:w="2380" w:type="pct"/>
                  <w:vAlign w:val="center"/>
                </w:tcPr>
                <w:p>
                  <w:pPr>
                    <w:pStyle w:val="006"/>
                    <w:rPr>
                      <w:color w:val="auto"/>
                    </w:rPr>
                  </w:pPr>
                  <w:r>
                    <w:rPr>
                      <w:color w:val="auto"/>
                    </w:rPr>
                    <w:t>行道面层选用透水混凝土，整体形式简洁，路缘石采用C40 预制混凝土路缘石，宽15cm，嵌边石采用仿芝麻黑花岗石工业化PC 砖，宽10cm，盲道采用30cm 宽5cm 厚仿芝麻黑花岗石工业化PC 砖，树池规格为1000*1000mm。本项目行道树种暂定为胸径不小于8cm香樟树。垃圾箱原则上按照50m 的间距布置。</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restart"/>
                  <w:vAlign w:val="center"/>
                </w:tcPr>
                <w:p>
                  <w:pPr>
                    <w:pStyle w:val="003"/>
                    <w:spacing w:line="240" w:lineRule="auto"/>
                    <w:ind w:firstLine="0" w:firstLineChars="0"/>
                    <w:jc w:val="center"/>
                    <w:rPr>
                      <w:b/>
                      <w:bCs/>
                      <w:color w:val="auto"/>
                      <w:szCs w:val="21"/>
                    </w:rPr>
                  </w:pPr>
                  <w:r>
                    <w:rPr>
                      <w:b/>
                      <w:bCs/>
                      <w:color w:val="auto"/>
                      <w:szCs w:val="21"/>
                    </w:rPr>
                    <w:t>公用工程</w:t>
                  </w:r>
                </w:p>
              </w:tc>
              <w:tc>
                <w:tcPr>
                  <w:tcW w:w="716" w:type="pct"/>
                  <w:vAlign w:val="center"/>
                </w:tcPr>
                <w:p>
                  <w:pPr>
                    <w:pStyle w:val="003"/>
                    <w:spacing w:line="240" w:lineRule="auto"/>
                    <w:ind w:firstLine="0" w:firstLineChars="0"/>
                    <w:jc w:val="center"/>
                    <w:rPr>
                      <w:color w:val="auto"/>
                      <w:szCs w:val="21"/>
                    </w:rPr>
                  </w:pPr>
                  <w:r>
                    <w:rPr>
                      <w:color w:val="auto"/>
                      <w:szCs w:val="21"/>
                    </w:rPr>
                    <w:t>供水</w:t>
                  </w:r>
                </w:p>
              </w:tc>
              <w:tc>
                <w:tcPr>
                  <w:tcW w:w="2380" w:type="pct"/>
                  <w:vAlign w:val="center"/>
                </w:tcPr>
                <w:p>
                  <w:pPr>
                    <w:pStyle w:val="006"/>
                    <w:rPr>
                      <w:color w:val="auto"/>
                      <w:szCs w:val="21"/>
                    </w:rPr>
                  </w:pPr>
                  <w:r>
                    <w:rPr>
                      <w:color w:val="auto"/>
                      <w:szCs w:val="21"/>
                    </w:rPr>
                    <w:t>本项目所在区域给水管道为该片区配水支管，管径为DN200。起点与龙洲路现状DN500给水管相接，终点与永兴大道现状DN600给水管相接，其余相交道路均为规划给水管道。</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color w:val="auto"/>
                      <w:szCs w:val="21"/>
                    </w:rPr>
                    <w:t>排水</w:t>
                  </w:r>
                </w:p>
              </w:tc>
              <w:tc>
                <w:tcPr>
                  <w:tcW w:w="2380" w:type="pct"/>
                  <w:vAlign w:val="center"/>
                </w:tcPr>
                <w:p>
                  <w:pPr>
                    <w:pStyle w:val="006"/>
                    <w:rPr>
                      <w:color w:val="auto"/>
                      <w:szCs w:val="21"/>
                    </w:rPr>
                  </w:pPr>
                  <w:r>
                    <w:rPr>
                      <w:color w:val="auto"/>
                      <w:szCs w:val="21"/>
                    </w:rPr>
                    <w:t>雨水：路基形成后敷设 DN300~1000mm 雨水钢筋砼承插管 5757m、雨水检查井88 座等；桥面设置DN300 UPVC 管12m、泄水管用以排放桥面水流；雨水口 199 座。</w:t>
                  </w:r>
                </w:p>
                <w:p>
                  <w:pPr>
                    <w:pStyle w:val="006"/>
                    <w:rPr>
                      <w:color w:val="auto"/>
                      <w:szCs w:val="21"/>
                    </w:rPr>
                  </w:pPr>
                  <w:r>
                    <w:rPr>
                      <w:color w:val="auto"/>
                      <w:szCs w:val="21"/>
                    </w:rPr>
                    <w:t>污水：配套道路污水管道单侧布置于道路北侧，距离道路中线距离为10.2m，污水管道管径为d400。</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restart"/>
                  <w:vAlign w:val="center"/>
                </w:tcPr>
                <w:p>
                  <w:pPr>
                    <w:pStyle w:val="003"/>
                    <w:spacing w:line="240" w:lineRule="auto"/>
                    <w:ind w:firstLine="0" w:firstLineChars="0"/>
                    <w:jc w:val="center"/>
                    <w:rPr>
                      <w:b/>
                      <w:bCs/>
                      <w:color w:val="auto"/>
                      <w:szCs w:val="21"/>
                    </w:rPr>
                  </w:pPr>
                  <w:r>
                    <w:rPr>
                      <w:b/>
                      <w:bCs/>
                      <w:color w:val="auto"/>
                      <w:szCs w:val="21"/>
                    </w:rPr>
                    <w:t>临时</w:t>
                  </w:r>
                  <w:bookmarkStart w:id="7" w:name="临时工程表1"/>
                  <w:bookmarkEnd w:id="7"/>
                  <w:r>
                    <w:rPr>
                      <w:b/>
                      <w:bCs/>
                      <w:color w:val="auto"/>
                      <w:szCs w:val="21"/>
                    </w:rPr>
                    <w:t>工程</w:t>
                  </w:r>
                </w:p>
              </w:tc>
              <w:tc>
                <w:tcPr>
                  <w:tcW w:w="716" w:type="pct"/>
                  <w:vAlign w:val="center"/>
                </w:tcPr>
                <w:p>
                  <w:pPr>
                    <w:pStyle w:val="003"/>
                    <w:spacing w:line="240" w:lineRule="auto"/>
                    <w:ind w:firstLine="0" w:firstLineChars="0"/>
                    <w:jc w:val="center"/>
                    <w:rPr>
                      <w:color w:val="auto"/>
                      <w:szCs w:val="21"/>
                    </w:rPr>
                  </w:pPr>
                  <w:r>
                    <w:rPr>
                      <w:color w:val="auto"/>
                      <w:szCs w:val="21"/>
                    </w:rPr>
                    <w:t>施工道路</w:t>
                  </w:r>
                </w:p>
              </w:tc>
              <w:tc>
                <w:tcPr>
                  <w:tcW w:w="2380" w:type="pct"/>
                  <w:vAlign w:val="center"/>
                </w:tcPr>
                <w:p>
                  <w:pPr>
                    <w:pStyle w:val="006"/>
                    <w:rPr>
                      <w:color w:val="auto"/>
                      <w:szCs w:val="21"/>
                    </w:rPr>
                  </w:pPr>
                  <w:r>
                    <w:rPr>
                      <w:color w:val="auto"/>
                      <w:szCs w:val="21"/>
                    </w:rPr>
                    <w:t>施工阶段共修建4段临时施工便道，分别为：桩号K0+120处设</w:t>
                  </w:r>
                  <w:r>
                    <w:rPr>
                      <w:color w:val="auto"/>
                    </w:rPr>
                    <w:t>70m长</w:t>
                  </w:r>
                  <w:r>
                    <w:rPr>
                      <w:color w:val="auto"/>
                      <w:szCs w:val="21"/>
                    </w:rPr>
                    <w:t>施工便道，</w:t>
                  </w:r>
                  <w:r>
                    <w:rPr>
                      <w:color w:val="auto"/>
                    </w:rPr>
                    <w:t>桩号</w:t>
                  </w:r>
                  <w:r>
                    <w:rPr>
                      <w:color w:val="auto"/>
                      <w:szCs w:val="21"/>
                    </w:rPr>
                    <w:t>K1+500-K1+799之间设320m长施工便道，</w:t>
                  </w:r>
                  <w:r>
                    <w:rPr>
                      <w:color w:val="auto"/>
                    </w:rPr>
                    <w:t>桩号</w:t>
                  </w:r>
                  <w:r>
                    <w:rPr>
                      <w:color w:val="auto"/>
                      <w:szCs w:val="21"/>
                    </w:rPr>
                    <w:t>K1+820-K2+280之间设400m长施工便道，</w:t>
                  </w:r>
                  <w:r>
                    <w:rPr>
                      <w:color w:val="auto"/>
                    </w:rPr>
                    <w:t>桩号</w:t>
                  </w:r>
                  <w:r>
                    <w:rPr>
                      <w:color w:val="auto"/>
                      <w:szCs w:val="21"/>
                    </w:rPr>
                    <w:t>K2+320-K2+600之间设300m长施工便道；均为临时占地</w:t>
                  </w:r>
                  <w:r>
                    <w:rPr>
                      <w:rFonts w:hint="eastAsia"/>
                      <w:color w:val="auto"/>
                      <w:szCs w:val="21"/>
                    </w:rPr>
                    <w:t>。</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color w:val="auto"/>
                      <w:szCs w:val="21"/>
                    </w:rPr>
                    <w:t>表土临时堆场</w:t>
                  </w:r>
                </w:p>
              </w:tc>
              <w:tc>
                <w:tcPr>
                  <w:tcW w:w="2380" w:type="pct"/>
                  <w:vAlign w:val="center"/>
                </w:tcPr>
                <w:p>
                  <w:pPr>
                    <w:pStyle w:val="006"/>
                    <w:rPr>
                      <w:color w:val="auto"/>
                      <w:szCs w:val="21"/>
                    </w:rPr>
                  </w:pPr>
                  <w:r>
                    <w:rPr>
                      <w:color w:val="auto"/>
                      <w:szCs w:val="21"/>
                    </w:rPr>
                    <w:t>平均堆高2.5m，占地面积0.50hm²，布设在K2+500道路右侧未开发用地上。</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color w:val="auto"/>
                      <w:szCs w:val="21"/>
                    </w:rPr>
                    <w:t>材料堆场</w:t>
                  </w:r>
                </w:p>
              </w:tc>
              <w:tc>
                <w:tcPr>
                  <w:tcW w:w="2380" w:type="pct"/>
                  <w:vAlign w:val="center"/>
                </w:tcPr>
                <w:p>
                  <w:pPr>
                    <w:pStyle w:val="006"/>
                    <w:rPr>
                      <w:color w:val="auto"/>
                      <w:szCs w:val="21"/>
                    </w:rPr>
                  </w:pPr>
                  <w:r>
                    <w:rPr>
                      <w:color w:val="auto"/>
                      <w:szCs w:val="21"/>
                    </w:rPr>
                    <w:t>桩号K0+480、桩号K0+980、桩号K2+280处分别设置临时材料堆场，占地面积0.02hm</w:t>
                  </w:r>
                  <w:r>
                    <w:rPr>
                      <w:color w:val="auto"/>
                      <w:szCs w:val="21"/>
                      <w:vertAlign w:val="superscript"/>
                    </w:rPr>
                    <w:t>2</w:t>
                  </w:r>
                  <w:r>
                    <w:rPr>
                      <w:color w:val="auto"/>
                      <w:szCs w:val="21"/>
                    </w:rPr>
                    <w:t>/</w:t>
                  </w:r>
                  <w:r>
                    <w:rPr>
                      <w:rFonts w:hint="eastAsia"/>
                      <w:color w:val="auto"/>
                      <w:szCs w:val="21"/>
                    </w:rPr>
                    <w:t>个。</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bl>
          <w:p/>
        </w:tc>
      </w:tr>
    </w:tbl>
    <w:p>
      <w:pPr>
        <w:sectPr>
          <w:footerReference w:type="even" r:id="rId46"/>
          <w:footerReference w:type="default" r:id="rId47"/>
          <w:type w:val="nextPage"/>
          <w:pgSz w:w="11906" w:h="16838"/>
          <w:pgMar w:top="1440" w:right="1800" w:bottom="1440" w:left="1800" w:header="851" w:footer="1077" w:gutter="0"/>
          <w:pgNumType w:start="17"/>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tbl>
            <w:tblPr>
              <w:tblStyle w:val="TableNormal"/>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794"/>
              <w:gridCol w:w="1290"/>
              <w:gridCol w:w="4287"/>
              <w:gridCol w:w="1171"/>
              <w:gridCol w:w="1465"/>
            </w:tblGrid>
            <w:tr>
              <w:tblPrEx>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441" w:type="pct"/>
                  <w:vMerge w:val="restart"/>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rFonts w:hint="eastAsia"/>
                      <w:color w:val="auto"/>
                      <w:szCs w:val="21"/>
                    </w:rPr>
                    <w:t>钢筋加工场</w:t>
                  </w:r>
                </w:p>
              </w:tc>
              <w:tc>
                <w:tcPr>
                  <w:tcW w:w="2380" w:type="pct"/>
                  <w:vAlign w:val="center"/>
                </w:tcPr>
                <w:p>
                  <w:pPr>
                    <w:pStyle w:val="006"/>
                    <w:rPr>
                      <w:color w:val="auto"/>
                      <w:szCs w:val="21"/>
                    </w:rPr>
                  </w:pPr>
                  <w:r>
                    <w:rPr>
                      <w:rFonts w:hint="eastAsia"/>
                      <w:color w:val="auto"/>
                      <w:szCs w:val="21"/>
                    </w:rPr>
                    <w:t>桩号K2+985处设置钢筋加工场，钢筋加工成半成品，运输至施工现场人工绑扎、吊装安放，占地范围为道路红线内永久占地</w:t>
                  </w:r>
                </w:p>
              </w:tc>
              <w:tc>
                <w:tcPr>
                  <w:tcW w:w="650" w:type="pct"/>
                  <w:vMerge w:val="restart"/>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rFonts w:hint="eastAsia"/>
                      <w:color w:val="auto"/>
                      <w:szCs w:val="21"/>
                    </w:rPr>
                    <w:t>/</w:t>
                  </w:r>
                </w:p>
              </w:tc>
            </w:tr>
            <w:tr>
              <w:tblPrEx>
                <w:tblW w:w="5000" w:type="pct"/>
                <w:tblInd w:w="0" w:type="dxa"/>
                <w:tblCellMar>
                  <w:top w:w="0" w:type="dxa"/>
                  <w:left w:w="108" w:type="dxa"/>
                  <w:bottom w:w="0" w:type="dxa"/>
                  <w:right w:w="108" w:type="dxa"/>
                </w:tblCellMar>
              </w:tblPrEx>
              <w:tc>
                <w:tcPr>
                  <w:tcW w:w="441" w:type="pct"/>
                  <w:vMerge/>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color w:val="auto"/>
                      <w:szCs w:val="21"/>
                    </w:rPr>
                    <w:t>洗车池及沉淀池</w:t>
                  </w:r>
                </w:p>
              </w:tc>
              <w:tc>
                <w:tcPr>
                  <w:tcW w:w="2380" w:type="pct"/>
                  <w:vAlign w:val="center"/>
                </w:tcPr>
                <w:p>
                  <w:pPr>
                    <w:pStyle w:val="006"/>
                    <w:rPr>
                      <w:color w:val="auto"/>
                      <w:szCs w:val="21"/>
                    </w:rPr>
                  </w:pPr>
                  <w:r>
                    <w:rPr>
                      <w:color w:val="auto"/>
                    </w:rPr>
                    <w:t>桩号K0+120、K2+180、K3+010处分别设置洗车设施，冲洗设施旁设蓄水池和沉淀池（10m</w:t>
                  </w:r>
                  <w:r>
                    <w:rPr>
                      <w:color w:val="auto"/>
                      <w:vertAlign w:val="superscript"/>
                    </w:rPr>
                    <w:t>3</w:t>
                  </w:r>
                  <w:r>
                    <w:rPr>
                      <w:color w:val="auto"/>
                    </w:rPr>
                    <w:t>/个），洗车污水循环利用。</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restart"/>
                  <w:vAlign w:val="center"/>
                </w:tcPr>
                <w:p>
                  <w:pPr>
                    <w:pStyle w:val="003"/>
                    <w:spacing w:line="240" w:lineRule="auto"/>
                    <w:ind w:firstLine="0" w:firstLineChars="0"/>
                    <w:rPr>
                      <w:b/>
                      <w:bCs/>
                      <w:color w:val="auto"/>
                      <w:szCs w:val="21"/>
                    </w:rPr>
                  </w:pPr>
                  <w:r>
                    <w:rPr>
                      <w:b/>
                      <w:bCs/>
                      <w:color w:val="auto"/>
                      <w:szCs w:val="21"/>
                    </w:rPr>
                    <w:t>环保工程</w:t>
                  </w:r>
                </w:p>
              </w:tc>
              <w:tc>
                <w:tcPr>
                  <w:tcW w:w="716" w:type="pct"/>
                  <w:vAlign w:val="center"/>
                </w:tcPr>
                <w:p>
                  <w:pPr>
                    <w:pStyle w:val="003"/>
                    <w:spacing w:line="240" w:lineRule="auto"/>
                    <w:ind w:firstLine="0" w:firstLineChars="0"/>
                    <w:jc w:val="center"/>
                    <w:rPr>
                      <w:color w:val="auto"/>
                      <w:szCs w:val="21"/>
                    </w:rPr>
                  </w:pPr>
                  <w:r>
                    <w:rPr>
                      <w:color w:val="auto"/>
                      <w:szCs w:val="21"/>
                    </w:rPr>
                    <w:t>水土保持措施</w:t>
                  </w:r>
                </w:p>
              </w:tc>
              <w:tc>
                <w:tcPr>
                  <w:tcW w:w="2380" w:type="pct"/>
                  <w:vAlign w:val="center"/>
                </w:tcPr>
                <w:p>
                  <w:pPr>
                    <w:pStyle w:val="006"/>
                    <w:rPr>
                      <w:color w:val="auto"/>
                      <w:szCs w:val="21"/>
                    </w:rPr>
                  </w:pPr>
                  <w:r>
                    <w:rPr>
                      <w:color w:val="auto"/>
                      <w:szCs w:val="21"/>
                    </w:rPr>
                    <w:t>道路施工时采取排、挡措施，防止泥沙进入河流、施工时边使用、边平整、边绿化，临时施工场地周围设置排水沟</w:t>
                  </w:r>
                  <w:r>
                    <w:rPr>
                      <w:rFonts w:hint="eastAsia"/>
                      <w:color w:val="auto"/>
                      <w:szCs w:val="21"/>
                    </w:rPr>
                    <w:t>。</w:t>
                  </w:r>
                  <w:r>
                    <w:rPr>
                      <w:rFonts w:hint="eastAsia"/>
                      <w:bCs/>
                      <w:color w:val="auto"/>
                      <w:szCs w:val="21"/>
                    </w:rPr>
                    <w:t>表土集中堆放防护，土地整治、边坡防护，土工布防冲、防雨布遮盖、密目网遮盖等。</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color w:val="auto"/>
                      <w:szCs w:val="21"/>
                    </w:rPr>
                    <w:t>废水</w:t>
                  </w:r>
                </w:p>
              </w:tc>
              <w:tc>
                <w:tcPr>
                  <w:tcW w:w="2380" w:type="pct"/>
                  <w:vAlign w:val="center"/>
                </w:tcPr>
                <w:p>
                  <w:pPr>
                    <w:pStyle w:val="006"/>
                    <w:rPr>
                      <w:color w:val="auto"/>
                      <w:szCs w:val="21"/>
                    </w:rPr>
                  </w:pPr>
                  <w:r>
                    <w:rPr>
                      <w:color w:val="auto"/>
                      <w:szCs w:val="21"/>
                    </w:rPr>
                    <w:t>设置车辆冲洗池及三级沉淀池对洗车废水及施工废水处理后回用。运营期雨水进入市政雨水管网排放。</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color w:val="auto"/>
                      <w:szCs w:val="21"/>
                    </w:rPr>
                    <w:t>大气</w:t>
                  </w:r>
                </w:p>
              </w:tc>
              <w:tc>
                <w:tcPr>
                  <w:tcW w:w="2380" w:type="pct"/>
                  <w:vAlign w:val="center"/>
                </w:tcPr>
                <w:p>
                  <w:pPr>
                    <w:pStyle w:val="006"/>
                    <w:rPr>
                      <w:color w:val="auto"/>
                      <w:szCs w:val="21"/>
                    </w:rPr>
                  </w:pPr>
                  <w:r>
                    <w:rPr>
                      <w:rFonts w:hint="eastAsia"/>
                      <w:color w:val="auto"/>
                      <w:szCs w:val="21"/>
                    </w:rPr>
                    <w:t>施工期</w:t>
                  </w:r>
                  <w:r>
                    <w:rPr>
                      <w:color w:val="auto"/>
                      <w:szCs w:val="21"/>
                    </w:rPr>
                    <w:t>运输车辆注意保养，采用污染小型燃料，</w:t>
                  </w:r>
                  <w:r>
                    <w:rPr>
                      <w:rFonts w:hint="eastAsia"/>
                      <w:color w:val="auto"/>
                      <w:szCs w:val="21"/>
                    </w:rPr>
                    <w:t>钢筋加工场产生焊烟经焊烟净化器处理，</w:t>
                  </w:r>
                  <w:r>
                    <w:rPr>
                      <w:color w:val="auto"/>
                      <w:szCs w:val="21"/>
                    </w:rPr>
                    <w:t>施工采取湿法作业，运输建材、土石方车辆用篷布等覆盖</w:t>
                  </w:r>
                  <w:r>
                    <w:rPr>
                      <w:rFonts w:hint="eastAsia"/>
                      <w:color w:val="auto"/>
                      <w:szCs w:val="21"/>
                    </w:rPr>
                    <w:t>，运营期加强绿、交通管理以及路面维护。</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color w:val="auto"/>
                      <w:szCs w:val="21"/>
                    </w:rPr>
                    <w:t>噪声</w:t>
                  </w:r>
                </w:p>
              </w:tc>
              <w:tc>
                <w:tcPr>
                  <w:tcW w:w="2380" w:type="pct"/>
                  <w:vAlign w:val="center"/>
                </w:tcPr>
                <w:p>
                  <w:pPr>
                    <w:pStyle w:val="006"/>
                    <w:rPr>
                      <w:color w:val="auto"/>
                      <w:szCs w:val="21"/>
                    </w:rPr>
                  </w:pPr>
                  <w:r>
                    <w:rPr>
                      <w:color w:val="auto"/>
                      <w:szCs w:val="21"/>
                    </w:rPr>
                    <w:t>施工期合理安排工期，合理布置施工场地，敏感点附近强噪声禁止夜间施工。运营期</w:t>
                  </w:r>
                  <w:r>
                    <w:rPr>
                      <w:rFonts w:hint="eastAsia"/>
                      <w:color w:val="auto"/>
                      <w:szCs w:val="21"/>
                    </w:rPr>
                    <w:t>加强交通管理，道路</w:t>
                  </w:r>
                  <w:r>
                    <w:rPr>
                      <w:color w:val="auto"/>
                      <w:szCs w:val="21"/>
                    </w:rPr>
                    <w:t>设置限速标志，注意道路养护</w:t>
                  </w:r>
                  <w:r>
                    <w:rPr>
                      <w:rFonts w:hint="eastAsia"/>
                      <w:color w:val="auto"/>
                    </w:rPr>
                    <w:t>。</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color w:val="auto"/>
                      <w:szCs w:val="21"/>
                    </w:rPr>
                    <w:t>固废</w:t>
                  </w:r>
                </w:p>
              </w:tc>
              <w:tc>
                <w:tcPr>
                  <w:tcW w:w="2380" w:type="pct"/>
                  <w:vAlign w:val="center"/>
                </w:tcPr>
                <w:p>
                  <w:pPr>
                    <w:pStyle w:val="006"/>
                    <w:rPr>
                      <w:color w:val="auto"/>
                      <w:szCs w:val="21"/>
                    </w:rPr>
                  </w:pPr>
                  <w:r>
                    <w:rPr>
                      <w:color w:val="auto"/>
                      <w:szCs w:val="21"/>
                    </w:rPr>
                    <w:t>生活垃圾由环卫部门清运，表土回用，弃方运输至合法弃渣场处置</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441" w:type="pct"/>
                  <w:vMerge/>
                  <w:vAlign w:val="center"/>
                </w:tcPr>
                <w:p>
                  <w:pPr>
                    <w:pStyle w:val="003"/>
                    <w:spacing w:line="240" w:lineRule="auto"/>
                    <w:ind w:firstLine="0" w:firstLineChars="0"/>
                    <w:jc w:val="center"/>
                    <w:rPr>
                      <w:b/>
                      <w:bCs/>
                      <w:color w:val="auto"/>
                      <w:szCs w:val="21"/>
                    </w:rPr>
                  </w:pPr>
                </w:p>
              </w:tc>
              <w:tc>
                <w:tcPr>
                  <w:tcW w:w="716" w:type="pct"/>
                  <w:vAlign w:val="center"/>
                </w:tcPr>
                <w:p>
                  <w:pPr>
                    <w:pStyle w:val="003"/>
                    <w:spacing w:line="240" w:lineRule="auto"/>
                    <w:ind w:firstLine="0" w:firstLineChars="0"/>
                    <w:jc w:val="center"/>
                    <w:rPr>
                      <w:color w:val="auto"/>
                      <w:szCs w:val="21"/>
                    </w:rPr>
                  </w:pPr>
                  <w:r>
                    <w:rPr>
                      <w:color w:val="auto"/>
                      <w:szCs w:val="21"/>
                    </w:rPr>
                    <w:t>生态</w:t>
                  </w:r>
                </w:p>
              </w:tc>
              <w:tc>
                <w:tcPr>
                  <w:tcW w:w="2380" w:type="pct"/>
                  <w:vAlign w:val="center"/>
                </w:tcPr>
                <w:p>
                  <w:pPr>
                    <w:pStyle w:val="006"/>
                    <w:rPr>
                      <w:color w:val="auto"/>
                      <w:szCs w:val="21"/>
                    </w:rPr>
                  </w:pPr>
                  <w:r>
                    <w:rPr>
                      <w:color w:val="auto"/>
                      <w:szCs w:val="21"/>
                    </w:rPr>
                    <w:t>施工期</w:t>
                  </w:r>
                  <w:r>
                    <w:rPr>
                      <w:color w:val="auto"/>
                    </w:rPr>
                    <w:t>收集保存建设中占地的表土，施工结束加后及时进行迹地恢复；施工临时工程尽量布置在永久占地范围内，减少临时占地。</w:t>
                  </w:r>
                  <w:r>
                    <w:rPr>
                      <w:rFonts w:hint="eastAsia"/>
                      <w:color w:val="auto"/>
                    </w:rPr>
                    <w:t>由于无涉水施工，</w:t>
                  </w:r>
                  <w:r>
                    <w:rPr>
                      <w:color w:val="auto"/>
                      <w:szCs w:val="21"/>
                    </w:rPr>
                    <w:t>水生态保护主要以预防措施为主，施工期禁止捕捞、垂钓和投饵喂食，禁止排入施工废水、倾倒垃圾。</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1157" w:type="pct"/>
                  <w:gridSpan w:val="2"/>
                  <w:vAlign w:val="center"/>
                </w:tcPr>
                <w:p>
                  <w:pPr>
                    <w:pStyle w:val="003"/>
                    <w:spacing w:line="240" w:lineRule="auto"/>
                    <w:ind w:firstLine="0" w:firstLineChars="0"/>
                    <w:jc w:val="center"/>
                    <w:rPr>
                      <w:color w:val="auto"/>
                      <w:szCs w:val="21"/>
                    </w:rPr>
                  </w:pPr>
                  <w:r>
                    <w:rPr>
                      <w:color w:val="auto"/>
                      <w:szCs w:val="21"/>
                    </w:rPr>
                    <w:t>占地</w:t>
                  </w:r>
                </w:p>
              </w:tc>
              <w:tc>
                <w:tcPr>
                  <w:tcW w:w="2380" w:type="pct"/>
                  <w:vAlign w:val="center"/>
                </w:tcPr>
                <w:p>
                  <w:pPr>
                    <w:pStyle w:val="006"/>
                    <w:rPr>
                      <w:color w:val="auto"/>
                      <w:szCs w:val="21"/>
                    </w:rPr>
                  </w:pPr>
                  <w:r>
                    <w:rPr>
                      <w:bCs/>
                      <w:color w:val="auto"/>
                      <w:szCs w:val="21"/>
                    </w:rPr>
                    <w:t>本项目拟用地面积61401m</w:t>
                  </w:r>
                  <w:r>
                    <w:rPr>
                      <w:bCs/>
                      <w:color w:val="auto"/>
                      <w:szCs w:val="21"/>
                      <w:vertAlign w:val="superscript"/>
                    </w:rPr>
                    <w:t>2</w:t>
                  </w:r>
                  <w:r>
                    <w:rPr>
                      <w:bCs/>
                      <w:color w:val="auto"/>
                      <w:szCs w:val="21"/>
                    </w:rPr>
                    <w:t>，土地利用现状为农用地54952 m</w:t>
                  </w:r>
                  <w:r>
                    <w:rPr>
                      <w:bCs/>
                      <w:color w:val="auto"/>
                      <w:szCs w:val="21"/>
                      <w:vertAlign w:val="superscript"/>
                    </w:rPr>
                    <w:t>2</w:t>
                  </w:r>
                  <w:r>
                    <w:rPr>
                      <w:bCs/>
                      <w:color w:val="auto"/>
                      <w:szCs w:val="21"/>
                    </w:rPr>
                    <w:t>，建设用地6318 m</w:t>
                  </w:r>
                  <w:r>
                    <w:rPr>
                      <w:bCs/>
                      <w:color w:val="auto"/>
                      <w:szCs w:val="21"/>
                      <w:vertAlign w:val="superscript"/>
                    </w:rPr>
                    <w:t>2</w:t>
                  </w:r>
                  <w:r>
                    <w:rPr>
                      <w:bCs/>
                      <w:color w:val="auto"/>
                      <w:szCs w:val="21"/>
                    </w:rPr>
                    <w:t>，未利用地地131 m</w:t>
                  </w:r>
                  <w:r>
                    <w:rPr>
                      <w:bCs/>
                      <w:color w:val="auto"/>
                      <w:szCs w:val="21"/>
                      <w:vertAlign w:val="superscript"/>
                    </w:rPr>
                    <w:t>2</w:t>
                  </w:r>
                  <w:r>
                    <w:rPr>
                      <w:bCs/>
                      <w:color w:val="auto"/>
                      <w:szCs w:val="21"/>
                    </w:rPr>
                    <w:t>。</w:t>
                  </w:r>
                  <w:r>
                    <w:rPr>
                      <w:rFonts w:hint="eastAsia"/>
                      <w:bCs/>
                      <w:color w:val="auto"/>
                      <w:szCs w:val="21"/>
                    </w:rPr>
                    <w:t>临时占地面积1</w:t>
                  </w:r>
                  <w:r>
                    <w:rPr>
                      <w:bCs/>
                      <w:color w:val="auto"/>
                      <w:szCs w:val="21"/>
                    </w:rPr>
                    <w:t>1100</w:t>
                  </w:r>
                  <w:r>
                    <w:rPr>
                      <w:color w:val="auto"/>
                    </w:rPr>
                    <w:t>m</w:t>
                  </w:r>
                  <w:r>
                    <w:rPr>
                      <w:color w:val="auto"/>
                      <w:vertAlign w:val="superscript"/>
                    </w:rPr>
                    <w:t>2</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r>
              <w:tblPrEx>
                <w:tblW w:w="5000" w:type="pct"/>
                <w:tblInd w:w="0" w:type="dxa"/>
                <w:tblCellMar>
                  <w:top w:w="0" w:type="dxa"/>
                  <w:left w:w="108" w:type="dxa"/>
                  <w:bottom w:w="0" w:type="dxa"/>
                  <w:right w:w="108" w:type="dxa"/>
                </w:tblCellMar>
              </w:tblPrEx>
              <w:tc>
                <w:tcPr>
                  <w:tcW w:w="1157" w:type="pct"/>
                  <w:gridSpan w:val="2"/>
                  <w:vAlign w:val="center"/>
                </w:tcPr>
                <w:p>
                  <w:pPr>
                    <w:pStyle w:val="003"/>
                    <w:spacing w:line="240" w:lineRule="auto"/>
                    <w:ind w:firstLine="0" w:firstLineChars="0"/>
                    <w:jc w:val="center"/>
                    <w:rPr>
                      <w:color w:val="auto"/>
                      <w:szCs w:val="21"/>
                    </w:rPr>
                  </w:pPr>
                  <w:r>
                    <w:rPr>
                      <w:color w:val="auto"/>
                      <w:szCs w:val="21"/>
                    </w:rPr>
                    <w:t>拆迁</w:t>
                  </w:r>
                </w:p>
              </w:tc>
              <w:tc>
                <w:tcPr>
                  <w:tcW w:w="2380" w:type="pct"/>
                  <w:vAlign w:val="center"/>
                </w:tcPr>
                <w:p>
                  <w:pPr>
                    <w:pStyle w:val="006"/>
                    <w:rPr>
                      <w:color w:val="auto"/>
                      <w:szCs w:val="21"/>
                    </w:rPr>
                  </w:pPr>
                  <w:r>
                    <w:rPr>
                      <w:color w:val="auto"/>
                      <w:szCs w:val="21"/>
                    </w:rPr>
                    <w:t>本项目不涉及</w:t>
                  </w:r>
                  <w:bookmarkStart w:id="8" w:name="拆迁表1"/>
                  <w:bookmarkEnd w:id="8"/>
                  <w:bookmarkStart w:id="9" w:name="表1占地"/>
                  <w:bookmarkEnd w:id="9"/>
                  <w:r>
                    <w:rPr>
                      <w:color w:val="auto"/>
                      <w:szCs w:val="21"/>
                    </w:rPr>
                    <w:t>环保拆迁</w:t>
                  </w:r>
                </w:p>
              </w:tc>
              <w:tc>
                <w:tcPr>
                  <w:tcW w:w="650" w:type="pct"/>
                  <w:vMerge/>
                  <w:vAlign w:val="center"/>
                </w:tcPr>
                <w:p>
                  <w:pPr>
                    <w:pStyle w:val="003"/>
                    <w:spacing w:line="240" w:lineRule="auto"/>
                    <w:ind w:firstLine="0" w:firstLineChars="0"/>
                    <w:jc w:val="center"/>
                    <w:rPr>
                      <w:color w:val="auto"/>
                      <w:szCs w:val="21"/>
                    </w:rPr>
                  </w:pPr>
                </w:p>
              </w:tc>
              <w:tc>
                <w:tcPr>
                  <w:tcW w:w="813" w:type="pct"/>
                  <w:vAlign w:val="center"/>
                </w:tcPr>
                <w:p>
                  <w:pPr>
                    <w:pStyle w:val="003"/>
                    <w:spacing w:line="240" w:lineRule="auto"/>
                    <w:ind w:firstLine="0" w:firstLineChars="0"/>
                    <w:jc w:val="center"/>
                    <w:rPr>
                      <w:color w:val="auto"/>
                      <w:szCs w:val="21"/>
                    </w:rPr>
                  </w:pPr>
                  <w:r>
                    <w:rPr>
                      <w:color w:val="auto"/>
                      <w:szCs w:val="21"/>
                    </w:rPr>
                    <w:t>/</w:t>
                  </w:r>
                </w:p>
              </w:tc>
            </w:tr>
          </w:tbl>
          <w:p>
            <w:pPr>
              <w:pStyle w:val="041"/>
            </w:pPr>
            <w:r>
              <w:t>四、交通量预测</w:t>
            </w:r>
            <w:bookmarkStart w:id="10" w:name="交通量预测"/>
            <w:bookmarkEnd w:id="10"/>
          </w:p>
          <w:p>
            <w:pPr>
              <w:spacing w:line="360" w:lineRule="auto"/>
              <w:ind w:firstLine="480" w:firstLineChars="200"/>
              <w:rPr>
                <w:b/>
                <w:bCs/>
                <w:sz w:val="24"/>
              </w:rPr>
            </w:pPr>
            <w:r>
              <w:rPr>
                <w:b/>
                <w:bCs/>
                <w:sz w:val="24"/>
              </w:rPr>
              <w:t>1</w:t>
            </w:r>
            <w:r>
              <w:rPr>
                <w:rFonts w:hint="eastAsia"/>
                <w:b/>
                <w:bCs/>
                <w:sz w:val="24"/>
              </w:rPr>
              <w:t>、车型比及昼夜比</w:t>
            </w:r>
          </w:p>
          <w:p>
            <w:pPr>
              <w:pStyle w:val="003"/>
              <w:ind w:firstLine="420"/>
              <w:rPr>
                <w:color w:val="auto"/>
              </w:rPr>
            </w:pPr>
            <w:r>
              <w:rPr>
                <w:rFonts w:hint="eastAsia"/>
                <w:color w:val="auto"/>
              </w:rPr>
              <w:t>根据工可资料，各预测年交通量车型比和昼夜比见下表</w:t>
            </w:r>
            <w:r>
              <w:rPr>
                <w:rFonts w:ascii="宋体" w:hAnsi="宋体" w:cs="宋体" w:hint="eastAsia"/>
                <w:color w:val="auto"/>
                <w:lang w:bidi="ar"/>
              </w:rPr>
              <w:t>。</w:t>
            </w:r>
          </w:p>
          <w:p>
            <w:pPr>
              <w:pStyle w:val="021"/>
            </w:pPr>
            <w:r>
              <w:rPr>
                <w:rFonts w:hint="eastAsia"/>
                <w:lang w:bidi="ar"/>
              </w:rPr>
              <w:t>表</w:t>
            </w:r>
            <w:r>
              <w:rPr>
                <w:lang w:bidi="ar"/>
              </w:rPr>
              <w:t>2</w:t>
            </w:r>
            <w:r>
              <w:rPr>
                <w:rFonts w:hint="eastAsia"/>
                <w:lang w:bidi="ar"/>
              </w:rPr>
              <w:t>-</w:t>
            </w:r>
            <w:r>
              <w:rPr>
                <w:lang w:bidi="ar"/>
              </w:rPr>
              <w:t xml:space="preserve">3  </w:t>
            </w:r>
            <w:r>
              <w:rPr>
                <w:rFonts w:hint="eastAsia"/>
                <w:lang w:bidi="ar"/>
              </w:rPr>
              <w:t>车型比一览表</w:t>
            </w:r>
          </w:p>
          <w:tbl>
            <w:tblPr>
              <w:tblStyle w:val="TableNormal"/>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252"/>
              <w:gridCol w:w="2250"/>
              <w:gridCol w:w="2250"/>
              <w:gridCol w:w="2255"/>
            </w:tblGrid>
            <w:tr>
              <w:tblPrEx>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cantSplit/>
                <w:trHeight w:val="97"/>
                <w:jc w:val="center"/>
              </w:trPr>
              <w:tc>
                <w:tcPr>
                  <w:tcW w:w="1250" w:type="pct"/>
                  <w:vMerge w:val="restart"/>
                  <w:vAlign w:val="center"/>
                </w:tcPr>
                <w:p>
                  <w:pPr>
                    <w:adjustRightInd w:val="0"/>
                    <w:snapToGrid w:val="0"/>
                    <w:spacing w:line="300" w:lineRule="exact"/>
                    <w:jc w:val="center"/>
                    <w:rPr>
                      <w:szCs w:val="21"/>
                    </w:rPr>
                  </w:pPr>
                  <w:r>
                    <w:rPr>
                      <w:szCs w:val="21"/>
                      <w:lang w:bidi="ar"/>
                    </w:rPr>
                    <w:t>项目</w:t>
                  </w:r>
                </w:p>
                <w:p>
                  <w:pPr>
                    <w:adjustRightInd w:val="0"/>
                    <w:snapToGrid w:val="0"/>
                    <w:spacing w:line="300" w:lineRule="exact"/>
                    <w:jc w:val="center"/>
                    <w:rPr>
                      <w:szCs w:val="21"/>
                    </w:rPr>
                  </w:pPr>
                  <w:r>
                    <w:rPr>
                      <w:szCs w:val="21"/>
                      <w:lang w:bidi="ar"/>
                    </w:rPr>
                    <w:t>预测年</w:t>
                  </w:r>
                </w:p>
              </w:tc>
              <w:tc>
                <w:tcPr>
                  <w:tcW w:w="3750" w:type="pct"/>
                  <w:gridSpan w:val="3"/>
                  <w:vAlign w:val="center"/>
                </w:tcPr>
                <w:p>
                  <w:pPr>
                    <w:adjustRightInd w:val="0"/>
                    <w:snapToGrid w:val="0"/>
                    <w:spacing w:line="300" w:lineRule="exact"/>
                    <w:jc w:val="center"/>
                    <w:rPr>
                      <w:szCs w:val="21"/>
                    </w:rPr>
                  </w:pPr>
                  <w:r>
                    <w:rPr>
                      <w:szCs w:val="21"/>
                      <w:lang w:bidi="ar"/>
                    </w:rPr>
                    <w:t>车型比</w:t>
                  </w:r>
                  <w:r>
                    <w:rPr>
                      <w:rFonts w:hint="eastAsia"/>
                      <w:szCs w:val="21"/>
                      <w:lang w:bidi="ar"/>
                    </w:rPr>
                    <w:t>（</w:t>
                  </w:r>
                  <w:r>
                    <w:rPr>
                      <w:szCs w:val="21"/>
                      <w:lang w:bidi="ar"/>
                    </w:rPr>
                    <w:t>%</w:t>
                  </w:r>
                  <w:r>
                    <w:rPr>
                      <w:rFonts w:hint="eastAsia"/>
                      <w:szCs w:val="21"/>
                      <w:lang w:bidi="ar"/>
                    </w:rPr>
                    <w:t>）</w:t>
                  </w:r>
                </w:p>
              </w:tc>
            </w:tr>
            <w:tr>
              <w:tblPrEx>
                <w:tblW w:w="5000" w:type="pct"/>
                <w:jc w:val="center"/>
                <w:tblCellMar>
                  <w:top w:w="0" w:type="dxa"/>
                  <w:left w:w="108" w:type="dxa"/>
                  <w:bottom w:w="0" w:type="dxa"/>
                  <w:right w:w="108" w:type="dxa"/>
                </w:tblCellMar>
              </w:tblPrEx>
              <w:trPr>
                <w:cantSplit/>
                <w:trHeight w:val="90"/>
                <w:jc w:val="center"/>
              </w:trPr>
              <w:tc>
                <w:tcPr>
                  <w:tcW w:w="1250" w:type="pct"/>
                  <w:vMerge/>
                  <w:vAlign w:val="center"/>
                </w:tcPr>
                <w:p>
                  <w:pPr>
                    <w:adjustRightInd w:val="0"/>
                    <w:snapToGrid w:val="0"/>
                    <w:spacing w:line="300" w:lineRule="exact"/>
                    <w:jc w:val="center"/>
                    <w:rPr>
                      <w:sz w:val="20"/>
                      <w:szCs w:val="20"/>
                    </w:rPr>
                  </w:pPr>
                </w:p>
              </w:tc>
              <w:tc>
                <w:tcPr>
                  <w:tcW w:w="1249" w:type="pct"/>
                  <w:vAlign w:val="center"/>
                </w:tcPr>
                <w:p>
                  <w:pPr>
                    <w:adjustRightInd w:val="0"/>
                    <w:snapToGrid w:val="0"/>
                    <w:spacing w:line="300" w:lineRule="exact"/>
                    <w:jc w:val="center"/>
                    <w:rPr>
                      <w:szCs w:val="21"/>
                    </w:rPr>
                  </w:pPr>
                  <w:r>
                    <w:rPr>
                      <w:szCs w:val="21"/>
                      <w:lang w:bidi="ar"/>
                    </w:rPr>
                    <w:t>小型车</w:t>
                  </w:r>
                </w:p>
              </w:tc>
              <w:tc>
                <w:tcPr>
                  <w:tcW w:w="1249" w:type="pct"/>
                  <w:vAlign w:val="center"/>
                </w:tcPr>
                <w:p>
                  <w:pPr>
                    <w:adjustRightInd w:val="0"/>
                    <w:snapToGrid w:val="0"/>
                    <w:spacing w:line="300" w:lineRule="exact"/>
                    <w:jc w:val="center"/>
                    <w:rPr>
                      <w:szCs w:val="21"/>
                    </w:rPr>
                  </w:pPr>
                  <w:r>
                    <w:rPr>
                      <w:szCs w:val="21"/>
                      <w:lang w:bidi="ar"/>
                    </w:rPr>
                    <w:t>中型车</w:t>
                  </w:r>
                </w:p>
              </w:tc>
              <w:tc>
                <w:tcPr>
                  <w:tcW w:w="1252" w:type="pct"/>
                  <w:vAlign w:val="center"/>
                </w:tcPr>
                <w:p>
                  <w:pPr>
                    <w:adjustRightInd w:val="0"/>
                    <w:snapToGrid w:val="0"/>
                    <w:spacing w:line="300" w:lineRule="exact"/>
                    <w:jc w:val="center"/>
                    <w:rPr>
                      <w:szCs w:val="21"/>
                    </w:rPr>
                  </w:pPr>
                  <w:r>
                    <w:rPr>
                      <w:szCs w:val="21"/>
                      <w:lang w:bidi="ar"/>
                    </w:rPr>
                    <w:t>大型车</w:t>
                  </w:r>
                </w:p>
              </w:tc>
            </w:tr>
            <w:tr>
              <w:tblPrEx>
                <w:tblW w:w="5000" w:type="pct"/>
                <w:jc w:val="center"/>
                <w:tblCellMar>
                  <w:top w:w="0" w:type="dxa"/>
                  <w:left w:w="108" w:type="dxa"/>
                  <w:bottom w:w="0" w:type="dxa"/>
                  <w:right w:w="108" w:type="dxa"/>
                </w:tblCellMar>
              </w:tblPrEx>
              <w:trPr>
                <w:cantSplit/>
                <w:trHeight w:val="90"/>
                <w:jc w:val="center"/>
              </w:trPr>
              <w:tc>
                <w:tcPr>
                  <w:tcW w:w="1250" w:type="pct"/>
                  <w:vAlign w:val="center"/>
                </w:tcPr>
                <w:p>
                  <w:pPr>
                    <w:adjustRightInd w:val="0"/>
                    <w:snapToGrid w:val="0"/>
                    <w:spacing w:line="300" w:lineRule="exact"/>
                    <w:jc w:val="center"/>
                    <w:rPr>
                      <w:szCs w:val="21"/>
                    </w:rPr>
                  </w:pPr>
                  <w:r>
                    <w:rPr>
                      <w:rFonts w:hint="eastAsia"/>
                      <w:szCs w:val="21"/>
                    </w:rPr>
                    <w:t>202</w:t>
                  </w:r>
                  <w:r>
                    <w:rPr>
                      <w:szCs w:val="21"/>
                    </w:rPr>
                    <w:t>4</w:t>
                  </w:r>
                </w:p>
              </w:tc>
              <w:tc>
                <w:tcPr>
                  <w:tcW w:w="1249" w:type="pct"/>
                  <w:vAlign w:val="center"/>
                </w:tcPr>
                <w:p>
                  <w:pPr>
                    <w:adjustRightInd w:val="0"/>
                    <w:snapToGrid w:val="0"/>
                    <w:spacing w:line="300" w:lineRule="exact"/>
                    <w:jc w:val="center"/>
                    <w:rPr>
                      <w:szCs w:val="21"/>
                    </w:rPr>
                  </w:pPr>
                  <w:r>
                    <w:rPr>
                      <w:szCs w:val="21"/>
                    </w:rPr>
                    <w:t>60</w:t>
                  </w:r>
                </w:p>
              </w:tc>
              <w:tc>
                <w:tcPr>
                  <w:tcW w:w="1249" w:type="pct"/>
                  <w:vAlign w:val="center"/>
                </w:tcPr>
                <w:p>
                  <w:pPr>
                    <w:adjustRightInd w:val="0"/>
                    <w:snapToGrid w:val="0"/>
                    <w:spacing w:line="300" w:lineRule="exact"/>
                    <w:jc w:val="center"/>
                    <w:rPr>
                      <w:szCs w:val="21"/>
                    </w:rPr>
                  </w:pPr>
                  <w:r>
                    <w:rPr>
                      <w:szCs w:val="21"/>
                    </w:rPr>
                    <w:t>25</w:t>
                  </w:r>
                </w:p>
              </w:tc>
              <w:tc>
                <w:tcPr>
                  <w:tcW w:w="1252" w:type="pct"/>
                  <w:vAlign w:val="center"/>
                </w:tcPr>
                <w:p>
                  <w:pPr>
                    <w:adjustRightInd w:val="0"/>
                    <w:snapToGrid w:val="0"/>
                    <w:spacing w:line="300" w:lineRule="exact"/>
                    <w:jc w:val="center"/>
                    <w:rPr>
                      <w:szCs w:val="21"/>
                    </w:rPr>
                  </w:pPr>
                  <w:r>
                    <w:rPr>
                      <w:szCs w:val="21"/>
                    </w:rPr>
                    <w:t>15</w:t>
                  </w:r>
                </w:p>
              </w:tc>
            </w:tr>
            <w:tr>
              <w:tblPrEx>
                <w:tblW w:w="5000" w:type="pct"/>
                <w:jc w:val="center"/>
                <w:tblCellMar>
                  <w:top w:w="0" w:type="dxa"/>
                  <w:left w:w="108" w:type="dxa"/>
                  <w:bottom w:w="0" w:type="dxa"/>
                  <w:right w:w="108" w:type="dxa"/>
                </w:tblCellMar>
              </w:tblPrEx>
              <w:trPr>
                <w:cantSplit/>
                <w:trHeight w:val="90"/>
                <w:jc w:val="center"/>
              </w:trPr>
              <w:tc>
                <w:tcPr>
                  <w:tcW w:w="1250" w:type="pct"/>
                  <w:vAlign w:val="center"/>
                </w:tcPr>
                <w:p>
                  <w:pPr>
                    <w:adjustRightInd w:val="0"/>
                    <w:snapToGrid w:val="0"/>
                    <w:spacing w:line="300" w:lineRule="exact"/>
                    <w:jc w:val="center"/>
                    <w:rPr>
                      <w:szCs w:val="21"/>
                    </w:rPr>
                  </w:pPr>
                  <w:r>
                    <w:rPr>
                      <w:rFonts w:hint="eastAsia"/>
                      <w:szCs w:val="21"/>
                    </w:rPr>
                    <w:t>2030</w:t>
                  </w:r>
                </w:p>
              </w:tc>
              <w:tc>
                <w:tcPr>
                  <w:tcW w:w="1249" w:type="pct"/>
                  <w:vAlign w:val="center"/>
                </w:tcPr>
                <w:p>
                  <w:pPr>
                    <w:adjustRightInd w:val="0"/>
                    <w:snapToGrid w:val="0"/>
                    <w:spacing w:line="300" w:lineRule="exact"/>
                    <w:jc w:val="center"/>
                    <w:rPr>
                      <w:szCs w:val="21"/>
                    </w:rPr>
                  </w:pPr>
                  <w:r>
                    <w:rPr>
                      <w:szCs w:val="21"/>
                    </w:rPr>
                    <w:t>65</w:t>
                  </w:r>
                </w:p>
              </w:tc>
              <w:tc>
                <w:tcPr>
                  <w:tcW w:w="1249" w:type="pct"/>
                </w:tcPr>
                <w:p>
                  <w:pPr>
                    <w:adjustRightInd w:val="0"/>
                    <w:snapToGrid w:val="0"/>
                    <w:spacing w:line="300" w:lineRule="exact"/>
                    <w:jc w:val="center"/>
                    <w:rPr>
                      <w:szCs w:val="21"/>
                    </w:rPr>
                  </w:pPr>
                  <w:r>
                    <w:rPr>
                      <w:szCs w:val="21"/>
                    </w:rPr>
                    <w:t>23</w:t>
                  </w:r>
                </w:p>
              </w:tc>
              <w:tc>
                <w:tcPr>
                  <w:tcW w:w="1252" w:type="pct"/>
                  <w:vAlign w:val="center"/>
                </w:tcPr>
                <w:p>
                  <w:pPr>
                    <w:adjustRightInd w:val="0"/>
                    <w:snapToGrid w:val="0"/>
                    <w:spacing w:line="300" w:lineRule="exact"/>
                    <w:jc w:val="center"/>
                    <w:rPr>
                      <w:szCs w:val="21"/>
                    </w:rPr>
                  </w:pPr>
                  <w:r>
                    <w:rPr>
                      <w:szCs w:val="21"/>
                    </w:rPr>
                    <w:t>12</w:t>
                  </w:r>
                </w:p>
              </w:tc>
            </w:tr>
            <w:tr>
              <w:tblPrEx>
                <w:tblW w:w="5000" w:type="pct"/>
                <w:jc w:val="center"/>
                <w:tblCellMar>
                  <w:top w:w="0" w:type="dxa"/>
                  <w:left w:w="108" w:type="dxa"/>
                  <w:bottom w:w="0" w:type="dxa"/>
                  <w:right w:w="108" w:type="dxa"/>
                </w:tblCellMar>
              </w:tblPrEx>
              <w:trPr>
                <w:cantSplit/>
                <w:trHeight w:val="90"/>
                <w:jc w:val="center"/>
              </w:trPr>
              <w:tc>
                <w:tcPr>
                  <w:tcW w:w="1250" w:type="pct"/>
                  <w:vAlign w:val="center"/>
                </w:tcPr>
                <w:p>
                  <w:pPr>
                    <w:adjustRightInd w:val="0"/>
                    <w:snapToGrid w:val="0"/>
                    <w:spacing w:line="300" w:lineRule="exact"/>
                    <w:jc w:val="center"/>
                    <w:rPr>
                      <w:szCs w:val="21"/>
                    </w:rPr>
                  </w:pPr>
                  <w:r>
                    <w:rPr>
                      <w:rFonts w:hint="eastAsia"/>
                      <w:szCs w:val="21"/>
                    </w:rPr>
                    <w:t>2038</w:t>
                  </w:r>
                </w:p>
              </w:tc>
              <w:tc>
                <w:tcPr>
                  <w:tcW w:w="1249" w:type="pct"/>
                  <w:vAlign w:val="center"/>
                </w:tcPr>
                <w:p>
                  <w:pPr>
                    <w:adjustRightInd w:val="0"/>
                    <w:snapToGrid w:val="0"/>
                    <w:spacing w:line="300" w:lineRule="exact"/>
                    <w:jc w:val="center"/>
                    <w:rPr>
                      <w:szCs w:val="21"/>
                    </w:rPr>
                  </w:pPr>
                  <w:r>
                    <w:rPr>
                      <w:szCs w:val="21"/>
                    </w:rPr>
                    <w:t>70</w:t>
                  </w:r>
                </w:p>
              </w:tc>
              <w:tc>
                <w:tcPr>
                  <w:tcW w:w="1249" w:type="pct"/>
                </w:tcPr>
                <w:p>
                  <w:pPr>
                    <w:adjustRightInd w:val="0"/>
                    <w:snapToGrid w:val="0"/>
                    <w:spacing w:line="300" w:lineRule="exact"/>
                    <w:jc w:val="center"/>
                    <w:rPr>
                      <w:szCs w:val="21"/>
                    </w:rPr>
                  </w:pPr>
                  <w:r>
                    <w:rPr>
                      <w:szCs w:val="21"/>
                    </w:rPr>
                    <w:t>20</w:t>
                  </w:r>
                </w:p>
              </w:tc>
              <w:tc>
                <w:tcPr>
                  <w:tcW w:w="1252" w:type="pct"/>
                  <w:vAlign w:val="center"/>
                </w:tcPr>
                <w:p>
                  <w:pPr>
                    <w:adjustRightInd w:val="0"/>
                    <w:snapToGrid w:val="0"/>
                    <w:spacing w:line="300" w:lineRule="exact"/>
                    <w:jc w:val="center"/>
                    <w:rPr>
                      <w:szCs w:val="21"/>
                    </w:rPr>
                  </w:pPr>
                  <w:r>
                    <w:rPr>
                      <w:szCs w:val="21"/>
                    </w:rPr>
                    <w:t>10</w:t>
                  </w:r>
                </w:p>
              </w:tc>
            </w:tr>
          </w:tbl>
          <w:p>
            <w:pPr>
              <w:snapToGrid w:val="0"/>
              <w:spacing w:line="360" w:lineRule="auto"/>
              <w:ind w:firstLine="420" w:firstLineChars="200"/>
              <w:rPr>
                <w:b/>
                <w:bCs/>
                <w:szCs w:val="21"/>
              </w:rPr>
            </w:pPr>
            <w:r>
              <w:rPr>
                <w:b/>
                <w:bCs/>
                <w:szCs w:val="21"/>
              </w:rPr>
              <w:t>注：小型车包括小货车、小客车，中型车包括中货车和大客车，大型车包括大货车和</w:t>
            </w:r>
            <w:r>
              <w:rPr>
                <w:rFonts w:hint="eastAsia"/>
                <w:b/>
                <w:bCs/>
                <w:szCs w:val="21"/>
              </w:rPr>
              <w:t>汽车列车</w:t>
            </w:r>
            <w:r>
              <w:rPr>
                <w:b/>
                <w:bCs/>
                <w:szCs w:val="21"/>
              </w:rPr>
              <w:t>。</w:t>
            </w:r>
          </w:p>
        </w:tc>
      </w:tr>
    </w:tbl>
    <w:p>
      <w:pPr>
        <w:sectPr>
          <w:footerReference w:type="even" r:id="rId48"/>
          <w:footerReference w:type="default" r:id="rId49"/>
          <w:type w:val="nextPage"/>
          <w:pgSz w:w="11906" w:h="16838"/>
          <w:pgMar w:top="1440" w:right="1800" w:bottom="1440" w:left="1800" w:header="851" w:footer="1077" w:gutter="0"/>
          <w:pgNumType w:start="18"/>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spacing w:line="360" w:lineRule="auto"/>
              <w:ind w:firstLine="480" w:firstLineChars="200"/>
              <w:rPr>
                <w:b/>
                <w:bCs/>
                <w:sz w:val="24"/>
              </w:rPr>
            </w:pPr>
            <w:r>
              <w:rPr>
                <w:rFonts w:hint="eastAsia"/>
                <w:b/>
                <w:bCs/>
                <w:sz w:val="24"/>
              </w:rPr>
              <w:t>2、昼夜比</w:t>
            </w:r>
          </w:p>
          <w:p>
            <w:pPr>
              <w:pStyle w:val="003"/>
              <w:ind w:firstLine="420"/>
              <w:rPr>
                <w:color w:val="auto"/>
              </w:rPr>
            </w:pPr>
            <w:r>
              <w:rPr>
                <w:rFonts w:hint="eastAsia"/>
                <w:color w:val="auto"/>
              </w:rPr>
              <w:t>根据工可资料，本次评价全线车辆昼夜比为</w:t>
            </w:r>
            <w:r>
              <w:rPr>
                <w:color w:val="auto"/>
              </w:rPr>
              <w:t xml:space="preserve"> 6：</w:t>
            </w:r>
            <w:r>
              <w:rPr>
                <w:rFonts w:hint="eastAsia"/>
                <w:color w:val="auto"/>
              </w:rPr>
              <w:t>1。夜间为06：0</w:t>
            </w:r>
            <w:r>
              <w:rPr>
                <w:color w:val="auto"/>
              </w:rPr>
              <w:t>0</w:t>
            </w:r>
            <w:r>
              <w:rPr>
                <w:rFonts w:hint="eastAsia"/>
                <w:color w:val="auto"/>
              </w:rPr>
              <w:t>~</w:t>
            </w:r>
            <w:r>
              <w:rPr>
                <w:color w:val="auto"/>
              </w:rPr>
              <w:t>22</w:t>
            </w:r>
            <w:r>
              <w:rPr>
                <w:rFonts w:hint="eastAsia"/>
                <w:color w:val="auto"/>
              </w:rPr>
              <w:t>:</w:t>
            </w:r>
            <w:r>
              <w:rPr>
                <w:color w:val="auto"/>
              </w:rPr>
              <w:t>00</w:t>
            </w:r>
            <w:r>
              <w:rPr>
                <w:rFonts w:hint="eastAsia"/>
                <w:color w:val="auto"/>
              </w:rPr>
              <w:t>。</w:t>
            </w:r>
          </w:p>
          <w:p>
            <w:pPr>
              <w:spacing w:line="360" w:lineRule="auto"/>
              <w:ind w:firstLine="480" w:firstLineChars="200"/>
              <w:rPr>
                <w:b/>
                <w:bCs/>
                <w:sz w:val="24"/>
              </w:rPr>
            </w:pPr>
            <w:r>
              <w:rPr>
                <w:b/>
                <w:bCs/>
                <w:sz w:val="24"/>
              </w:rPr>
              <w:t>3</w:t>
            </w:r>
            <w:r>
              <w:rPr>
                <w:rFonts w:hint="eastAsia"/>
                <w:b/>
                <w:bCs/>
                <w:sz w:val="24"/>
              </w:rPr>
              <w:t>、交通量预测结果</w:t>
            </w:r>
          </w:p>
          <w:p>
            <w:pPr>
              <w:pStyle w:val="003"/>
              <w:ind w:firstLine="420"/>
              <w:rPr>
                <w:color w:val="auto"/>
              </w:rPr>
            </w:pPr>
            <w:r>
              <w:rPr>
                <w:rFonts w:hint="eastAsia"/>
                <w:color w:val="auto"/>
              </w:rPr>
              <w:t>根据工可资料，本项目各特征年</w:t>
            </w:r>
            <w:r>
              <w:rPr>
                <w:color w:val="auto"/>
              </w:rPr>
              <w:t>交通量（折算小客车）预测交通量如下。</w:t>
            </w:r>
          </w:p>
          <w:p>
            <w:pPr>
              <w:pStyle w:val="021"/>
            </w:pPr>
            <w:r>
              <w:rPr>
                <w:rFonts w:hint="eastAsia"/>
              </w:rPr>
              <w:t>表2-</w:t>
            </w:r>
            <w:r>
              <w:t xml:space="preserve">4  </w:t>
            </w:r>
            <w:r>
              <w:rPr>
                <w:rFonts w:hint="eastAsia"/>
              </w:rPr>
              <w:t>交通量预测结果</w:t>
            </w:r>
          </w:p>
          <w:tbl>
            <w:tblPr>
              <w:tblStyle w:val="TableNormal"/>
              <w:tblW w:w="4949"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3547"/>
              <w:gridCol w:w="2089"/>
              <w:gridCol w:w="1863"/>
              <w:gridCol w:w="1416"/>
            </w:tblGrid>
            <w:tr>
              <w:tblPrEx>
                <w:tblW w:w="4949"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90"/>
                <w:jc w:val="center"/>
              </w:trPr>
              <w:tc>
                <w:tcPr>
                  <w:tcW w:w="3263" w:type="dxa"/>
                  <w:vMerge w:val="restart"/>
                  <w:vAlign w:val="center"/>
                </w:tcPr>
                <w:p>
                  <w:pPr>
                    <w:adjustRightInd w:val="0"/>
                    <w:snapToGrid w:val="0"/>
                    <w:spacing w:line="320" w:lineRule="exact"/>
                    <w:jc w:val="center"/>
                    <w:rPr>
                      <w:b/>
                      <w:bCs/>
                      <w:szCs w:val="21"/>
                    </w:rPr>
                  </w:pPr>
                  <w:r>
                    <w:rPr>
                      <w:rFonts w:hint="eastAsia"/>
                      <w:b/>
                      <w:bCs/>
                      <w:szCs w:val="21"/>
                      <w:lang w:bidi="ar"/>
                    </w:rPr>
                    <w:t>道路名称</w:t>
                  </w:r>
                </w:p>
              </w:tc>
              <w:tc>
                <w:tcPr>
                  <w:tcW w:w="4939" w:type="dxa"/>
                  <w:gridSpan w:val="3"/>
                  <w:vAlign w:val="center"/>
                </w:tcPr>
                <w:p>
                  <w:pPr>
                    <w:adjustRightInd w:val="0"/>
                    <w:snapToGrid w:val="0"/>
                    <w:spacing w:line="320" w:lineRule="exact"/>
                    <w:jc w:val="center"/>
                    <w:rPr>
                      <w:b/>
                      <w:bCs/>
                      <w:szCs w:val="21"/>
                    </w:rPr>
                  </w:pPr>
                  <w:r>
                    <w:rPr>
                      <w:rFonts w:hint="eastAsia"/>
                      <w:b/>
                      <w:bCs/>
                      <w:szCs w:val="21"/>
                      <w:lang w:bidi="ar"/>
                    </w:rPr>
                    <w:t>评价水平年车流量（</w:t>
                  </w:r>
                  <w:r>
                    <w:rPr>
                      <w:b/>
                      <w:bCs/>
                      <w:szCs w:val="21"/>
                      <w:lang w:bidi="ar"/>
                    </w:rPr>
                    <w:t>pcu/d</w:t>
                  </w:r>
                  <w:r>
                    <w:rPr>
                      <w:rFonts w:ascii="宋体" w:hAnsi="宋体" w:cs="宋体" w:hint="eastAsia"/>
                      <w:b/>
                      <w:bCs/>
                      <w:szCs w:val="21"/>
                      <w:lang w:bidi="ar"/>
                    </w:rPr>
                    <w:t>）</w:t>
                  </w:r>
                </w:p>
              </w:tc>
            </w:tr>
            <w:tr>
              <w:tblPrEx>
                <w:tblW w:w="4949" w:type="pct"/>
                <w:jc w:val="center"/>
                <w:tblCellMar>
                  <w:top w:w="0" w:type="dxa"/>
                  <w:left w:w="108" w:type="dxa"/>
                  <w:bottom w:w="0" w:type="dxa"/>
                  <w:right w:w="108" w:type="dxa"/>
                </w:tblCellMar>
              </w:tblPrEx>
              <w:trPr>
                <w:trHeight w:val="90"/>
                <w:jc w:val="center"/>
              </w:trPr>
              <w:tc>
                <w:tcPr>
                  <w:tcW w:w="3263" w:type="dxa"/>
                  <w:vMerge/>
                  <w:vAlign w:val="center"/>
                </w:tcPr>
                <w:p>
                  <w:pPr>
                    <w:adjustRightInd w:val="0"/>
                    <w:snapToGrid w:val="0"/>
                    <w:spacing w:line="320" w:lineRule="exact"/>
                    <w:jc w:val="center"/>
                    <w:rPr>
                      <w:b/>
                      <w:bCs/>
                      <w:szCs w:val="21"/>
                    </w:rPr>
                  </w:pPr>
                </w:p>
              </w:tc>
              <w:tc>
                <w:tcPr>
                  <w:tcW w:w="1922" w:type="dxa"/>
                  <w:vAlign w:val="center"/>
                </w:tcPr>
                <w:p>
                  <w:pPr>
                    <w:adjustRightInd w:val="0"/>
                    <w:snapToGrid w:val="0"/>
                    <w:spacing w:line="320" w:lineRule="exact"/>
                    <w:jc w:val="center"/>
                    <w:rPr>
                      <w:b/>
                      <w:bCs/>
                      <w:szCs w:val="21"/>
                    </w:rPr>
                  </w:pPr>
                  <w:r>
                    <w:rPr>
                      <w:rFonts w:hint="eastAsia"/>
                      <w:b/>
                      <w:bCs/>
                      <w:szCs w:val="21"/>
                    </w:rPr>
                    <w:t>20</w:t>
                  </w:r>
                  <w:r>
                    <w:rPr>
                      <w:b/>
                      <w:bCs/>
                      <w:szCs w:val="21"/>
                    </w:rPr>
                    <w:t>24</w:t>
                  </w:r>
                  <w:r>
                    <w:rPr>
                      <w:rFonts w:hint="eastAsia"/>
                      <w:b/>
                      <w:bCs/>
                      <w:szCs w:val="21"/>
                    </w:rPr>
                    <w:t>年</w:t>
                  </w:r>
                </w:p>
              </w:tc>
              <w:tc>
                <w:tcPr>
                  <w:tcW w:w="1714" w:type="dxa"/>
                  <w:tcMar>
                    <w:left w:w="57" w:type="dxa"/>
                    <w:right w:w="57" w:type="dxa"/>
                  </w:tcMar>
                  <w:vAlign w:val="center"/>
                </w:tcPr>
                <w:p>
                  <w:pPr>
                    <w:adjustRightInd w:val="0"/>
                    <w:snapToGrid w:val="0"/>
                    <w:spacing w:line="320" w:lineRule="exact"/>
                    <w:jc w:val="center"/>
                    <w:rPr>
                      <w:b/>
                      <w:bCs/>
                      <w:szCs w:val="21"/>
                    </w:rPr>
                  </w:pPr>
                  <w:r>
                    <w:rPr>
                      <w:rFonts w:hint="eastAsia"/>
                      <w:b/>
                      <w:bCs/>
                      <w:szCs w:val="21"/>
                    </w:rPr>
                    <w:t>2030年</w:t>
                  </w:r>
                </w:p>
              </w:tc>
              <w:tc>
                <w:tcPr>
                  <w:tcW w:w="1303" w:type="dxa"/>
                  <w:vAlign w:val="center"/>
                </w:tcPr>
                <w:p>
                  <w:pPr>
                    <w:adjustRightInd w:val="0"/>
                    <w:snapToGrid w:val="0"/>
                    <w:spacing w:line="320" w:lineRule="exact"/>
                    <w:jc w:val="center"/>
                    <w:rPr>
                      <w:b/>
                      <w:bCs/>
                      <w:szCs w:val="21"/>
                    </w:rPr>
                  </w:pPr>
                  <w:r>
                    <w:rPr>
                      <w:rFonts w:hint="eastAsia"/>
                      <w:b/>
                      <w:bCs/>
                      <w:szCs w:val="21"/>
                    </w:rPr>
                    <w:t>2038年</w:t>
                  </w:r>
                </w:p>
              </w:tc>
            </w:tr>
            <w:tr>
              <w:tblPrEx>
                <w:tblW w:w="4949" w:type="pct"/>
                <w:jc w:val="center"/>
                <w:tblCellMar>
                  <w:top w:w="0" w:type="dxa"/>
                  <w:left w:w="108" w:type="dxa"/>
                  <w:bottom w:w="0" w:type="dxa"/>
                  <w:right w:w="108" w:type="dxa"/>
                </w:tblCellMar>
              </w:tblPrEx>
              <w:trPr>
                <w:trHeight w:val="90"/>
                <w:jc w:val="center"/>
              </w:trPr>
              <w:tc>
                <w:tcPr>
                  <w:tcW w:w="3263" w:type="dxa"/>
                  <w:vAlign w:val="center"/>
                </w:tcPr>
                <w:p>
                  <w:pPr>
                    <w:adjustRightInd w:val="0"/>
                    <w:snapToGrid w:val="0"/>
                    <w:spacing w:line="320" w:lineRule="exact"/>
                    <w:jc w:val="center"/>
                    <w:rPr>
                      <w:szCs w:val="21"/>
                    </w:rPr>
                  </w:pPr>
                  <w:r>
                    <w:rPr>
                      <w:rFonts w:hint="eastAsia"/>
                      <w:szCs w:val="21"/>
                    </w:rPr>
                    <w:t>田湾路</w:t>
                  </w:r>
                </w:p>
              </w:tc>
              <w:tc>
                <w:tcPr>
                  <w:tcW w:w="1922" w:type="dxa"/>
                  <w:vAlign w:val="center"/>
                </w:tcPr>
                <w:p>
                  <w:pPr>
                    <w:adjustRightInd w:val="0"/>
                    <w:snapToGrid w:val="0"/>
                    <w:spacing w:line="320" w:lineRule="exact"/>
                    <w:jc w:val="center"/>
                    <w:rPr>
                      <w:szCs w:val="21"/>
                    </w:rPr>
                  </w:pPr>
                  <w:r>
                    <w:rPr>
                      <w:szCs w:val="21"/>
                    </w:rPr>
                    <w:t>2100</w:t>
                  </w:r>
                </w:p>
              </w:tc>
              <w:tc>
                <w:tcPr>
                  <w:tcW w:w="1714" w:type="dxa"/>
                  <w:tcMar>
                    <w:left w:w="57" w:type="dxa"/>
                    <w:right w:w="57" w:type="dxa"/>
                  </w:tcMar>
                  <w:vAlign w:val="center"/>
                </w:tcPr>
                <w:p>
                  <w:pPr>
                    <w:adjustRightInd w:val="0"/>
                    <w:snapToGrid w:val="0"/>
                    <w:spacing w:line="320" w:lineRule="exact"/>
                    <w:jc w:val="center"/>
                    <w:rPr>
                      <w:szCs w:val="21"/>
                    </w:rPr>
                  </w:pPr>
                  <w:r>
                    <w:rPr>
                      <w:szCs w:val="21"/>
                    </w:rPr>
                    <w:t>3600</w:t>
                  </w:r>
                </w:p>
              </w:tc>
              <w:tc>
                <w:tcPr>
                  <w:tcW w:w="1303" w:type="dxa"/>
                  <w:vAlign w:val="center"/>
                </w:tcPr>
                <w:p>
                  <w:pPr>
                    <w:adjustRightInd w:val="0"/>
                    <w:snapToGrid w:val="0"/>
                    <w:spacing w:line="320" w:lineRule="exact"/>
                    <w:jc w:val="center"/>
                    <w:rPr>
                      <w:szCs w:val="21"/>
                    </w:rPr>
                  </w:pPr>
                  <w:r>
                    <w:rPr>
                      <w:szCs w:val="21"/>
                    </w:rPr>
                    <w:t>5000</w:t>
                  </w:r>
                </w:p>
              </w:tc>
            </w:tr>
          </w:tbl>
          <w:p>
            <w:pPr>
              <w:pStyle w:val="003"/>
              <w:ind w:firstLine="422"/>
              <w:rPr>
                <w:color w:val="auto"/>
              </w:rPr>
            </w:pPr>
            <w:r>
              <w:rPr>
                <w:rFonts w:hint="eastAsia"/>
                <w:b/>
                <w:bCs/>
                <w:color w:val="auto"/>
              </w:rPr>
              <w:t>折算系数：</w:t>
            </w:r>
            <w:r>
              <w:rPr>
                <w:rFonts w:hint="eastAsia"/>
                <w:color w:val="auto"/>
              </w:rPr>
              <w:t>车型分类及其折算小客车的系数见下表。</w:t>
            </w:r>
          </w:p>
          <w:p>
            <w:pPr>
              <w:pStyle w:val="021"/>
            </w:pPr>
            <w:r>
              <w:rPr>
                <w:rFonts w:hint="eastAsia"/>
              </w:rPr>
              <w:t>表2-</w:t>
            </w:r>
            <w:r>
              <w:t xml:space="preserve">5  </w:t>
            </w:r>
            <w:r>
              <w:rPr>
                <w:rFonts w:hint="eastAsia"/>
              </w:rPr>
              <w:t>各种类型车辆的折算系数一览表</w:t>
            </w:r>
          </w:p>
          <w:tbl>
            <w:tblPr>
              <w:tblStyle w:val="TableGrid0"/>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765"/>
              <w:gridCol w:w="1845"/>
              <w:gridCol w:w="1845"/>
              <w:gridCol w:w="4552"/>
            </w:tblGrid>
            <w:tr>
              <w:tblPrEx>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70"/>
              </w:trPr>
              <w:tc>
                <w:tcPr>
                  <w:tcW w:w="425" w:type="pct"/>
                  <w:vAlign w:val="center"/>
                </w:tcPr>
                <w:p>
                  <w:pPr>
                    <w:pStyle w:val="06"/>
                  </w:pPr>
                  <w:r>
                    <w:t>车型</w:t>
                  </w:r>
                </w:p>
              </w:tc>
              <w:tc>
                <w:tcPr>
                  <w:tcW w:w="1024" w:type="pct"/>
                  <w:vAlign w:val="center"/>
                </w:tcPr>
                <w:p>
                  <w:pPr>
                    <w:pStyle w:val="06"/>
                  </w:pPr>
                  <w:r>
                    <w:t>汽车代表车型</w:t>
                  </w:r>
                </w:p>
              </w:tc>
              <w:tc>
                <w:tcPr>
                  <w:tcW w:w="1024" w:type="pct"/>
                  <w:vAlign w:val="center"/>
                </w:tcPr>
                <w:p>
                  <w:pPr>
                    <w:pStyle w:val="06"/>
                  </w:pPr>
                  <w:r>
                    <w:t>车辆折算系数</w:t>
                  </w:r>
                </w:p>
              </w:tc>
              <w:tc>
                <w:tcPr>
                  <w:tcW w:w="2527" w:type="pct"/>
                  <w:vAlign w:val="center"/>
                </w:tcPr>
                <w:p>
                  <w:pPr>
                    <w:pStyle w:val="06"/>
                  </w:pPr>
                  <w:r>
                    <w:t>车型划分标准</w:t>
                  </w:r>
                </w:p>
              </w:tc>
            </w:tr>
            <w:tr>
              <w:tblPrEx>
                <w:tblW w:w="5000" w:type="pct"/>
                <w:tblInd w:w="0" w:type="dxa"/>
                <w:tblCellMar>
                  <w:top w:w="0" w:type="dxa"/>
                  <w:left w:w="108" w:type="dxa"/>
                  <w:bottom w:w="0" w:type="dxa"/>
                  <w:right w:w="108" w:type="dxa"/>
                </w:tblCellMar>
              </w:tblPrEx>
              <w:tc>
                <w:tcPr>
                  <w:tcW w:w="425" w:type="pct"/>
                  <w:vAlign w:val="center"/>
                </w:tcPr>
                <w:p>
                  <w:pPr>
                    <w:pStyle w:val="06"/>
                  </w:pPr>
                  <w:r>
                    <w:t>小</w:t>
                  </w:r>
                </w:p>
              </w:tc>
              <w:tc>
                <w:tcPr>
                  <w:tcW w:w="1024" w:type="pct"/>
                  <w:vAlign w:val="center"/>
                </w:tcPr>
                <w:p>
                  <w:pPr>
                    <w:pStyle w:val="06"/>
                  </w:pPr>
                  <w:r>
                    <w:t>小客车</w:t>
                  </w:r>
                </w:p>
              </w:tc>
              <w:tc>
                <w:tcPr>
                  <w:tcW w:w="1024" w:type="pct"/>
                  <w:vAlign w:val="center"/>
                </w:tcPr>
                <w:p>
                  <w:pPr>
                    <w:pStyle w:val="06"/>
                  </w:pPr>
                  <w:r>
                    <w:t>1.0</w:t>
                  </w:r>
                </w:p>
              </w:tc>
              <w:tc>
                <w:tcPr>
                  <w:tcW w:w="2527" w:type="pct"/>
                  <w:vAlign w:val="center"/>
                </w:tcPr>
                <w:p>
                  <w:pPr>
                    <w:pStyle w:val="06"/>
                  </w:pPr>
                  <w:r>
                    <w:t>座位≤19座的客车</w:t>
                  </w:r>
                  <w:r>
                    <w:rPr>
                      <w:rFonts w:hint="eastAsia"/>
                    </w:rPr>
                    <w:t>荷载</w:t>
                  </w:r>
                  <w:r>
                    <w:t>质量≤2t货车</w:t>
                  </w:r>
                </w:p>
              </w:tc>
            </w:tr>
            <w:tr>
              <w:tblPrEx>
                <w:tblW w:w="5000" w:type="pct"/>
                <w:tblInd w:w="0" w:type="dxa"/>
                <w:tblCellMar>
                  <w:top w:w="0" w:type="dxa"/>
                  <w:left w:w="108" w:type="dxa"/>
                  <w:bottom w:w="0" w:type="dxa"/>
                  <w:right w:w="108" w:type="dxa"/>
                </w:tblCellMar>
              </w:tblPrEx>
              <w:trPr>
                <w:trHeight w:val="70"/>
              </w:trPr>
              <w:tc>
                <w:tcPr>
                  <w:tcW w:w="425" w:type="pct"/>
                  <w:vAlign w:val="center"/>
                </w:tcPr>
                <w:p>
                  <w:pPr>
                    <w:pStyle w:val="06"/>
                  </w:pPr>
                  <w:r>
                    <w:t>中</w:t>
                  </w:r>
                </w:p>
              </w:tc>
              <w:tc>
                <w:tcPr>
                  <w:tcW w:w="1024" w:type="pct"/>
                  <w:vAlign w:val="center"/>
                </w:tcPr>
                <w:p>
                  <w:pPr>
                    <w:pStyle w:val="06"/>
                  </w:pPr>
                  <w:r>
                    <w:t>中型车</w:t>
                  </w:r>
                </w:p>
              </w:tc>
              <w:tc>
                <w:tcPr>
                  <w:tcW w:w="1024" w:type="pct"/>
                  <w:vAlign w:val="center"/>
                </w:tcPr>
                <w:p>
                  <w:pPr>
                    <w:pStyle w:val="06"/>
                  </w:pPr>
                  <w:r>
                    <w:t>1.5</w:t>
                  </w:r>
                </w:p>
              </w:tc>
              <w:tc>
                <w:tcPr>
                  <w:tcW w:w="2527" w:type="pct"/>
                  <w:vAlign w:val="center"/>
                </w:tcPr>
                <w:p>
                  <w:pPr>
                    <w:pStyle w:val="06"/>
                  </w:pPr>
                  <w:r>
                    <w:t>座位＞19座的客车和2t＜载质量≤7t货车</w:t>
                  </w:r>
                </w:p>
              </w:tc>
            </w:tr>
            <w:tr>
              <w:tblPrEx>
                <w:tblW w:w="5000" w:type="pct"/>
                <w:tblInd w:w="0" w:type="dxa"/>
                <w:tblCellMar>
                  <w:top w:w="0" w:type="dxa"/>
                  <w:left w:w="108" w:type="dxa"/>
                  <w:bottom w:w="0" w:type="dxa"/>
                  <w:right w:w="108" w:type="dxa"/>
                </w:tblCellMar>
              </w:tblPrEx>
              <w:tc>
                <w:tcPr>
                  <w:tcW w:w="425" w:type="pct"/>
                  <w:vMerge w:val="restart"/>
                  <w:vAlign w:val="center"/>
                </w:tcPr>
                <w:p>
                  <w:pPr>
                    <w:pStyle w:val="06"/>
                  </w:pPr>
                  <w:r>
                    <w:t>大</w:t>
                  </w:r>
                </w:p>
              </w:tc>
              <w:tc>
                <w:tcPr>
                  <w:tcW w:w="1024" w:type="pct"/>
                  <w:vAlign w:val="center"/>
                </w:tcPr>
                <w:p>
                  <w:pPr>
                    <w:pStyle w:val="06"/>
                  </w:pPr>
                  <w:r>
                    <w:t>大型车</w:t>
                  </w:r>
                </w:p>
              </w:tc>
              <w:tc>
                <w:tcPr>
                  <w:tcW w:w="1024" w:type="pct"/>
                  <w:vAlign w:val="center"/>
                </w:tcPr>
                <w:p>
                  <w:pPr>
                    <w:pStyle w:val="06"/>
                  </w:pPr>
                  <w:r>
                    <w:t>2.5</w:t>
                  </w:r>
                </w:p>
              </w:tc>
              <w:tc>
                <w:tcPr>
                  <w:tcW w:w="2527" w:type="pct"/>
                  <w:vAlign w:val="center"/>
                </w:tcPr>
                <w:p>
                  <w:pPr>
                    <w:pStyle w:val="06"/>
                  </w:pPr>
                  <w:r>
                    <w:t>7t＜载质量≤20t货车</w:t>
                  </w:r>
                </w:p>
              </w:tc>
            </w:tr>
            <w:tr>
              <w:tblPrEx>
                <w:tblW w:w="5000" w:type="pct"/>
                <w:tblInd w:w="0" w:type="dxa"/>
                <w:tblCellMar>
                  <w:top w:w="0" w:type="dxa"/>
                  <w:left w:w="108" w:type="dxa"/>
                  <w:bottom w:w="0" w:type="dxa"/>
                  <w:right w:w="108" w:type="dxa"/>
                </w:tblCellMar>
              </w:tblPrEx>
              <w:trPr>
                <w:trHeight w:val="70"/>
              </w:trPr>
              <w:tc>
                <w:tcPr>
                  <w:tcW w:w="425" w:type="pct"/>
                  <w:vMerge/>
                  <w:vAlign w:val="center"/>
                </w:tcPr>
                <w:p>
                  <w:pPr>
                    <w:pStyle w:val="06"/>
                  </w:pPr>
                </w:p>
              </w:tc>
              <w:tc>
                <w:tcPr>
                  <w:tcW w:w="1024" w:type="pct"/>
                  <w:vAlign w:val="center"/>
                </w:tcPr>
                <w:p>
                  <w:pPr>
                    <w:pStyle w:val="06"/>
                  </w:pPr>
                  <w:r>
                    <w:t>汽车列车</w:t>
                  </w:r>
                </w:p>
              </w:tc>
              <w:tc>
                <w:tcPr>
                  <w:tcW w:w="1024" w:type="pct"/>
                  <w:vAlign w:val="center"/>
                </w:tcPr>
                <w:p>
                  <w:pPr>
                    <w:pStyle w:val="06"/>
                  </w:pPr>
                  <w:r>
                    <w:t>4.0</w:t>
                  </w:r>
                </w:p>
              </w:tc>
              <w:tc>
                <w:tcPr>
                  <w:tcW w:w="2527" w:type="pct"/>
                  <w:vAlign w:val="center"/>
                </w:tcPr>
                <w:p>
                  <w:pPr>
                    <w:pStyle w:val="06"/>
                  </w:pPr>
                  <w:r>
                    <w:t>载质量＞20t的货车</w:t>
                  </w:r>
                </w:p>
              </w:tc>
            </w:tr>
          </w:tbl>
          <w:p>
            <w:pPr>
              <w:pStyle w:val="003"/>
              <w:ind w:firstLine="422"/>
              <w:rPr>
                <w:color w:val="auto"/>
              </w:rPr>
            </w:pPr>
            <w:r>
              <w:rPr>
                <w:rFonts w:hint="eastAsia"/>
                <w:b/>
                <w:bCs/>
                <w:color w:val="auto"/>
              </w:rPr>
              <w:t>小时车流量：</w:t>
            </w:r>
            <w:r>
              <w:rPr>
                <w:rFonts w:hint="eastAsia"/>
                <w:color w:val="auto"/>
              </w:rPr>
              <w:t>按上述各预测年的交通量、车型比和昼夜比系数，可推算出本项目绝对车流量（辆/小时），见下表。</w:t>
            </w:r>
          </w:p>
          <w:p>
            <w:pPr>
              <w:pStyle w:val="021"/>
              <w:rPr>
                <w:lang w:bidi="ar"/>
              </w:rPr>
            </w:pPr>
            <w:r>
              <w:rPr>
                <w:rFonts w:hint="eastAsia"/>
                <w:lang w:bidi="ar"/>
              </w:rPr>
              <w:t>表</w:t>
            </w:r>
            <w:r>
              <w:rPr>
                <w:lang w:bidi="ar"/>
              </w:rPr>
              <w:t>2</w:t>
            </w:r>
            <w:r>
              <w:rPr>
                <w:rFonts w:hint="eastAsia"/>
                <w:lang w:bidi="ar"/>
              </w:rPr>
              <w:t>-</w:t>
            </w:r>
            <w:r>
              <w:rPr>
                <w:lang w:bidi="ar"/>
              </w:rPr>
              <w:t xml:space="preserve">6  </w:t>
            </w:r>
            <w:r>
              <w:rPr>
                <w:rFonts w:hint="eastAsia"/>
                <w:lang w:bidi="ar"/>
              </w:rPr>
              <w:t>道路车流量（辆</w:t>
            </w:r>
            <w:r>
              <w:rPr>
                <w:lang w:bidi="ar"/>
              </w:rPr>
              <w:t>/</w:t>
            </w:r>
            <w:r>
              <w:rPr>
                <w:rFonts w:hint="eastAsia"/>
                <w:lang w:bidi="ar"/>
              </w:rPr>
              <w:t>小时）</w:t>
            </w:r>
          </w:p>
          <w:tbl>
            <w:tblPr>
              <w:tblStyle w:val="TableNormal"/>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232"/>
              <w:gridCol w:w="766"/>
              <w:gridCol w:w="1230"/>
              <w:gridCol w:w="1079"/>
              <w:gridCol w:w="1077"/>
              <w:gridCol w:w="1232"/>
              <w:gridCol w:w="1075"/>
              <w:gridCol w:w="1316"/>
            </w:tblGrid>
            <w:tr>
              <w:tblPrEx>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170"/>
              </w:trPr>
              <w:tc>
                <w:tcPr>
                  <w:tcW w:w="684" w:type="pct"/>
                  <w:vMerge w:val="restart"/>
                  <w:shd w:val="clear" w:color="auto" w:fill="auto"/>
                  <w:vAlign w:val="center"/>
                </w:tcPr>
                <w:p>
                  <w:pPr>
                    <w:pStyle w:val="06"/>
                  </w:pPr>
                  <w:r>
                    <w:rPr>
                      <w:rFonts w:hint="eastAsia"/>
                    </w:rPr>
                    <w:t>路段名称</w:t>
                  </w:r>
                </w:p>
              </w:tc>
              <w:tc>
                <w:tcPr>
                  <w:tcW w:w="425" w:type="pct"/>
                  <w:vMerge w:val="restart"/>
                  <w:vAlign w:val="center"/>
                </w:tcPr>
                <w:p>
                  <w:pPr>
                    <w:pStyle w:val="06"/>
                  </w:pPr>
                  <w:r>
                    <w:rPr>
                      <w:rFonts w:hint="eastAsia"/>
                    </w:rPr>
                    <w:t>车型</w:t>
                  </w:r>
                </w:p>
              </w:tc>
              <w:tc>
                <w:tcPr>
                  <w:tcW w:w="1282" w:type="pct"/>
                  <w:gridSpan w:val="2"/>
                  <w:shd w:val="clear" w:color="auto" w:fill="auto"/>
                  <w:vAlign w:val="center"/>
                </w:tcPr>
                <w:p>
                  <w:pPr>
                    <w:pStyle w:val="06"/>
                  </w:pPr>
                  <w:r>
                    <w:rPr>
                      <w:rFonts w:hint="eastAsia"/>
                    </w:rPr>
                    <w:t>2</w:t>
                  </w:r>
                  <w:r>
                    <w:t>024</w:t>
                  </w:r>
                  <w:r>
                    <w:rPr>
                      <w:rFonts w:hint="eastAsia"/>
                    </w:rPr>
                    <w:t>年</w:t>
                  </w:r>
                </w:p>
              </w:tc>
              <w:tc>
                <w:tcPr>
                  <w:tcW w:w="1282" w:type="pct"/>
                  <w:gridSpan w:val="2"/>
                  <w:shd w:val="clear" w:color="auto" w:fill="auto"/>
                  <w:vAlign w:val="center"/>
                </w:tcPr>
                <w:p>
                  <w:pPr>
                    <w:pStyle w:val="06"/>
                  </w:pPr>
                  <w:r>
                    <w:rPr>
                      <w:rFonts w:hint="eastAsia"/>
                    </w:rPr>
                    <w:t>2</w:t>
                  </w:r>
                  <w:r>
                    <w:t>030</w:t>
                  </w:r>
                  <w:r>
                    <w:rPr>
                      <w:rFonts w:hint="eastAsia"/>
                    </w:rPr>
                    <w:t>年</w:t>
                  </w:r>
                </w:p>
              </w:tc>
              <w:tc>
                <w:tcPr>
                  <w:tcW w:w="1327" w:type="pct"/>
                  <w:gridSpan w:val="2"/>
                  <w:shd w:val="clear" w:color="auto" w:fill="auto"/>
                  <w:vAlign w:val="center"/>
                </w:tcPr>
                <w:p>
                  <w:pPr>
                    <w:pStyle w:val="06"/>
                  </w:pPr>
                  <w:r>
                    <w:rPr>
                      <w:rFonts w:hint="eastAsia"/>
                    </w:rPr>
                    <w:t>2</w:t>
                  </w:r>
                  <w:r>
                    <w:t>038</w:t>
                  </w:r>
                  <w:r>
                    <w:rPr>
                      <w:rFonts w:hint="eastAsia"/>
                    </w:rPr>
                    <w:t>年</w:t>
                  </w:r>
                </w:p>
              </w:tc>
            </w:tr>
            <w:tr>
              <w:tblPrEx>
                <w:tblW w:w="5000" w:type="pct"/>
                <w:tblInd w:w="0" w:type="dxa"/>
                <w:tblCellMar>
                  <w:top w:w="0" w:type="dxa"/>
                  <w:left w:w="108" w:type="dxa"/>
                  <w:bottom w:w="0" w:type="dxa"/>
                  <w:right w:w="108" w:type="dxa"/>
                </w:tblCellMar>
              </w:tblPrEx>
              <w:trPr>
                <w:trHeight w:val="170"/>
              </w:trPr>
              <w:tc>
                <w:tcPr>
                  <w:tcW w:w="684" w:type="pct"/>
                  <w:vMerge/>
                  <w:shd w:val="clear" w:color="auto" w:fill="auto"/>
                  <w:vAlign w:val="center"/>
                </w:tcPr>
                <w:p>
                  <w:pPr>
                    <w:pStyle w:val="06"/>
                  </w:pPr>
                </w:p>
              </w:tc>
              <w:tc>
                <w:tcPr>
                  <w:tcW w:w="425" w:type="pct"/>
                  <w:vMerge/>
                  <w:vAlign w:val="center"/>
                </w:tcPr>
                <w:p>
                  <w:pPr>
                    <w:pStyle w:val="06"/>
                  </w:pPr>
                </w:p>
              </w:tc>
              <w:tc>
                <w:tcPr>
                  <w:tcW w:w="683" w:type="pct"/>
                  <w:shd w:val="clear" w:color="auto" w:fill="auto"/>
                  <w:vAlign w:val="center"/>
                </w:tcPr>
                <w:p>
                  <w:pPr>
                    <w:pStyle w:val="06"/>
                  </w:pPr>
                  <w:r>
                    <w:rPr>
                      <w:rFonts w:hint="eastAsia"/>
                    </w:rPr>
                    <w:t>昼间</w:t>
                  </w:r>
                </w:p>
              </w:tc>
              <w:tc>
                <w:tcPr>
                  <w:tcW w:w="599" w:type="pct"/>
                  <w:shd w:val="clear" w:color="auto" w:fill="auto"/>
                  <w:vAlign w:val="center"/>
                </w:tcPr>
                <w:p>
                  <w:pPr>
                    <w:pStyle w:val="06"/>
                  </w:pPr>
                  <w:r>
                    <w:rPr>
                      <w:rFonts w:hint="eastAsia"/>
                    </w:rPr>
                    <w:t>夜间</w:t>
                  </w:r>
                </w:p>
              </w:tc>
              <w:tc>
                <w:tcPr>
                  <w:tcW w:w="598" w:type="pct"/>
                  <w:shd w:val="clear" w:color="auto" w:fill="auto"/>
                  <w:vAlign w:val="center"/>
                </w:tcPr>
                <w:p>
                  <w:pPr>
                    <w:pStyle w:val="06"/>
                    <w:rPr>
                      <w:rFonts w:eastAsia="等线"/>
                      <w:sz w:val="22"/>
                    </w:rPr>
                  </w:pPr>
                  <w:r>
                    <w:rPr>
                      <w:rFonts w:hint="eastAsia"/>
                    </w:rPr>
                    <w:t>昼间</w:t>
                  </w:r>
                </w:p>
              </w:tc>
              <w:tc>
                <w:tcPr>
                  <w:tcW w:w="684" w:type="pct"/>
                  <w:shd w:val="clear" w:color="auto" w:fill="auto"/>
                  <w:vAlign w:val="center"/>
                </w:tcPr>
                <w:p>
                  <w:pPr>
                    <w:pStyle w:val="06"/>
                    <w:rPr>
                      <w:rFonts w:eastAsia="等线"/>
                      <w:sz w:val="22"/>
                    </w:rPr>
                  </w:pPr>
                  <w:r>
                    <w:rPr>
                      <w:rFonts w:hint="eastAsia"/>
                    </w:rPr>
                    <w:t>夜间</w:t>
                  </w:r>
                </w:p>
              </w:tc>
              <w:tc>
                <w:tcPr>
                  <w:tcW w:w="597" w:type="pct"/>
                  <w:shd w:val="clear" w:color="auto" w:fill="auto"/>
                  <w:vAlign w:val="center"/>
                </w:tcPr>
                <w:p>
                  <w:pPr>
                    <w:pStyle w:val="06"/>
                    <w:rPr>
                      <w:rFonts w:eastAsia="等线"/>
                      <w:sz w:val="22"/>
                    </w:rPr>
                  </w:pPr>
                  <w:r>
                    <w:rPr>
                      <w:rFonts w:hint="eastAsia"/>
                    </w:rPr>
                    <w:t>昼间</w:t>
                  </w:r>
                </w:p>
              </w:tc>
              <w:tc>
                <w:tcPr>
                  <w:tcW w:w="730" w:type="pct"/>
                  <w:shd w:val="clear" w:color="auto" w:fill="auto"/>
                  <w:vAlign w:val="center"/>
                </w:tcPr>
                <w:p>
                  <w:pPr>
                    <w:pStyle w:val="06"/>
                    <w:rPr>
                      <w:rFonts w:eastAsia="等线"/>
                      <w:sz w:val="22"/>
                    </w:rPr>
                  </w:pPr>
                  <w:r>
                    <w:rPr>
                      <w:rFonts w:hint="eastAsia"/>
                    </w:rPr>
                    <w:t>夜间</w:t>
                  </w:r>
                </w:p>
              </w:tc>
            </w:tr>
            <w:tr>
              <w:tblPrEx>
                <w:tblW w:w="5000" w:type="pct"/>
                <w:tblInd w:w="0" w:type="dxa"/>
                <w:tblCellMar>
                  <w:top w:w="0" w:type="dxa"/>
                  <w:left w:w="108" w:type="dxa"/>
                  <w:bottom w:w="0" w:type="dxa"/>
                  <w:right w:w="108" w:type="dxa"/>
                </w:tblCellMar>
              </w:tblPrEx>
              <w:trPr>
                <w:trHeight w:val="170"/>
              </w:trPr>
              <w:tc>
                <w:tcPr>
                  <w:tcW w:w="684" w:type="pct"/>
                  <w:vMerge w:val="restart"/>
                  <w:shd w:val="clear" w:color="auto" w:fill="auto"/>
                  <w:vAlign w:val="center"/>
                </w:tcPr>
                <w:p>
                  <w:pPr>
                    <w:pStyle w:val="06"/>
                  </w:pPr>
                  <w:r>
                    <w:rPr>
                      <w:rFonts w:hint="eastAsia"/>
                    </w:rPr>
                    <w:t>田湾路</w:t>
                  </w:r>
                </w:p>
              </w:tc>
              <w:tc>
                <w:tcPr>
                  <w:tcW w:w="425" w:type="pct"/>
                  <w:vAlign w:val="center"/>
                </w:tcPr>
                <w:p>
                  <w:pPr>
                    <w:pStyle w:val="06"/>
                  </w:pPr>
                  <w:r>
                    <w:rPr>
                      <w:rFonts w:hint="eastAsia"/>
                    </w:rPr>
                    <w:t>小车</w:t>
                  </w:r>
                </w:p>
              </w:tc>
              <w:tc>
                <w:tcPr>
                  <w:tcW w:w="683" w:type="pct"/>
                  <w:shd w:val="clear" w:color="auto" w:fill="auto"/>
                  <w:vAlign w:val="center"/>
                </w:tcPr>
                <w:p>
                  <w:pPr>
                    <w:pStyle w:val="06"/>
                  </w:pPr>
                  <w:r>
                    <w:rPr>
                      <w:rFonts w:hint="eastAsia"/>
                      <w:sz w:val="22"/>
                      <w:szCs w:val="22"/>
                    </w:rPr>
                    <w:t xml:space="preserve">68 </w:t>
                  </w:r>
                </w:p>
              </w:tc>
              <w:tc>
                <w:tcPr>
                  <w:tcW w:w="599" w:type="pct"/>
                  <w:shd w:val="clear" w:color="auto" w:fill="auto"/>
                  <w:vAlign w:val="center"/>
                </w:tcPr>
                <w:p>
                  <w:pPr>
                    <w:pStyle w:val="06"/>
                  </w:pPr>
                  <w:r>
                    <w:rPr>
                      <w:rFonts w:hint="eastAsia"/>
                      <w:sz w:val="22"/>
                      <w:szCs w:val="22"/>
                    </w:rPr>
                    <w:t xml:space="preserve">23 </w:t>
                  </w:r>
                </w:p>
              </w:tc>
              <w:tc>
                <w:tcPr>
                  <w:tcW w:w="598" w:type="pct"/>
                  <w:shd w:val="clear" w:color="auto" w:fill="auto"/>
                  <w:vAlign w:val="center"/>
                </w:tcPr>
                <w:p>
                  <w:pPr>
                    <w:pStyle w:val="06"/>
                    <w:rPr>
                      <w:rFonts w:eastAsia="等线"/>
                      <w:sz w:val="22"/>
                    </w:rPr>
                  </w:pPr>
                  <w:r>
                    <w:rPr>
                      <w:rFonts w:hint="eastAsia"/>
                      <w:sz w:val="22"/>
                      <w:szCs w:val="22"/>
                    </w:rPr>
                    <w:t xml:space="preserve">125 </w:t>
                  </w:r>
                </w:p>
              </w:tc>
              <w:tc>
                <w:tcPr>
                  <w:tcW w:w="684" w:type="pct"/>
                  <w:shd w:val="clear" w:color="auto" w:fill="auto"/>
                  <w:vAlign w:val="center"/>
                </w:tcPr>
                <w:p>
                  <w:pPr>
                    <w:pStyle w:val="06"/>
                    <w:rPr>
                      <w:rFonts w:eastAsia="等线"/>
                      <w:sz w:val="22"/>
                    </w:rPr>
                  </w:pPr>
                  <w:r>
                    <w:rPr>
                      <w:rFonts w:hint="eastAsia"/>
                      <w:sz w:val="22"/>
                      <w:szCs w:val="22"/>
                    </w:rPr>
                    <w:t xml:space="preserve">42 </w:t>
                  </w:r>
                </w:p>
              </w:tc>
              <w:tc>
                <w:tcPr>
                  <w:tcW w:w="597" w:type="pct"/>
                  <w:shd w:val="clear" w:color="auto" w:fill="auto"/>
                  <w:vAlign w:val="center"/>
                </w:tcPr>
                <w:p>
                  <w:pPr>
                    <w:pStyle w:val="06"/>
                    <w:rPr>
                      <w:rFonts w:eastAsia="等线"/>
                      <w:sz w:val="22"/>
                    </w:rPr>
                  </w:pPr>
                  <w:r>
                    <w:rPr>
                      <w:rFonts w:hint="eastAsia"/>
                      <w:sz w:val="22"/>
                      <w:szCs w:val="22"/>
                    </w:rPr>
                    <w:t xml:space="preserve">188 </w:t>
                  </w:r>
                </w:p>
              </w:tc>
              <w:tc>
                <w:tcPr>
                  <w:tcW w:w="730" w:type="pct"/>
                  <w:shd w:val="clear" w:color="auto" w:fill="auto"/>
                  <w:vAlign w:val="center"/>
                </w:tcPr>
                <w:p>
                  <w:pPr>
                    <w:pStyle w:val="06"/>
                    <w:rPr>
                      <w:rFonts w:eastAsia="等线"/>
                      <w:sz w:val="22"/>
                    </w:rPr>
                  </w:pPr>
                  <w:r>
                    <w:rPr>
                      <w:rFonts w:hint="eastAsia"/>
                      <w:sz w:val="22"/>
                      <w:szCs w:val="22"/>
                    </w:rPr>
                    <w:t xml:space="preserve">63 </w:t>
                  </w:r>
                </w:p>
              </w:tc>
            </w:tr>
            <w:tr>
              <w:tblPrEx>
                <w:tblW w:w="5000" w:type="pct"/>
                <w:tblInd w:w="0" w:type="dxa"/>
                <w:tblCellMar>
                  <w:top w:w="0" w:type="dxa"/>
                  <w:left w:w="108" w:type="dxa"/>
                  <w:bottom w:w="0" w:type="dxa"/>
                  <w:right w:w="108" w:type="dxa"/>
                </w:tblCellMar>
              </w:tblPrEx>
              <w:trPr>
                <w:trHeight w:val="170"/>
              </w:trPr>
              <w:tc>
                <w:tcPr>
                  <w:tcW w:w="684" w:type="pct"/>
                  <w:vMerge/>
                  <w:shd w:val="clear" w:color="auto" w:fill="auto"/>
                  <w:vAlign w:val="center"/>
                </w:tcPr>
                <w:p>
                  <w:pPr>
                    <w:pStyle w:val="06"/>
                  </w:pPr>
                </w:p>
              </w:tc>
              <w:tc>
                <w:tcPr>
                  <w:tcW w:w="425" w:type="pct"/>
                  <w:vAlign w:val="center"/>
                </w:tcPr>
                <w:p>
                  <w:pPr>
                    <w:pStyle w:val="06"/>
                  </w:pPr>
                  <w:r>
                    <w:rPr>
                      <w:rFonts w:hint="eastAsia"/>
                    </w:rPr>
                    <w:t>中车</w:t>
                  </w:r>
                </w:p>
              </w:tc>
              <w:tc>
                <w:tcPr>
                  <w:tcW w:w="683" w:type="pct"/>
                  <w:shd w:val="clear" w:color="auto" w:fill="auto"/>
                  <w:vAlign w:val="center"/>
                </w:tcPr>
                <w:p>
                  <w:pPr>
                    <w:pStyle w:val="06"/>
                  </w:pPr>
                  <w:r>
                    <w:rPr>
                      <w:rFonts w:hint="eastAsia"/>
                      <w:sz w:val="22"/>
                      <w:szCs w:val="22"/>
                    </w:rPr>
                    <w:t xml:space="preserve">19 </w:t>
                  </w:r>
                </w:p>
              </w:tc>
              <w:tc>
                <w:tcPr>
                  <w:tcW w:w="599" w:type="pct"/>
                  <w:shd w:val="clear" w:color="auto" w:fill="auto"/>
                  <w:vAlign w:val="center"/>
                </w:tcPr>
                <w:p>
                  <w:pPr>
                    <w:pStyle w:val="06"/>
                  </w:pPr>
                  <w:r>
                    <w:rPr>
                      <w:rFonts w:hint="eastAsia"/>
                      <w:sz w:val="22"/>
                      <w:szCs w:val="22"/>
                    </w:rPr>
                    <w:t xml:space="preserve">6 </w:t>
                  </w:r>
                </w:p>
              </w:tc>
              <w:tc>
                <w:tcPr>
                  <w:tcW w:w="598" w:type="pct"/>
                  <w:shd w:val="clear" w:color="auto" w:fill="auto"/>
                  <w:vAlign w:val="center"/>
                </w:tcPr>
                <w:p>
                  <w:pPr>
                    <w:pStyle w:val="06"/>
                    <w:rPr>
                      <w:rFonts w:eastAsia="等线"/>
                      <w:sz w:val="22"/>
                    </w:rPr>
                  </w:pPr>
                  <w:r>
                    <w:rPr>
                      <w:rFonts w:hint="eastAsia"/>
                      <w:sz w:val="22"/>
                      <w:szCs w:val="22"/>
                    </w:rPr>
                    <w:t xml:space="preserve">30 </w:t>
                  </w:r>
                </w:p>
              </w:tc>
              <w:tc>
                <w:tcPr>
                  <w:tcW w:w="684" w:type="pct"/>
                  <w:shd w:val="clear" w:color="auto" w:fill="auto"/>
                  <w:vAlign w:val="center"/>
                </w:tcPr>
                <w:p>
                  <w:pPr>
                    <w:pStyle w:val="06"/>
                    <w:rPr>
                      <w:rFonts w:eastAsia="等线"/>
                      <w:sz w:val="22"/>
                    </w:rPr>
                  </w:pPr>
                  <w:r>
                    <w:rPr>
                      <w:rFonts w:hint="eastAsia"/>
                      <w:sz w:val="22"/>
                      <w:szCs w:val="22"/>
                    </w:rPr>
                    <w:t xml:space="preserve">10 </w:t>
                  </w:r>
                </w:p>
              </w:tc>
              <w:tc>
                <w:tcPr>
                  <w:tcW w:w="597" w:type="pct"/>
                  <w:shd w:val="clear" w:color="auto" w:fill="auto"/>
                  <w:vAlign w:val="center"/>
                </w:tcPr>
                <w:p>
                  <w:pPr>
                    <w:pStyle w:val="06"/>
                    <w:rPr>
                      <w:rFonts w:eastAsia="等线"/>
                      <w:sz w:val="22"/>
                    </w:rPr>
                  </w:pPr>
                  <w:r>
                    <w:rPr>
                      <w:rFonts w:hint="eastAsia"/>
                      <w:sz w:val="22"/>
                      <w:szCs w:val="22"/>
                    </w:rPr>
                    <w:t xml:space="preserve">36 </w:t>
                  </w:r>
                </w:p>
              </w:tc>
              <w:tc>
                <w:tcPr>
                  <w:tcW w:w="730" w:type="pct"/>
                  <w:shd w:val="clear" w:color="auto" w:fill="auto"/>
                  <w:vAlign w:val="center"/>
                </w:tcPr>
                <w:p>
                  <w:pPr>
                    <w:pStyle w:val="06"/>
                    <w:rPr>
                      <w:rFonts w:eastAsia="等线"/>
                      <w:sz w:val="22"/>
                    </w:rPr>
                  </w:pPr>
                  <w:r>
                    <w:rPr>
                      <w:rFonts w:hint="eastAsia"/>
                      <w:sz w:val="22"/>
                      <w:szCs w:val="22"/>
                    </w:rPr>
                    <w:t xml:space="preserve">12 </w:t>
                  </w:r>
                </w:p>
              </w:tc>
            </w:tr>
            <w:tr>
              <w:tblPrEx>
                <w:tblW w:w="5000" w:type="pct"/>
                <w:tblInd w:w="0" w:type="dxa"/>
                <w:tblCellMar>
                  <w:top w:w="0" w:type="dxa"/>
                  <w:left w:w="108" w:type="dxa"/>
                  <w:bottom w:w="0" w:type="dxa"/>
                  <w:right w:w="108" w:type="dxa"/>
                </w:tblCellMar>
              </w:tblPrEx>
              <w:trPr>
                <w:trHeight w:val="170"/>
              </w:trPr>
              <w:tc>
                <w:tcPr>
                  <w:tcW w:w="684" w:type="pct"/>
                  <w:vMerge/>
                  <w:shd w:val="clear" w:color="auto" w:fill="auto"/>
                  <w:vAlign w:val="center"/>
                </w:tcPr>
                <w:p>
                  <w:pPr>
                    <w:pStyle w:val="06"/>
                  </w:pPr>
                </w:p>
              </w:tc>
              <w:tc>
                <w:tcPr>
                  <w:tcW w:w="425" w:type="pct"/>
                  <w:vAlign w:val="center"/>
                </w:tcPr>
                <w:p>
                  <w:pPr>
                    <w:pStyle w:val="06"/>
                  </w:pPr>
                  <w:r>
                    <w:rPr>
                      <w:rFonts w:hint="eastAsia"/>
                    </w:rPr>
                    <w:t>大车</w:t>
                  </w:r>
                </w:p>
              </w:tc>
              <w:tc>
                <w:tcPr>
                  <w:tcW w:w="683" w:type="pct"/>
                  <w:shd w:val="clear" w:color="auto" w:fill="auto"/>
                  <w:vAlign w:val="center"/>
                </w:tcPr>
                <w:p>
                  <w:pPr>
                    <w:pStyle w:val="06"/>
                  </w:pPr>
                  <w:r>
                    <w:rPr>
                      <w:rFonts w:hint="eastAsia"/>
                      <w:sz w:val="22"/>
                      <w:szCs w:val="22"/>
                    </w:rPr>
                    <w:t xml:space="preserve">6 </w:t>
                  </w:r>
                </w:p>
              </w:tc>
              <w:tc>
                <w:tcPr>
                  <w:tcW w:w="599" w:type="pct"/>
                  <w:shd w:val="clear" w:color="auto" w:fill="auto"/>
                  <w:vAlign w:val="center"/>
                </w:tcPr>
                <w:p>
                  <w:pPr>
                    <w:pStyle w:val="06"/>
                  </w:pPr>
                  <w:r>
                    <w:rPr>
                      <w:rFonts w:hint="eastAsia"/>
                      <w:sz w:val="22"/>
                      <w:szCs w:val="22"/>
                    </w:rPr>
                    <w:t xml:space="preserve">2 </w:t>
                  </w:r>
                </w:p>
              </w:tc>
              <w:tc>
                <w:tcPr>
                  <w:tcW w:w="598" w:type="pct"/>
                  <w:shd w:val="clear" w:color="auto" w:fill="auto"/>
                  <w:vAlign w:val="center"/>
                </w:tcPr>
                <w:p>
                  <w:pPr>
                    <w:pStyle w:val="06"/>
                    <w:rPr>
                      <w:rFonts w:eastAsia="等线"/>
                      <w:sz w:val="22"/>
                    </w:rPr>
                  </w:pPr>
                  <w:r>
                    <w:rPr>
                      <w:rFonts w:hint="eastAsia"/>
                      <w:sz w:val="22"/>
                      <w:szCs w:val="22"/>
                    </w:rPr>
                    <w:t xml:space="preserve">8 </w:t>
                  </w:r>
                </w:p>
              </w:tc>
              <w:tc>
                <w:tcPr>
                  <w:tcW w:w="684" w:type="pct"/>
                  <w:shd w:val="clear" w:color="auto" w:fill="auto"/>
                  <w:vAlign w:val="center"/>
                </w:tcPr>
                <w:p>
                  <w:pPr>
                    <w:pStyle w:val="06"/>
                    <w:rPr>
                      <w:rFonts w:eastAsia="等线"/>
                      <w:sz w:val="22"/>
                    </w:rPr>
                  </w:pPr>
                  <w:r>
                    <w:rPr>
                      <w:rFonts w:hint="eastAsia"/>
                      <w:sz w:val="22"/>
                      <w:szCs w:val="22"/>
                    </w:rPr>
                    <w:t xml:space="preserve">3 </w:t>
                  </w:r>
                </w:p>
              </w:tc>
              <w:tc>
                <w:tcPr>
                  <w:tcW w:w="597" w:type="pct"/>
                  <w:shd w:val="clear" w:color="auto" w:fill="auto"/>
                  <w:vAlign w:val="center"/>
                </w:tcPr>
                <w:p>
                  <w:pPr>
                    <w:pStyle w:val="06"/>
                    <w:rPr>
                      <w:rFonts w:eastAsia="等线"/>
                      <w:sz w:val="22"/>
                    </w:rPr>
                  </w:pPr>
                  <w:r>
                    <w:rPr>
                      <w:rFonts w:hint="eastAsia"/>
                      <w:sz w:val="22"/>
                      <w:szCs w:val="22"/>
                    </w:rPr>
                    <w:t xml:space="preserve">9 </w:t>
                  </w:r>
                </w:p>
              </w:tc>
              <w:tc>
                <w:tcPr>
                  <w:tcW w:w="730" w:type="pct"/>
                  <w:shd w:val="clear" w:color="auto" w:fill="auto"/>
                  <w:vAlign w:val="center"/>
                </w:tcPr>
                <w:p>
                  <w:pPr>
                    <w:pStyle w:val="06"/>
                    <w:rPr>
                      <w:rFonts w:eastAsia="等线"/>
                      <w:sz w:val="22"/>
                    </w:rPr>
                  </w:pPr>
                  <w:r>
                    <w:rPr>
                      <w:sz w:val="22"/>
                      <w:szCs w:val="22"/>
                    </w:rPr>
                    <w:t>4</w:t>
                  </w:r>
                </w:p>
              </w:tc>
            </w:tr>
            <w:tr>
              <w:tblPrEx>
                <w:tblW w:w="5000" w:type="pct"/>
                <w:tblInd w:w="0" w:type="dxa"/>
                <w:tblCellMar>
                  <w:top w:w="0" w:type="dxa"/>
                  <w:left w:w="108" w:type="dxa"/>
                  <w:bottom w:w="0" w:type="dxa"/>
                  <w:right w:w="108" w:type="dxa"/>
                </w:tblCellMar>
              </w:tblPrEx>
              <w:trPr>
                <w:trHeight w:val="170"/>
              </w:trPr>
              <w:tc>
                <w:tcPr>
                  <w:tcW w:w="684" w:type="pct"/>
                  <w:vMerge/>
                  <w:shd w:val="clear" w:color="auto" w:fill="auto"/>
                  <w:vAlign w:val="center"/>
                </w:tcPr>
                <w:p>
                  <w:pPr>
                    <w:pStyle w:val="06"/>
                  </w:pPr>
                </w:p>
              </w:tc>
              <w:tc>
                <w:tcPr>
                  <w:tcW w:w="425" w:type="pct"/>
                  <w:vAlign w:val="center"/>
                </w:tcPr>
                <w:p>
                  <w:pPr>
                    <w:pStyle w:val="06"/>
                  </w:pPr>
                  <w:r>
                    <w:rPr>
                      <w:rFonts w:hint="eastAsia"/>
                    </w:rPr>
                    <w:t>合计</w:t>
                  </w:r>
                </w:p>
              </w:tc>
              <w:tc>
                <w:tcPr>
                  <w:tcW w:w="683" w:type="pct"/>
                  <w:shd w:val="clear" w:color="auto" w:fill="auto"/>
                  <w:vAlign w:val="center"/>
                </w:tcPr>
                <w:p>
                  <w:pPr>
                    <w:pStyle w:val="06"/>
                  </w:pPr>
                  <w:r>
                    <w:rPr>
                      <w:rFonts w:hint="eastAsia"/>
                      <w:sz w:val="22"/>
                      <w:szCs w:val="22"/>
                    </w:rPr>
                    <w:t>9</w:t>
                  </w:r>
                  <w:r>
                    <w:rPr>
                      <w:sz w:val="22"/>
                      <w:szCs w:val="22"/>
                    </w:rPr>
                    <w:t>3</w:t>
                  </w:r>
                </w:p>
              </w:tc>
              <w:tc>
                <w:tcPr>
                  <w:tcW w:w="599" w:type="pct"/>
                  <w:shd w:val="clear" w:color="auto" w:fill="auto"/>
                  <w:vAlign w:val="center"/>
                </w:tcPr>
                <w:p>
                  <w:pPr>
                    <w:pStyle w:val="06"/>
                  </w:pPr>
                  <w:r>
                    <w:rPr>
                      <w:rFonts w:hint="eastAsia"/>
                      <w:sz w:val="22"/>
                      <w:szCs w:val="22"/>
                    </w:rPr>
                    <w:t xml:space="preserve">31 </w:t>
                  </w:r>
                </w:p>
              </w:tc>
              <w:tc>
                <w:tcPr>
                  <w:tcW w:w="598" w:type="pct"/>
                  <w:shd w:val="clear" w:color="auto" w:fill="auto"/>
                  <w:vAlign w:val="center"/>
                </w:tcPr>
                <w:p>
                  <w:pPr>
                    <w:pStyle w:val="06"/>
                    <w:rPr>
                      <w:rFonts w:eastAsia="等线"/>
                      <w:sz w:val="22"/>
                    </w:rPr>
                  </w:pPr>
                  <w:r>
                    <w:rPr>
                      <w:rFonts w:hint="eastAsia"/>
                      <w:sz w:val="22"/>
                      <w:szCs w:val="22"/>
                    </w:rPr>
                    <w:t xml:space="preserve">163 </w:t>
                  </w:r>
                </w:p>
              </w:tc>
              <w:tc>
                <w:tcPr>
                  <w:tcW w:w="684" w:type="pct"/>
                  <w:shd w:val="clear" w:color="auto" w:fill="auto"/>
                  <w:vAlign w:val="center"/>
                </w:tcPr>
                <w:p>
                  <w:pPr>
                    <w:pStyle w:val="06"/>
                    <w:rPr>
                      <w:rFonts w:eastAsia="等线"/>
                      <w:sz w:val="22"/>
                    </w:rPr>
                  </w:pPr>
                  <w:r>
                    <w:rPr>
                      <w:rFonts w:hint="eastAsia"/>
                      <w:sz w:val="22"/>
                      <w:szCs w:val="22"/>
                    </w:rPr>
                    <w:t>5</w:t>
                  </w:r>
                  <w:r>
                    <w:rPr>
                      <w:sz w:val="22"/>
                      <w:szCs w:val="22"/>
                    </w:rPr>
                    <w:t>5</w:t>
                  </w:r>
                </w:p>
              </w:tc>
              <w:tc>
                <w:tcPr>
                  <w:tcW w:w="597" w:type="pct"/>
                  <w:shd w:val="clear" w:color="auto" w:fill="auto"/>
                  <w:vAlign w:val="center"/>
                </w:tcPr>
                <w:p>
                  <w:pPr>
                    <w:pStyle w:val="06"/>
                    <w:rPr>
                      <w:rFonts w:eastAsia="等线"/>
                      <w:sz w:val="22"/>
                    </w:rPr>
                  </w:pPr>
                  <w:r>
                    <w:rPr>
                      <w:rFonts w:hint="eastAsia"/>
                      <w:sz w:val="22"/>
                      <w:szCs w:val="22"/>
                    </w:rPr>
                    <w:t>23</w:t>
                  </w:r>
                  <w:r>
                    <w:rPr>
                      <w:sz w:val="22"/>
                      <w:szCs w:val="22"/>
                    </w:rPr>
                    <w:t>3</w:t>
                  </w:r>
                  <w:r>
                    <w:rPr>
                      <w:rFonts w:hint="eastAsia"/>
                      <w:sz w:val="22"/>
                      <w:szCs w:val="22"/>
                    </w:rPr>
                    <w:t xml:space="preserve"> </w:t>
                  </w:r>
                </w:p>
              </w:tc>
              <w:tc>
                <w:tcPr>
                  <w:tcW w:w="730" w:type="pct"/>
                  <w:shd w:val="clear" w:color="auto" w:fill="auto"/>
                  <w:vAlign w:val="center"/>
                </w:tcPr>
                <w:p>
                  <w:pPr>
                    <w:pStyle w:val="06"/>
                    <w:rPr>
                      <w:rFonts w:eastAsia="等线"/>
                      <w:sz w:val="22"/>
                    </w:rPr>
                  </w:pPr>
                  <w:r>
                    <w:rPr>
                      <w:rFonts w:hint="eastAsia"/>
                      <w:sz w:val="22"/>
                      <w:szCs w:val="22"/>
                    </w:rPr>
                    <w:t>7</w:t>
                  </w:r>
                  <w:r>
                    <w:rPr>
                      <w:sz w:val="22"/>
                      <w:szCs w:val="22"/>
                    </w:rPr>
                    <w:t>9</w:t>
                  </w:r>
                  <w:r>
                    <w:rPr>
                      <w:rFonts w:hint="eastAsia"/>
                      <w:sz w:val="22"/>
                      <w:szCs w:val="22"/>
                    </w:rPr>
                    <w:t xml:space="preserve"> </w:t>
                  </w:r>
                </w:p>
              </w:tc>
            </w:tr>
          </w:tbl>
          <w:p>
            <w:pPr>
              <w:pStyle w:val="003"/>
              <w:rPr>
                <w:color w:val="auto"/>
              </w:rPr>
            </w:pPr>
            <w:r>
              <w:rPr>
                <w:color w:val="auto"/>
                <w:sz w:val="24"/>
              </w:rPr>
              <w:br w:type="column"/>
            </w:r>
          </w:p>
          <w:p>
            <w:pPr>
              <w:pStyle w:val="041"/>
            </w:pPr>
            <w:r>
              <w:t>五、主要技术标准及设计等级</w:t>
            </w:r>
            <w:bookmarkStart w:id="11" w:name="主要技术标准及设计等级"/>
            <w:bookmarkEnd w:id="11"/>
          </w:p>
          <w:p>
            <w:pPr>
              <w:pStyle w:val="031"/>
              <w:rPr>
                <w:color w:val="auto"/>
              </w:rPr>
            </w:pPr>
            <w:r>
              <w:rPr>
                <w:color w:val="auto"/>
              </w:rPr>
              <w:t>1、道路工程</w:t>
            </w:r>
          </w:p>
          <w:p>
            <w:pPr>
              <w:pStyle w:val="003"/>
              <w:ind w:firstLine="420"/>
              <w:rPr>
                <w:color w:val="auto"/>
              </w:rPr>
            </w:pPr>
            <w:r>
              <w:rPr>
                <w:color w:val="auto"/>
              </w:rPr>
              <w:t>1）道路等级：城市次干路</w:t>
            </w:r>
          </w:p>
          <w:p>
            <w:pPr>
              <w:pStyle w:val="003"/>
              <w:ind w:firstLine="420"/>
              <w:rPr>
                <w:color w:val="auto"/>
              </w:rPr>
            </w:pPr>
            <w:r>
              <w:rPr>
                <w:color w:val="auto"/>
              </w:rPr>
              <w:t>2）设计车速：V=40km/h</w:t>
            </w:r>
          </w:p>
          <w:p>
            <w:pPr>
              <w:pStyle w:val="003"/>
              <w:ind w:firstLine="420"/>
              <w:rPr>
                <w:color w:val="auto"/>
              </w:rPr>
            </w:pPr>
            <w:r>
              <w:rPr>
                <w:color w:val="auto"/>
              </w:rPr>
              <w:t>3）设计年限：交通量预测分析：15年；沥青混凝土路面设计年限：15年。</w:t>
            </w:r>
          </w:p>
          <w:p>
            <w:pPr>
              <w:pStyle w:val="003"/>
              <w:ind w:firstLine="420"/>
              <w:rPr>
                <w:color w:val="auto"/>
              </w:rPr>
            </w:pPr>
            <w:r>
              <w:rPr>
                <w:color w:val="auto"/>
              </w:rPr>
              <w:t>4）荷载标准</w:t>
            </w:r>
          </w:p>
          <w:p>
            <w:pPr>
              <w:pStyle w:val="003"/>
              <w:ind w:firstLine="420"/>
              <w:rPr>
                <w:color w:val="auto"/>
              </w:rPr>
            </w:pPr>
            <w:r>
              <w:rPr>
                <w:color w:val="auto"/>
              </w:rPr>
              <w:t>路面结构荷载：BZZ-100；</w:t>
            </w:r>
          </w:p>
          <w:p>
            <w:pPr>
              <w:pStyle w:val="003"/>
              <w:ind w:firstLine="420"/>
              <w:rPr>
                <w:color w:val="auto"/>
              </w:rPr>
            </w:pPr>
            <w:r>
              <w:rPr>
                <w:color w:val="auto"/>
              </w:rPr>
              <w:t>5）净空高度</w:t>
            </w:r>
          </w:p>
          <w:p>
            <w:pPr>
              <w:pStyle w:val="003"/>
              <w:ind w:firstLine="420"/>
              <w:rPr>
                <w:color w:val="auto"/>
              </w:rPr>
            </w:pPr>
            <w:r>
              <w:rPr>
                <w:color w:val="auto"/>
              </w:rPr>
              <w:t>机动车道：≥4.5m；</w:t>
            </w:r>
          </w:p>
          <w:p>
            <w:pPr>
              <w:pStyle w:val="003"/>
              <w:ind w:firstLine="420"/>
              <w:rPr>
                <w:color w:val="auto"/>
              </w:rPr>
            </w:pPr>
            <w:r>
              <w:rPr>
                <w:color w:val="auto"/>
              </w:rPr>
              <w:t>非机动车道、人行道：≥2.5m；</w:t>
            </w:r>
          </w:p>
          <w:p>
            <w:pPr>
              <w:pStyle w:val="003"/>
              <w:ind w:firstLine="420"/>
              <w:rPr>
                <w:color w:val="auto"/>
              </w:rPr>
            </w:pPr>
            <w:r>
              <w:rPr>
                <w:color w:val="auto"/>
              </w:rPr>
              <w:t>预留地面机动车道罩面高度 0.2m。</w:t>
            </w:r>
          </w:p>
          <w:p>
            <w:pPr>
              <w:pStyle w:val="003"/>
              <w:ind w:firstLine="420"/>
              <w:rPr>
                <w:color w:val="auto"/>
              </w:rPr>
            </w:pPr>
            <w:r>
              <w:rPr>
                <w:color w:val="auto"/>
              </w:rPr>
              <w:t>6）车道宽度</w:t>
            </w:r>
          </w:p>
          <w:p>
            <w:pPr>
              <w:pStyle w:val="003"/>
              <w:spacing w:after="0"/>
              <w:ind w:firstLine="420"/>
              <w:rPr>
                <w:color w:val="auto"/>
              </w:rPr>
            </w:pPr>
          </w:p>
        </w:tc>
      </w:tr>
    </w:tbl>
    <w:p>
      <w:pPr>
        <w:sectPr>
          <w:footerReference w:type="even" r:id="rId50"/>
          <w:footerReference w:type="default" r:id="rId51"/>
          <w:type w:val="nextPage"/>
          <w:pgSz w:w="11906" w:h="16838"/>
          <w:pgMar w:top="1440" w:right="1800" w:bottom="1440" w:left="1800" w:header="851" w:footer="1077" w:gutter="0"/>
          <w:pgNumType w:start="19"/>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pStyle w:val="003"/>
              <w:spacing w:before="0"/>
              <w:ind w:firstLine="420"/>
              <w:rPr>
                <w:color w:val="auto"/>
              </w:rPr>
            </w:pPr>
            <w:r>
              <w:rPr>
                <w:color w:val="auto"/>
              </w:rPr>
              <w:t>2.5m人行道+0.25路缘带+2*3.5m机动车道+0.5m双黄线+2*3.5m机动车道+0.25路缘带+2.5m人行道</w:t>
            </w:r>
            <w:r>
              <w:rPr>
                <w:rFonts w:hint="eastAsia"/>
                <w:color w:val="auto"/>
              </w:rPr>
              <w:t>=</w:t>
            </w:r>
            <w:r>
              <w:rPr>
                <w:color w:val="auto"/>
              </w:rPr>
              <w:t>20m</w:t>
            </w:r>
          </w:p>
          <w:p>
            <w:pPr>
              <w:pStyle w:val="003"/>
              <w:ind w:firstLine="420"/>
              <w:rPr>
                <w:color w:val="auto"/>
              </w:rPr>
            </w:pPr>
            <w:r>
              <w:rPr>
                <w:color w:val="auto"/>
              </w:rPr>
              <w:t>7）纵坡要求</w:t>
            </w:r>
          </w:p>
          <w:p>
            <w:pPr>
              <w:pStyle w:val="003"/>
              <w:ind w:firstLine="420"/>
              <w:rPr>
                <w:color w:val="auto"/>
              </w:rPr>
            </w:pPr>
            <w:r>
              <w:rPr>
                <w:color w:val="auto"/>
              </w:rPr>
              <w:t>纵坡不大于4.9%，非机动车道及相交道路纵坡按规范取用。</w:t>
            </w:r>
          </w:p>
          <w:p>
            <w:pPr>
              <w:pStyle w:val="031"/>
              <w:rPr>
                <w:color w:val="auto"/>
              </w:rPr>
            </w:pPr>
            <w:r>
              <w:rPr>
                <w:color w:val="auto"/>
              </w:rPr>
              <w:t>2、桥梁工程</w:t>
            </w:r>
          </w:p>
          <w:p>
            <w:pPr>
              <w:pStyle w:val="003"/>
              <w:ind w:firstLine="420"/>
              <w:rPr>
                <w:color w:val="auto"/>
              </w:rPr>
            </w:pPr>
            <w:r>
              <w:rPr>
                <w:color w:val="auto"/>
              </w:rPr>
              <w:t>1）荷载标准：</w:t>
            </w:r>
          </w:p>
          <w:p>
            <w:pPr>
              <w:pStyle w:val="003"/>
              <w:ind w:firstLine="420"/>
              <w:rPr>
                <w:color w:val="auto"/>
              </w:rPr>
            </w:pPr>
            <w:r>
              <w:rPr>
                <w:color w:val="auto"/>
              </w:rPr>
              <w:t>汽车荷载：城－A级；人群荷载：3.72KN/m</w:t>
            </w:r>
            <w:r>
              <w:rPr>
                <w:color w:val="auto"/>
                <w:vertAlign w:val="superscript"/>
              </w:rPr>
              <w:t>2</w:t>
            </w:r>
            <w:r>
              <w:rPr>
                <w:color w:val="auto"/>
              </w:rPr>
              <w:t>。</w:t>
            </w:r>
          </w:p>
          <w:p>
            <w:pPr>
              <w:pStyle w:val="003"/>
              <w:ind w:firstLine="420"/>
              <w:rPr>
                <w:color w:val="auto"/>
              </w:rPr>
            </w:pPr>
            <w:r>
              <w:rPr>
                <w:color w:val="auto"/>
              </w:rPr>
              <w:t>2）横断面布置：2.5m人行道+0.25路缘带+2*3.5m机动车道+0.5m双黄线+2*3.5m机动车道+0.25路缘带+2.5m人行道</w:t>
            </w:r>
          </w:p>
          <w:p>
            <w:pPr>
              <w:pStyle w:val="003"/>
              <w:ind w:firstLine="420"/>
              <w:rPr>
                <w:color w:val="auto"/>
              </w:rPr>
            </w:pPr>
            <w:r>
              <w:rPr>
                <w:color w:val="auto"/>
              </w:rPr>
              <w:t>3）设计基准期：100年；设计使用年限：100年。</w:t>
            </w:r>
          </w:p>
          <w:p>
            <w:pPr>
              <w:pStyle w:val="003"/>
              <w:ind w:firstLine="420"/>
              <w:rPr>
                <w:color w:val="auto"/>
              </w:rPr>
            </w:pPr>
            <w:r>
              <w:rPr>
                <w:color w:val="auto"/>
              </w:rPr>
              <w:t>4）地震作用：</w:t>
            </w:r>
          </w:p>
          <w:p>
            <w:pPr>
              <w:pStyle w:val="003"/>
              <w:ind w:firstLine="420"/>
              <w:rPr>
                <w:color w:val="auto"/>
              </w:rPr>
            </w:pPr>
            <w:r>
              <w:rPr>
                <w:color w:val="auto"/>
              </w:rPr>
              <w:t>地震动峰值加速度为 0.10g， 地震基本烈度为 7 度，桥梁抗震设防措施按 8 度区执行，桥梁抗震设防类别为丁类。</w:t>
            </w:r>
          </w:p>
          <w:p>
            <w:pPr>
              <w:pStyle w:val="003"/>
              <w:ind w:firstLine="420"/>
              <w:rPr>
                <w:color w:val="auto"/>
              </w:rPr>
            </w:pPr>
            <w:r>
              <w:rPr>
                <w:color w:val="auto"/>
              </w:rPr>
              <w:t>5）桥梁设计安全等级：一级。</w:t>
            </w:r>
          </w:p>
          <w:p>
            <w:pPr>
              <w:pStyle w:val="003"/>
              <w:ind w:firstLine="420"/>
              <w:rPr>
                <w:color w:val="auto"/>
              </w:rPr>
            </w:pPr>
            <w:r>
              <w:rPr>
                <w:color w:val="auto"/>
              </w:rPr>
              <w:t>6）环境类别：Ⅰ类。</w:t>
            </w:r>
          </w:p>
          <w:p>
            <w:pPr>
              <w:pStyle w:val="041"/>
            </w:pPr>
            <w:r>
              <w:t>六、道路工程设计</w:t>
            </w:r>
          </w:p>
          <w:p>
            <w:pPr>
              <w:pStyle w:val="041"/>
            </w:pPr>
            <w:r>
              <w:t>6.1道路工程</w:t>
            </w:r>
            <w:bookmarkStart w:id="12" w:name="一道路工程"/>
            <w:bookmarkEnd w:id="12"/>
          </w:p>
          <w:p>
            <w:pPr>
              <w:pStyle w:val="031"/>
              <w:rPr>
                <w:color w:val="auto"/>
              </w:rPr>
            </w:pPr>
            <w:r>
              <w:rPr>
                <w:color w:val="auto"/>
              </w:rPr>
              <w:t>1、道路工程平面设计</w:t>
            </w:r>
          </w:p>
          <w:p>
            <w:pPr>
              <w:pStyle w:val="003"/>
              <w:ind w:firstLine="420"/>
              <w:rPr>
                <w:color w:val="auto"/>
              </w:rPr>
            </w:pPr>
            <w:r>
              <w:rPr>
                <w:color w:val="auto"/>
              </w:rPr>
              <w:t>本项目为城市次干道，道路起点K0+000位于龙洲路，终点K3+029.095止于永兴大道，路线整体走向为由西向东。道路全长3029.095m，规划红线宽20m。</w:t>
            </w:r>
          </w:p>
          <w:p>
            <w:pPr>
              <w:pStyle w:val="003"/>
              <w:ind w:firstLine="0" w:firstLineChars="0"/>
              <w:jc w:val="center"/>
              <w:rPr>
                <w:color w:val="auto"/>
              </w:rPr>
            </w:pPr>
            <w:r>
              <w:rPr>
                <w:color w:val="auto"/>
              </w:rPr>
              <mc:AlternateContent>
                <mc:Choice Requires="wps">
                  <w:drawing>
                    <wp:anchor distT="0" distB="0" distL="114300" distR="114300" simplePos="0" relativeHeight="251659264" behindDoc="0" locked="0" layoutInCell="1" allowOverlap="1">
                      <wp:simplePos x="0" y="0"/>
                      <wp:positionH relativeFrom="column">
                        <wp:posOffset>361315</wp:posOffset>
                      </wp:positionH>
                      <wp:positionV relativeFrom="paragraph">
                        <wp:posOffset>824230</wp:posOffset>
                      </wp:positionV>
                      <wp:extent cx="4801870" cy="718820"/>
                      <wp:effectExtent l="5080" t="0" r="31750" b="26035"/>
                      <wp:wrapNone/>
                      <wp:docPr id="21" name="Freeform 32"/>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4801870" cy="718820"/>
                              </a:xfrm>
                              <a:custGeom>
                                <a:avLst/>
                                <a:gdLst>
                                  <a:gd name="T0" fmla="*/ 0 w 7562"/>
                                  <a:gd name="T1" fmla="*/ 1086 h 1132"/>
                                  <a:gd name="T2" fmla="*/ 1147 w 7562"/>
                                  <a:gd name="T3" fmla="*/ 785 h 1132"/>
                                  <a:gd name="T4" fmla="*/ 2148 w 7562"/>
                                  <a:gd name="T5" fmla="*/ 562 h 1132"/>
                                  <a:gd name="T6" fmla="*/ 2433 w 7562"/>
                                  <a:gd name="T7" fmla="*/ 493 h 1132"/>
                                  <a:gd name="T8" fmla="*/ 2657 w 7562"/>
                                  <a:gd name="T9" fmla="*/ 485 h 1132"/>
                                  <a:gd name="T10" fmla="*/ 3042 w 7562"/>
                                  <a:gd name="T11" fmla="*/ 647 h 1132"/>
                                  <a:gd name="T12" fmla="*/ 3411 w 7562"/>
                                  <a:gd name="T13" fmla="*/ 808 h 1132"/>
                                  <a:gd name="T14" fmla="*/ 3889 w 7562"/>
                                  <a:gd name="T15" fmla="*/ 847 h 1132"/>
                                  <a:gd name="T16" fmla="*/ 4451 w 7562"/>
                                  <a:gd name="T17" fmla="*/ 639 h 1132"/>
                                  <a:gd name="T18" fmla="*/ 4836 w 7562"/>
                                  <a:gd name="T19" fmla="*/ 470 h 1132"/>
                                  <a:gd name="T20" fmla="*/ 4982 w 7562"/>
                                  <a:gd name="T21" fmla="*/ 400 h 1132"/>
                                  <a:gd name="T22" fmla="*/ 6299 w 7562"/>
                                  <a:gd name="T23" fmla="*/ 46 h 1132"/>
                                  <a:gd name="T24" fmla="*/ 6784 w 7562"/>
                                  <a:gd name="T25" fmla="*/ 123 h 1132"/>
                                  <a:gd name="T26" fmla="*/ 7031 w 7562"/>
                                  <a:gd name="T27" fmla="*/ 277 h 1132"/>
                                  <a:gd name="T28" fmla="*/ 7562 w 7562"/>
                                  <a:gd name="T29" fmla="*/ 1132 h 113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fill="norm" h="1132" w="7562" stroke="1">
                                    <a:moveTo>
                                      <a:pt x="0" y="1086"/>
                                    </a:moveTo>
                                    <a:cubicBezTo>
                                      <a:pt x="394" y="979"/>
                                      <a:pt x="789" y="872"/>
                                      <a:pt x="1147" y="785"/>
                                    </a:cubicBezTo>
                                    <a:cubicBezTo>
                                      <a:pt x="1505" y="698"/>
                                      <a:pt x="1934" y="611"/>
                                      <a:pt x="2148" y="562"/>
                                    </a:cubicBezTo>
                                    <a:cubicBezTo>
                                      <a:pt x="2362" y="513"/>
                                      <a:pt x="2348" y="506"/>
                                      <a:pt x="2433" y="493"/>
                                    </a:cubicBezTo>
                                    <a:cubicBezTo>
                                      <a:pt x="2518" y="480"/>
                                      <a:pt x="2555" y="459"/>
                                      <a:pt x="2657" y="485"/>
                                    </a:cubicBezTo>
                                    <a:cubicBezTo>
                                      <a:pt x="2759" y="511"/>
                                      <a:pt x="2917" y="593"/>
                                      <a:pt x="3042" y="647"/>
                                    </a:cubicBezTo>
                                    <a:cubicBezTo>
                                      <a:pt x="3167" y="701"/>
                                      <a:pt x="3270" y="775"/>
                                      <a:pt x="3411" y="808"/>
                                    </a:cubicBezTo>
                                    <a:cubicBezTo>
                                      <a:pt x="3552" y="841"/>
                                      <a:pt x="3716" y="875"/>
                                      <a:pt x="3889" y="847"/>
                                    </a:cubicBezTo>
                                    <a:cubicBezTo>
                                      <a:pt x="4062" y="819"/>
                                      <a:pt x="4293" y="702"/>
                                      <a:pt x="4451" y="639"/>
                                    </a:cubicBezTo>
                                    <a:cubicBezTo>
                                      <a:pt x="4609" y="576"/>
                                      <a:pt x="4747" y="510"/>
                                      <a:pt x="4836" y="470"/>
                                    </a:cubicBezTo>
                                    <a:cubicBezTo>
                                      <a:pt x="4925" y="430"/>
                                      <a:pt x="4738" y="471"/>
                                      <a:pt x="4982" y="400"/>
                                    </a:cubicBezTo>
                                    <a:cubicBezTo>
                                      <a:pt x="5226" y="329"/>
                                      <a:pt x="5999" y="92"/>
                                      <a:pt x="6299" y="46"/>
                                    </a:cubicBezTo>
                                    <a:cubicBezTo>
                                      <a:pt x="6599" y="0"/>
                                      <a:pt x="6662" y="84"/>
                                      <a:pt x="6784" y="123"/>
                                    </a:cubicBezTo>
                                    <a:cubicBezTo>
                                      <a:pt x="6906" y="162"/>
                                      <a:pt x="6901" y="109"/>
                                      <a:pt x="7031" y="277"/>
                                    </a:cubicBezTo>
                                    <a:cubicBezTo>
                                      <a:pt x="7161" y="445"/>
                                      <a:pt x="7502" y="990"/>
                                      <a:pt x="7562" y="1132"/>
                                    </a:cubicBezTo>
                                  </a:path>
                                </a:pathLst>
                              </a:custGeom>
                              <a:noFill/>
                              <a:ln w="38100">
                                <a:solidFill>
                                  <a:srgbClr val="FF0000"/>
                                </a:solidFill>
                                <a:round/>
                              </a:ln>
                              <a:effectLst/>
                            </wps:spPr>
                            <wps:bodyPr rot="0" vert="horz" wrap="square" lIns="91440" tIns="45720" rIns="91440" bIns="45720" anchor="t" anchorCtr="0" upright="1"/>
                          </wps:wsp>
                        </a:graphicData>
                      </a:graphic>
                    </wp:anchor>
                  </w:drawing>
                </mc:Choice>
                <mc:Fallback>
                  <w:pict>
                    <v:shape id="Freeform 32" o:spid="_x0000_s1025" style="width:378.1pt;height:56.6pt;margin-top:64.9pt;margin-left:28.45pt;mso-wrap-distance-bottom:0;mso-wrap-distance-left:9pt;mso-wrap-distance-right:9pt;mso-wrap-distance-top:0;position:absolute;v-text-anchor:top;z-index:251658240" coordsize="21600,21600" path="m,20722c1125,18681,2254,16639,3276,14979l3276,14979c4299,13319,5524,11659,6136,10724l6136,10724c6747,9789,6707,9655,6950,9407l6950,9407c7192,9159,7298,8758,7589,9254l7589,9254c7881,9751,8332,11315,8689,12346l8689,12346c9046,13376,9340,14788,9743,15418l9743,15418c10146,16047,10614,16696,11108,16162l11108,16162c11603,15628,12262,13395,12714,12193l12714,12193c13165,10991,13559,9731,13813,8968l13813,8968c14068,8205,13534,8987,14231,7633l14231,7633c14927,6278,17135,1755,17992,878l17992,878c18849,,19029,1603,19378,2347l19378,2347c19726,3091,19712,2080,20083,5286l20083,5286c20455,8491,21429,18890,21600,21600e" filled="f" fillcolor="this" stroked="t" strokecolor="red" strokeweight="3pt">
                      <v:stroke joinstyle="round"/>
                    </v:shape>
                  </w:pict>
                </mc:Fallback>
              </mc:AlternateContent>
            </w:r>
            <w:r>
              <w:rPr>
                <w:color w:val="auto"/>
              </w:rPr>
              <w:drawing>
                <wp:inline distT="0" distB="0" distL="0" distR="0">
                  <wp:extent cx="5269865" cy="247459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xmlns:r="http://schemas.openxmlformats.org/officeDocument/2006/relationships" r:embed="rId52"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69865" cy="2474595"/>
                          </a:xfrm>
                          <a:prstGeom prst="rect">
                            <a:avLst/>
                          </a:prstGeom>
                          <a:noFill/>
                          <a:ln>
                            <a:noFill/>
                          </a:ln>
                        </pic:spPr>
                      </pic:pic>
                    </a:graphicData>
                  </a:graphic>
                </wp:inline>
              </w:drawing>
            </w:r>
          </w:p>
          <w:p>
            <w:pPr>
              <w:pStyle w:val="0010"/>
              <w:rPr>
                <w:color w:val="auto"/>
              </w:rPr>
            </w:pPr>
            <w:r>
              <w:rPr>
                <w:color w:val="auto"/>
              </w:rPr>
              <w:t>图2-1  道路走向示意图（现状环境）</w:t>
            </w:r>
          </w:p>
          <w:p>
            <w:pPr>
              <w:pStyle w:val="031"/>
              <w:rPr>
                <w:color w:val="auto"/>
              </w:rPr>
            </w:pPr>
            <w:r>
              <w:rPr>
                <w:color w:val="auto"/>
              </w:rPr>
              <w:t>2、道路工程纵断面设计</w:t>
            </w:r>
          </w:p>
          <w:p>
            <w:pPr>
              <w:pStyle w:val="003"/>
              <w:ind w:firstLine="420"/>
              <w:rPr>
                <w:color w:val="auto"/>
              </w:rPr>
            </w:pPr>
            <w:r>
              <w:rPr>
                <w:color w:val="auto"/>
              </w:rPr>
              <w:t>本次设计道路主要受现状道路交叉口设计高程、青衣江洪水位高程、项目所在区域水系高程等如下因素影响，具体设计如下：</w:t>
            </w:r>
          </w:p>
          <w:p>
            <w:pPr>
              <w:pStyle w:val="003"/>
              <w:spacing w:after="0"/>
              <w:ind w:firstLine="420"/>
              <w:rPr>
                <w:color w:val="auto"/>
              </w:rPr>
            </w:pPr>
          </w:p>
        </w:tc>
      </w:tr>
    </w:tbl>
    <w:p>
      <w:pPr>
        <w:sectPr>
          <w:footerReference w:type="even" r:id="rId53"/>
          <w:footerReference w:type="default" r:id="rId54"/>
          <w:type w:val="nextPage"/>
          <w:pgSz w:w="11906" w:h="16838"/>
          <w:pgMar w:top="1440" w:right="1800" w:bottom="1440" w:left="1800" w:header="851" w:footer="1077" w:gutter="0"/>
          <w:pgNumType w:start="20"/>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pStyle w:val="003"/>
              <w:spacing w:before="0"/>
              <w:ind w:firstLine="420"/>
              <w:rPr>
                <w:color w:val="auto"/>
              </w:rPr>
            </w:pPr>
            <w:r>
              <w:rPr>
                <w:color w:val="auto"/>
              </w:rPr>
              <w:t>（1）根据相关资料，该片区青衣江上游水津关电站坝后50年一遇洪水位高程为548.90m，下游龟都府水电站坝50年一遇洪水位高程为</w:t>
            </w:r>
            <w:r>
              <w:rPr>
                <w:color w:val="auto"/>
              </w:rPr>
              <w:t xml:space="preserve"> 538.19m。通过查阅《四川雅安经济开发区（芦天宝飞地园区）控制性详细规划》，本次设计物流通道地面高程均高于50年一遇洪水位高程，无洪水淹没的风险。</w:t>
            </w:r>
          </w:p>
          <w:p>
            <w:pPr>
              <w:pStyle w:val="003"/>
              <w:ind w:firstLine="420"/>
              <w:rPr>
                <w:color w:val="auto"/>
              </w:rPr>
            </w:pPr>
            <w:r>
              <w:rPr>
                <w:color w:val="auto"/>
              </w:rPr>
              <w:t>（2）物流通道设计起点与龙洲路交叉口处设计高程与被交路施工图设计标高保持一致（548.77m）、设计终点与永兴大道交叉口处设计高程与现状路面保持一致（554.33m）。中间段落与规划交叉口处设计高程与规划标高一致。</w:t>
            </w:r>
          </w:p>
          <w:p>
            <w:pPr>
              <w:pStyle w:val="003"/>
              <w:ind w:firstLine="420"/>
              <w:rPr>
                <w:color w:val="auto"/>
              </w:rPr>
            </w:pPr>
            <w:r>
              <w:rPr>
                <w:color w:val="auto"/>
              </w:rPr>
              <w:t>综合以上因素考虑，本次纵断面设计高程为设计道路中心线路面高程，指标如下：物流通道最大纵坡 4.9%，最小坡度 0.3%，最小坡长为 175.1m，最小凸曲线半径 2000m，最小凹曲线半径 5500m，最小竖曲线长度为 93.492m。</w:t>
            </w:r>
          </w:p>
          <w:p>
            <w:pPr>
              <w:pStyle w:val="031"/>
              <w:rPr>
                <w:color w:val="auto"/>
              </w:rPr>
            </w:pPr>
            <w:r>
              <w:rPr>
                <w:color w:val="auto"/>
              </w:rPr>
              <w:t>3、道路工程横断面设计</w:t>
            </w:r>
          </w:p>
          <w:p>
            <w:pPr>
              <w:pStyle w:val="003"/>
              <w:ind w:firstLine="420"/>
              <w:rPr>
                <w:color w:val="auto"/>
              </w:rPr>
            </w:pPr>
            <w:r>
              <w:rPr>
                <w:color w:val="auto"/>
              </w:rPr>
              <w:t>拟建道路红线宽度为20m，为2.5m人行道+0.25m路缘带+2*3.5m机动车道+0.5m双黄线+2*3.5m机动车道+0.25m路缘带+2.5m人行道=20m，横断面设计详见下图。</w:t>
            </w:r>
          </w:p>
          <w:p>
            <w:pPr>
              <w:pStyle w:val="003"/>
              <w:ind w:firstLine="420"/>
              <w:rPr>
                <w:color w:val="auto"/>
              </w:rPr>
            </w:pPr>
          </w:p>
          <w:tbl>
            <w:tblPr>
              <w:tblStyle w:val="TableNormal"/>
              <w:tblW w:w="5000" w:type="pct"/>
              <w:tblInd w:w="0" w:type="dxa"/>
              <w:tblCellMar>
                <w:top w:w="0" w:type="dxa"/>
                <w:left w:w="108" w:type="dxa"/>
                <w:bottom w:w="0" w:type="dxa"/>
                <w:right w:w="108" w:type="dxa"/>
              </w:tblCellMar>
            </w:tblPr>
            <w:tblGrid>
              <w:gridCol w:w="9007"/>
            </w:tblGrid>
            <w:tr>
              <w:tblPrEx>
                <w:tblW w:w="5000" w:type="pct"/>
                <w:tblInd w:w="0" w:type="dxa"/>
                <w:tblCellMar>
                  <w:top w:w="0" w:type="dxa"/>
                  <w:left w:w="108" w:type="dxa"/>
                  <w:bottom w:w="0" w:type="dxa"/>
                  <w:right w:w="108" w:type="dxa"/>
                </w:tblCellMar>
              </w:tblPrEx>
              <w:trPr>
                <w:trHeight w:val="5625"/>
              </w:trPr>
              <w:tc>
                <w:tcPr>
                  <w:tcW w:w="5000" w:type="pct"/>
                  <w:vAlign w:val="center"/>
                </w:tcPr>
                <w:p>
                  <w:pPr>
                    <w:pStyle w:val="003"/>
                    <w:ind w:firstLine="0" w:firstLineChars="0"/>
                    <w:jc w:val="center"/>
                    <w:rPr>
                      <w:color w:val="auto"/>
                    </w:rPr>
                  </w:pPr>
                  <w:r>
                    <w:rPr>
                      <w:color w:val="auto"/>
                    </w:rPr>
                    <w:drawing>
                      <wp:inline distT="0" distB="0" distL="0" distR="0">
                        <wp:extent cx="5222240" cy="3324225"/>
                        <wp:effectExtent l="0" t="0" r="0" b="0"/>
                        <wp:docPr id="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5"/>
                                <pic:cNvPicPr>
                                  <a:picLocks noChangeAspect="1" noChangeArrowheads="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a:xfrm>
                                  <a:off x="0" y="0"/>
                                  <a:ext cx="5222240" cy="3324225"/>
                                </a:xfrm>
                                <a:prstGeom prst="rect">
                                  <a:avLst/>
                                </a:prstGeom>
                                <a:noFill/>
                                <a:ln>
                                  <a:noFill/>
                                </a:ln>
                              </pic:spPr>
                            </pic:pic>
                          </a:graphicData>
                        </a:graphic>
                      </wp:inline>
                    </w:drawing>
                  </w:r>
                </w:p>
              </w:tc>
            </w:tr>
            <w:tr>
              <w:tblPrEx>
                <w:tblW w:w="5000" w:type="pct"/>
                <w:tblInd w:w="0" w:type="dxa"/>
                <w:tblCellMar>
                  <w:top w:w="0" w:type="dxa"/>
                  <w:left w:w="108" w:type="dxa"/>
                  <w:bottom w:w="0" w:type="dxa"/>
                  <w:right w:w="108" w:type="dxa"/>
                </w:tblCellMar>
              </w:tblPrEx>
              <w:trPr>
                <w:trHeight w:val="373"/>
              </w:trPr>
              <w:tc>
                <w:tcPr>
                  <w:tcW w:w="5000" w:type="pct"/>
                </w:tcPr>
                <w:p>
                  <w:pPr>
                    <w:pStyle w:val="0010"/>
                    <w:rPr>
                      <w:color w:val="auto"/>
                    </w:rPr>
                  </w:pPr>
                  <w:r>
                    <w:rPr>
                      <w:color w:val="auto"/>
                    </w:rPr>
                    <w:t>图2-2  拟建道路横断面设计效果图</w:t>
                  </w:r>
                </w:p>
              </w:tc>
            </w:tr>
          </w:tbl>
          <w:p>
            <w:pPr>
              <w:pStyle w:val="031"/>
              <w:rPr>
                <w:color w:val="auto"/>
              </w:rPr>
            </w:pPr>
            <w:r>
              <w:rPr>
                <w:color w:val="auto"/>
              </w:rPr>
              <w:t>4、路基设计</w:t>
            </w:r>
          </w:p>
          <w:p>
            <w:pPr>
              <w:pStyle w:val="003"/>
              <w:ind w:firstLine="420"/>
              <w:rPr>
                <w:color w:val="auto"/>
              </w:rPr>
            </w:pPr>
            <w:r>
              <w:rPr>
                <w:color w:val="auto"/>
              </w:rPr>
              <w:t>（1）一般路基设计</w:t>
            </w:r>
          </w:p>
          <w:p>
            <w:pPr>
              <w:pStyle w:val="003"/>
              <w:ind w:firstLine="420"/>
              <w:rPr>
                <w:color w:val="auto"/>
              </w:rPr>
            </w:pPr>
            <w:r>
              <w:rPr>
                <w:rFonts w:ascii="宋体" w:hAnsi="宋体" w:cs="宋体" w:hint="eastAsia"/>
                <w:color w:val="auto"/>
              </w:rPr>
              <w:t>①</w:t>
            </w:r>
            <w:r>
              <w:rPr>
                <w:color w:val="auto"/>
              </w:rPr>
              <w:t>路基填料及压实度要求</w:t>
            </w:r>
          </w:p>
          <w:p>
            <w:pPr>
              <w:pStyle w:val="003"/>
              <w:spacing w:after="0"/>
              <w:ind w:firstLine="420"/>
              <w:rPr>
                <w:color w:val="auto"/>
              </w:rPr>
            </w:pPr>
            <w:r>
              <w:rPr>
                <w:color w:val="auto"/>
              </w:rPr>
              <w:t>路基填料应均匀、密实，选用级配较好的砾类土、砂类土等粗粒土，对液限大于</w:t>
            </w:r>
            <w:r>
              <w:rPr>
                <w:color w:val="auto"/>
              </w:rPr>
              <w:t xml:space="preserve"> 50%塑性指数大于</w:t>
            </w:r>
            <w:r>
              <w:rPr>
                <w:color w:val="auto"/>
              </w:rPr>
              <w:t xml:space="preserve"> 26，可溶盐含量大于</w:t>
            </w:r>
            <w:r>
              <w:rPr>
                <w:color w:val="auto"/>
              </w:rPr>
              <w:t xml:space="preserve"> 5%、</w:t>
            </w:r>
            <w:r>
              <w:rPr>
                <w:color w:val="auto"/>
              </w:rPr>
              <w:t xml:space="preserve"> 700℃有机质烧失，未经处理不得用作路基填料。填筑土方路基时，每层虚铺厚度应视压实机具的功能确定，人工夯实虚铺厚度应小于</w:t>
            </w:r>
          </w:p>
        </w:tc>
      </w:tr>
    </w:tbl>
    <w:p>
      <w:pPr>
        <w:sectPr>
          <w:footerReference w:type="even" r:id="rId56"/>
          <w:footerReference w:type="default" r:id="rId57"/>
          <w:type w:val="nextPage"/>
          <w:pgSz w:w="11906" w:h="16838"/>
          <w:pgMar w:top="1440" w:right="1800" w:bottom="1440" w:left="1800" w:header="851" w:footer="1077" w:gutter="0"/>
          <w:pgNumType w:start="21"/>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pStyle w:val="003"/>
              <w:spacing w:before="0"/>
              <w:ind w:firstLine="420"/>
              <w:rPr>
                <w:color w:val="auto"/>
              </w:rPr>
            </w:pPr>
            <w:r>
              <w:rPr>
                <w:color w:val="auto"/>
              </w:rPr>
              <w:t xml:space="preserve"> 20cm。当采用石料填筑路基时，最大粒径应小于摊铺厚度的</w:t>
            </w:r>
            <w:r>
              <w:rPr>
                <w:color w:val="auto"/>
              </w:rPr>
              <w:t xml:space="preserve"> 2/3，过渡层碎石料粒径应小于</w:t>
            </w:r>
            <w:r>
              <w:rPr>
                <w:color w:val="auto"/>
              </w:rPr>
              <w:t xml:space="preserve"> 150mm。易溶性岩石、膨胀性岩石、崩解性岩石、盐化岩石等均不得用于路基填筑。车行道土基顶面抗压回弹模量不小于</w:t>
            </w:r>
            <w:r>
              <w:rPr>
                <w:color w:val="auto"/>
              </w:rPr>
              <w:t xml:space="preserve"> 40MPa，人行道土基顶面抗压回弹模量不小于</w:t>
            </w:r>
            <w:r>
              <w:rPr>
                <w:color w:val="auto"/>
              </w:rPr>
              <w:t xml:space="preserve"> 20MPa。</w:t>
            </w:r>
          </w:p>
          <w:p>
            <w:pPr>
              <w:pStyle w:val="003"/>
              <w:ind w:firstLine="420"/>
              <w:rPr>
                <w:color w:val="auto"/>
              </w:rPr>
            </w:pPr>
            <w:r>
              <w:rPr>
                <w:rFonts w:ascii="宋体" w:hAnsi="宋体" w:cs="宋体" w:hint="eastAsia"/>
                <w:color w:val="auto"/>
              </w:rPr>
              <w:t>②</w:t>
            </w:r>
            <w:r>
              <w:rPr>
                <w:color w:val="auto"/>
              </w:rPr>
              <w:t>特殊部位的路基填筑与压实</w:t>
            </w:r>
          </w:p>
          <w:p>
            <w:pPr>
              <w:pStyle w:val="003"/>
              <w:ind w:firstLine="420"/>
              <w:rPr>
                <w:color w:val="auto"/>
              </w:rPr>
            </w:pPr>
            <w:r>
              <w:rPr>
                <w:color w:val="auto"/>
              </w:rPr>
              <w:t>管道沟槽回填压实确有困难时，上路床以下的回填土可按相关管道设计或施工规范的规定执行。沟槽底至管顶以上 0.5m 范围内宜采用渗水性好、容易密实的砂、砾等填料，填料最大粒径应不小于 50mm。当回填细粒土含水率较高且不具备降低含水率条件、难以达到压实度标准时，应采用石灰、水泥等无机结合料进行</w:t>
            </w:r>
            <w:r>
              <w:rPr>
                <w:rFonts w:hint="eastAsia"/>
                <w:color w:val="auto"/>
              </w:rPr>
              <w:t>处置</w:t>
            </w:r>
            <w:r>
              <w:rPr>
                <w:color w:val="auto"/>
              </w:rPr>
              <w:t>。</w:t>
            </w:r>
          </w:p>
          <w:p>
            <w:pPr>
              <w:pStyle w:val="003"/>
              <w:ind w:firstLine="420"/>
              <w:rPr>
                <w:color w:val="auto"/>
              </w:rPr>
            </w:pPr>
            <w:r>
              <w:rPr>
                <w:color w:val="auto"/>
              </w:rPr>
              <w:t>管道检查井周边填料应采用渗水性好、容易密实的砂、砾等。</w:t>
            </w:r>
          </w:p>
          <w:p>
            <w:pPr>
              <w:pStyle w:val="003"/>
              <w:ind w:firstLine="420"/>
              <w:rPr>
                <w:color w:val="auto"/>
              </w:rPr>
            </w:pPr>
            <w:r>
              <w:rPr>
                <w:color w:val="auto"/>
              </w:rPr>
              <w:t>路堤与桥台、横向构筑物的连接处应设置过渡段，并应依据填料强度、地基处理、台背防排水系统等进行综合考虑。由于人行道下管线较密集，且覆土较浅，无法采用重型击实标准，因此该部分路基采用轻型击实标准，其压实度不小于 92%。</w:t>
            </w:r>
          </w:p>
          <w:p>
            <w:pPr>
              <w:pStyle w:val="003"/>
              <w:ind w:firstLine="420"/>
              <w:rPr>
                <w:color w:val="auto"/>
              </w:rPr>
            </w:pPr>
            <w:r>
              <w:rPr>
                <w:rFonts w:ascii="宋体" w:hAnsi="宋体" w:cs="宋体" w:hint="eastAsia"/>
                <w:color w:val="auto"/>
              </w:rPr>
              <w:t>③</w:t>
            </w:r>
            <w:r>
              <w:rPr>
                <w:color w:val="auto"/>
              </w:rPr>
              <w:t>填方基底处理</w:t>
            </w:r>
          </w:p>
          <w:p>
            <w:pPr>
              <w:pStyle w:val="003"/>
              <w:ind w:firstLine="420"/>
              <w:rPr>
                <w:color w:val="auto"/>
              </w:rPr>
            </w:pPr>
            <w:r>
              <w:rPr>
                <w:color w:val="auto"/>
              </w:rPr>
              <w:t>路堤段一般清表厚为 50cm，在植被茂盛，腐殖土较厚地段，清表厚度应根据现场实际情况适当加大，清表原则为彻底清除路基填土范围内的耕植土和腐殖土。</w:t>
            </w:r>
          </w:p>
          <w:p>
            <w:pPr>
              <w:pStyle w:val="003"/>
              <w:ind w:firstLine="420"/>
              <w:rPr>
                <w:color w:val="auto"/>
              </w:rPr>
            </w:pPr>
            <w:r>
              <w:rPr>
                <w:color w:val="auto"/>
              </w:rPr>
              <w:t>水田、积水洼地，填筑路堤时，应排除地表水、清淤后方可填筑。</w:t>
            </w:r>
          </w:p>
          <w:p>
            <w:pPr>
              <w:pStyle w:val="003"/>
              <w:ind w:firstLine="420"/>
              <w:rPr>
                <w:color w:val="auto"/>
              </w:rPr>
            </w:pPr>
            <w:r>
              <w:rPr>
                <w:color w:val="auto"/>
              </w:rPr>
              <w:t>地面坡度陡于1：5的填方路基（包括纵断面方向），原地面必须挖台阶，台阶宽度不小于2.0m，</w:t>
            </w:r>
          </w:p>
          <w:p>
            <w:pPr>
              <w:pStyle w:val="003"/>
              <w:ind w:firstLine="420"/>
              <w:rPr>
                <w:color w:val="auto"/>
              </w:rPr>
            </w:pPr>
            <w:r>
              <w:rPr>
                <w:color w:val="auto"/>
              </w:rPr>
              <w:t>台阶底应有2%～4%向内倾斜的坡度。</w:t>
            </w:r>
          </w:p>
          <w:p>
            <w:pPr>
              <w:pStyle w:val="003"/>
              <w:ind w:firstLine="420"/>
              <w:rPr>
                <w:color w:val="auto"/>
              </w:rPr>
            </w:pPr>
            <w:r>
              <w:rPr>
                <w:rFonts w:ascii="宋体" w:hAnsi="宋体" w:cs="宋体" w:hint="eastAsia"/>
                <w:color w:val="auto"/>
              </w:rPr>
              <w:t>④</w:t>
            </w:r>
            <w:r>
              <w:rPr>
                <w:color w:val="auto"/>
              </w:rPr>
              <w:t>一般路基处理</w:t>
            </w:r>
          </w:p>
          <w:p>
            <w:pPr>
              <w:pStyle w:val="003"/>
              <w:ind w:firstLine="420"/>
              <w:rPr>
                <w:color w:val="auto"/>
              </w:rPr>
            </w:pPr>
            <w:r>
              <w:rPr>
                <w:color w:val="auto"/>
              </w:rPr>
              <w:t>根据地勘资料，本工程表层分布耕素填土、杂填土等不良土质，且地下水位较高。当土层最小强度CBR满足规范要求且含水量适度时，可采取翻挖后压实处理；当土层含水量较大时，通过换填砂砾石换填后压实；当土层含水量较小时，需进行处理后方可填筑。当土层最小强度CBR不能满足要求时，也应采取换填处理。处理后上下路床压实度必须满足规范要求。</w:t>
            </w:r>
          </w:p>
          <w:p>
            <w:pPr>
              <w:pStyle w:val="003"/>
              <w:ind w:firstLine="420"/>
              <w:rPr>
                <w:color w:val="auto"/>
              </w:rPr>
            </w:pPr>
            <w:r>
              <w:rPr>
                <w:rFonts w:ascii="宋体" w:hAnsi="宋体" w:cs="宋体" w:hint="eastAsia"/>
                <w:color w:val="auto"/>
              </w:rPr>
              <w:t>⑤</w:t>
            </w:r>
            <w:r>
              <w:rPr>
                <w:color w:val="auto"/>
              </w:rPr>
              <w:t>路基加强处理</w:t>
            </w:r>
          </w:p>
          <w:p>
            <w:pPr>
              <w:pStyle w:val="003"/>
              <w:ind w:firstLine="420"/>
              <w:rPr>
                <w:color w:val="auto"/>
              </w:rPr>
            </w:pPr>
            <w:r>
              <w:rPr>
                <w:color w:val="auto"/>
              </w:rPr>
              <w:t>为提高路基稳定性及路基强度，车行道范围内路基（路面结构底以下80cm范围）采用砂砾石进行加强，人行道范围内路基（路面结构底30cm范围）采用砂砾石进行加强，其中岩质挖方段除外，砂砾石压实度满足一般路基设计要求。车行道路基顶回弹模量不小于40MPa，人行道基顶回弹模量不小于20MPa。</w:t>
            </w:r>
          </w:p>
          <w:p>
            <w:pPr>
              <w:pStyle w:val="003"/>
              <w:ind w:firstLine="420"/>
              <w:rPr>
                <w:color w:val="auto"/>
              </w:rPr>
            </w:pPr>
            <w:r>
              <w:rPr>
                <w:rFonts w:ascii="宋体" w:hAnsi="宋体" w:cs="宋体" w:hint="eastAsia"/>
                <w:color w:val="auto"/>
              </w:rPr>
              <w:t>⑥</w:t>
            </w:r>
            <w:r>
              <w:rPr>
                <w:color w:val="auto"/>
              </w:rPr>
              <w:t>路基边坡</w:t>
            </w:r>
          </w:p>
          <w:p>
            <w:pPr>
              <w:pStyle w:val="003"/>
              <w:ind w:firstLine="420"/>
              <w:rPr>
                <w:color w:val="auto"/>
              </w:rPr>
            </w:pPr>
            <w:r>
              <w:rPr>
                <w:color w:val="auto"/>
              </w:rPr>
              <w:t>本工程处于雅安，路段范围内路基填挖高较大，采用坡率如下：</w:t>
            </w:r>
          </w:p>
          <w:p>
            <w:pPr>
              <w:pStyle w:val="003"/>
              <w:ind w:firstLine="420"/>
              <w:rPr>
                <w:color w:val="auto"/>
              </w:rPr>
            </w:pPr>
            <w:r>
              <w:rPr>
                <w:color w:val="auto"/>
              </w:rPr>
              <w:t>填方边坡：道路填方最大高度为12米，填方边坡由上至下设计坡率为：1:1.5、1:1.75，分级高度为8米。</w:t>
            </w:r>
          </w:p>
          <w:p>
            <w:pPr>
              <w:pStyle w:val="003"/>
              <w:spacing w:after="0"/>
              <w:ind w:firstLine="420"/>
              <w:rPr>
                <w:color w:val="auto"/>
              </w:rPr>
            </w:pPr>
          </w:p>
        </w:tc>
      </w:tr>
    </w:tbl>
    <w:p>
      <w:pPr>
        <w:sectPr>
          <w:footerReference w:type="even" r:id="rId58"/>
          <w:footerReference w:type="default" r:id="rId59"/>
          <w:type w:val="nextPage"/>
          <w:pgSz w:w="11906" w:h="16838"/>
          <w:pgMar w:top="1440" w:right="1800" w:bottom="1440" w:left="1800" w:header="851" w:footer="1077" w:gutter="0"/>
          <w:pgNumType w:start="22"/>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pStyle w:val="003"/>
              <w:spacing w:before="0"/>
              <w:ind w:firstLine="420"/>
              <w:rPr>
                <w:color w:val="auto"/>
              </w:rPr>
            </w:pPr>
            <w:r>
              <w:rPr>
                <w:color w:val="auto"/>
              </w:rPr>
              <w:t>挖方边坡：本道路土质边坡挖方边坡坡率为1：1.5，每隔8m一个平台，平台宽2m，平台底应有</w:t>
            </w:r>
            <w:r>
              <w:rPr>
                <w:color w:val="auto"/>
              </w:rPr>
              <w:t xml:space="preserve"> 2%向倾斜的缓坡；道路最大挖深为16米，为岩质挖方边坡，根据地勘报告边坡由下至上设计坡率为：</w:t>
            </w:r>
            <w:r>
              <w:rPr>
                <w:color w:val="auto"/>
              </w:rPr>
              <w:t xml:space="preserve"> 1:1</w:t>
            </w:r>
            <w:r>
              <w:rPr>
                <w:color w:val="auto"/>
              </w:rPr>
              <w:t xml:space="preserve"> 、</w:t>
            </w:r>
            <w:r>
              <w:rPr>
                <w:color w:val="auto"/>
              </w:rPr>
              <w:t xml:space="preserve"> 1:1.5，每隔</w:t>
            </w:r>
            <w:r>
              <w:rPr>
                <w:color w:val="auto"/>
              </w:rPr>
              <w:t xml:space="preserve"> 8m</w:t>
            </w:r>
            <w:r>
              <w:rPr>
                <w:color w:val="auto"/>
              </w:rPr>
              <w:t xml:space="preserve"> 一个平台。为保护路基，人行道外侧设置</w:t>
            </w:r>
            <w:r>
              <w:rPr>
                <w:color w:val="auto"/>
              </w:rPr>
              <w:t xml:space="preserve"> 0.5m</w:t>
            </w:r>
            <w:r>
              <w:rPr>
                <w:color w:val="auto"/>
              </w:rPr>
              <w:t xml:space="preserve"> 保护性土路肩，坡向路基外侧，坡度为</w:t>
            </w:r>
            <w:r>
              <w:rPr>
                <w:color w:val="auto"/>
              </w:rPr>
              <w:t xml:space="preserve"> 3%。</w:t>
            </w:r>
          </w:p>
          <w:p>
            <w:pPr>
              <w:pStyle w:val="003"/>
              <w:ind w:firstLine="420"/>
              <w:rPr>
                <w:color w:val="auto"/>
              </w:rPr>
            </w:pPr>
            <w:r>
              <w:rPr>
                <w:color w:val="auto"/>
              </w:rPr>
              <w:t>（2）特殊路基处理</w:t>
            </w:r>
          </w:p>
          <w:p>
            <w:pPr>
              <w:pStyle w:val="003"/>
              <w:ind w:firstLine="420"/>
              <w:rPr>
                <w:color w:val="auto"/>
              </w:rPr>
            </w:pPr>
            <w:r>
              <w:rPr>
                <w:color w:val="auto"/>
              </w:rPr>
              <w:t>本工程特殊路基主要包括：填挖交界、台背回填、软土路基等。</w:t>
            </w:r>
          </w:p>
          <w:p>
            <w:pPr>
              <w:pStyle w:val="003"/>
              <w:ind w:firstLine="420"/>
              <w:rPr>
                <w:color w:val="auto"/>
              </w:rPr>
            </w:pPr>
            <w:r>
              <w:rPr>
                <w:color w:val="auto"/>
              </w:rPr>
              <w:fldChar w:fldCharType="begin"/>
            </w:r>
            <w:r>
              <w:rPr>
                <w:color w:val="auto"/>
              </w:rPr>
              <w:instrText xml:space="preserve"> = 1 \* GB3 </w:instrText>
            </w:r>
            <w:r>
              <w:rPr>
                <w:color w:val="auto"/>
              </w:rPr>
              <w:fldChar w:fldCharType="separate"/>
            </w:r>
            <w:r>
              <w:rPr>
                <w:rFonts w:ascii="宋体" w:hAnsi="宋体" w:cs="宋体" w:hint="eastAsia"/>
                <w:color w:val="auto"/>
              </w:rPr>
              <w:t>①</w:t>
            </w:r>
            <w:r>
              <w:rPr>
                <w:color w:val="auto"/>
              </w:rPr>
              <w:fldChar w:fldCharType="end"/>
            </w:r>
            <w:r>
              <w:rPr>
                <w:color w:val="auto"/>
              </w:rPr>
              <w:t>填挖交界</w:t>
            </w:r>
          </w:p>
          <w:p>
            <w:pPr>
              <w:pStyle w:val="003"/>
              <w:ind w:firstLine="420"/>
              <w:rPr>
                <w:color w:val="auto"/>
              </w:rPr>
            </w:pPr>
            <w:r>
              <w:rPr>
                <w:color w:val="auto"/>
              </w:rPr>
              <w:t xml:space="preserve">填挖交界处应设置过渡段，过渡段长度不小于 20m。当原地面横坡大于 1:5 小于 1:2.5 时，原地表开挖成向内倾斜 </w:t>
            </w:r>
            <w:r>
              <w:rPr>
                <w:rFonts w:hint="eastAsia"/>
                <w:color w:val="auto"/>
              </w:rPr>
              <w:t>2%～4%</w:t>
            </w:r>
            <w:r>
              <w:rPr>
                <w:color w:val="auto"/>
              </w:rPr>
              <w:t>的反向台阶，台阶宽度不得小于 2.0 米，路基进行砂砾石加强处理方式；</w:t>
            </w:r>
          </w:p>
          <w:p>
            <w:pPr>
              <w:pStyle w:val="003"/>
              <w:ind w:firstLine="420"/>
              <w:rPr>
                <w:color w:val="auto"/>
              </w:rPr>
            </w:pPr>
            <w:r>
              <w:rPr>
                <w:color w:val="auto"/>
              </w:rPr>
              <w:t>当地面横坡大于 1： 2.5 时，原地面除要求开挖台阶外，还应在路面底面以下铺设 2～3 层土工格栅，格栅伸入挖方段长度不小于 4.0 米，伸入填方区不小于 15 米，路基进行砂砾石处理。</w:t>
            </w:r>
          </w:p>
          <w:p>
            <w:pPr>
              <w:pStyle w:val="003"/>
              <w:ind w:firstLine="420"/>
              <w:rPr>
                <w:color w:val="auto"/>
              </w:rPr>
            </w:pPr>
            <w:r>
              <w:rPr>
                <w:color w:val="auto"/>
              </w:rPr>
              <w:fldChar w:fldCharType="begin"/>
            </w:r>
            <w:r>
              <w:rPr>
                <w:color w:val="auto"/>
              </w:rPr>
              <w:instrText xml:space="preserve"> = 2 \* GB3 </w:instrText>
            </w:r>
            <w:r>
              <w:rPr>
                <w:color w:val="auto"/>
              </w:rPr>
              <w:fldChar w:fldCharType="separate"/>
            </w:r>
            <w:r>
              <w:rPr>
                <w:rFonts w:ascii="宋体" w:hAnsi="宋体" w:cs="宋体" w:hint="eastAsia"/>
                <w:color w:val="auto"/>
              </w:rPr>
              <w:t>②</w:t>
            </w:r>
            <w:r>
              <w:rPr>
                <w:color w:val="auto"/>
              </w:rPr>
              <w:fldChar w:fldCharType="end"/>
            </w:r>
            <w:r>
              <w:rPr>
                <w:color w:val="auto"/>
              </w:rPr>
              <w:t>台背回填</w:t>
            </w:r>
          </w:p>
          <w:p>
            <w:pPr>
              <w:pStyle w:val="003"/>
              <w:ind w:firstLine="420"/>
              <w:rPr>
                <w:color w:val="auto"/>
              </w:rPr>
            </w:pPr>
            <w:r>
              <w:rPr>
                <w:color w:val="auto"/>
              </w:rPr>
              <w:t>为控制桥梁台后填土的不均匀沉降，避免“跳车”现象，台后根据规范设置路基过渡段，过渡段底面沿路线纵向长度为 3m， 台后按 1： 2 坡度的范围采用砂砾石回填，整个过渡段的路堤压实度应不小于 96%</w:t>
            </w:r>
            <w:r>
              <w:rPr>
                <w:rFonts w:hint="eastAsia"/>
                <w:color w:val="auto"/>
              </w:rPr>
              <w:t>（</w:t>
            </w:r>
            <w:r>
              <w:rPr>
                <w:color w:val="auto"/>
              </w:rPr>
              <w:t>重型）。</w:t>
            </w:r>
          </w:p>
          <w:p>
            <w:pPr>
              <w:pStyle w:val="003"/>
              <w:ind w:firstLine="420"/>
              <w:rPr>
                <w:color w:val="auto"/>
              </w:rPr>
            </w:pPr>
            <w:r>
              <w:rPr>
                <w:color w:val="auto"/>
              </w:rPr>
              <w:fldChar w:fldCharType="begin"/>
            </w:r>
            <w:r>
              <w:rPr>
                <w:color w:val="auto"/>
              </w:rPr>
              <w:instrText xml:space="preserve"> = 3 \* GB3 </w:instrText>
            </w:r>
            <w:r>
              <w:rPr>
                <w:color w:val="auto"/>
              </w:rPr>
              <w:fldChar w:fldCharType="separate"/>
            </w:r>
            <w:r>
              <w:rPr>
                <w:rFonts w:ascii="宋体" w:hAnsi="宋体" w:cs="宋体" w:hint="eastAsia"/>
                <w:color w:val="auto"/>
              </w:rPr>
              <w:t>③</w:t>
            </w:r>
            <w:r>
              <w:rPr>
                <w:color w:val="auto"/>
              </w:rPr>
              <w:fldChar w:fldCharType="end"/>
            </w:r>
            <w:r>
              <w:rPr>
                <w:color w:val="auto"/>
              </w:rPr>
              <w:t>软土路基</w:t>
            </w:r>
          </w:p>
          <w:p>
            <w:pPr>
              <w:pStyle w:val="003"/>
              <w:ind w:firstLine="420"/>
              <w:rPr>
                <w:color w:val="auto"/>
              </w:rPr>
            </w:pPr>
            <w:r>
              <w:rPr>
                <w:color w:val="auto"/>
              </w:rPr>
              <w:t>根据地勘， 本项目软弱地基主要为杂填土、素填土、软塑黏土等，深度 1～4m， 承载力低，地基需处理。根据地勘建议当地类似工程经验，软弱土处理措施包括换填透水性材料、碎石桩处理、强夯处理等。本工程建议采用换填方式进行处理。</w:t>
            </w:r>
          </w:p>
          <w:p>
            <w:pPr>
              <w:pStyle w:val="003"/>
              <w:ind w:firstLine="420"/>
              <w:rPr>
                <w:color w:val="auto"/>
              </w:rPr>
            </w:pPr>
            <w:r>
              <w:rPr>
                <w:color w:val="auto"/>
              </w:rPr>
              <w:t>路基土石方工程：路基填料应充分利用挖方中的泥岩、砂岩、适宜的低液限粉质黏土，作为筑路材料；挖余和不适宜填料均选择弃土场集中弃置堆放或临时堆放。路基处理中的换填材料应尽可能利用挖方中的透水性砂岩，换填片块石尽量利用挖方中的饱水抗压强度达到要求的石料；若挖方材料不满足要求则应外购。施工时应根据填料料源情况进行合理调配，将水稳性好、强度和 CBR 值高的填料充分利用至工程最佳部位。应高度重视泥岩遇水软化问题。</w:t>
            </w:r>
          </w:p>
          <w:p>
            <w:pPr>
              <w:pStyle w:val="003"/>
              <w:ind w:firstLine="420"/>
              <w:rPr>
                <w:color w:val="auto"/>
              </w:rPr>
            </w:pPr>
            <w:r>
              <w:rPr>
                <w:color w:val="auto"/>
              </w:rPr>
              <w:t>（4）调配及存放方案</w:t>
            </w:r>
          </w:p>
          <w:p>
            <w:pPr>
              <w:pStyle w:val="003"/>
              <w:ind w:firstLine="420"/>
              <w:rPr>
                <w:color w:val="auto"/>
              </w:rPr>
            </w:pPr>
            <w:r>
              <w:rPr>
                <w:rFonts w:ascii="宋体" w:hAnsi="宋体" w:cs="宋体" w:hint="eastAsia"/>
                <w:color w:val="auto"/>
              </w:rPr>
              <w:t>①</w:t>
            </w:r>
            <w:r>
              <w:rPr>
                <w:color w:val="auto"/>
              </w:rPr>
              <w:t>清表土和清淤土</w:t>
            </w:r>
          </w:p>
          <w:p>
            <w:pPr>
              <w:pStyle w:val="003"/>
              <w:ind w:firstLine="420"/>
              <w:rPr>
                <w:color w:val="auto"/>
              </w:rPr>
            </w:pPr>
            <w:r>
              <w:rPr>
                <w:color w:val="auto"/>
              </w:rPr>
              <w:t>集中堆放的耕植土不得对道路以外的环境造成破坏，应</w:t>
            </w:r>
            <w:r>
              <w:rPr>
                <w:rFonts w:hint="eastAsia"/>
                <w:color w:val="auto"/>
              </w:rPr>
              <w:t>可能地做到</w:t>
            </w:r>
            <w:r>
              <w:rPr>
                <w:color w:val="auto"/>
              </w:rPr>
              <w:t>保护环境。集中堆放的耕植土应按设计要求及水保相关要求进行绿化防护、压实及排水管沟的设置。</w:t>
            </w:r>
          </w:p>
          <w:p>
            <w:pPr>
              <w:pStyle w:val="003"/>
              <w:ind w:firstLine="420"/>
              <w:rPr>
                <w:color w:val="auto"/>
              </w:rPr>
            </w:pPr>
            <w:r>
              <w:rPr>
                <w:rFonts w:ascii="宋体" w:hAnsi="宋体" w:cs="宋体" w:hint="eastAsia"/>
                <w:color w:val="auto"/>
              </w:rPr>
              <w:t>②</w:t>
            </w:r>
            <w:r>
              <w:rPr>
                <w:color w:val="auto"/>
              </w:rPr>
              <w:t>填挖调配与取弃土场</w:t>
            </w:r>
          </w:p>
          <w:p>
            <w:pPr>
              <w:pStyle w:val="003"/>
              <w:ind w:firstLine="420"/>
              <w:rPr>
                <w:color w:val="auto"/>
              </w:rPr>
            </w:pPr>
            <w:r>
              <w:rPr>
                <w:color w:val="auto"/>
              </w:rPr>
              <w:t>本项目挖方量大于填方量，挖方大体满足道路回填使用，剩余合格挖方应予以充分调配利用作为填方使用。应科学合理安排施工组织和施工方案，综合拟定最优的填挖调配方案，以充分利用挖方至工程最佳部位。具体施工时，可根据现场实际情况进行动态平衡与调配，按实确定借弃方与运距。施工期间严禁乱堆乱弃随意取土，取弃土场需经建设单位同意备案后方可使用。</w:t>
            </w:r>
          </w:p>
          <w:p>
            <w:pPr>
              <w:pStyle w:val="003"/>
              <w:ind w:firstLine="420"/>
              <w:rPr>
                <w:color w:val="auto"/>
              </w:rPr>
            </w:pPr>
            <w:r>
              <w:rPr>
                <w:color w:val="auto"/>
              </w:rPr>
              <w:t>（5）路基边坡防护</w:t>
            </w:r>
          </w:p>
        </w:tc>
      </w:tr>
    </w:tbl>
    <w:p>
      <w:pPr>
        <w:sectPr>
          <w:footerReference w:type="even" r:id="rId60"/>
          <w:footerReference w:type="default" r:id="rId61"/>
          <w:type w:val="nextPage"/>
          <w:pgSz w:w="11906" w:h="16838"/>
          <w:pgMar w:top="1440" w:right="1800" w:bottom="1440" w:left="1800" w:header="851" w:footer="1077" w:gutter="0"/>
          <w:pgNumType w:start="23"/>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pStyle w:val="003"/>
              <w:ind w:firstLine="420"/>
              <w:rPr>
                <w:color w:val="auto"/>
              </w:rPr>
            </w:pPr>
            <w:r>
              <w:rPr>
                <w:color w:val="auto"/>
              </w:rPr>
              <w:t>因本项目区域内地块正在开发或即将开发，本项目北侧为防护绿地，采取永久性 TBS 生态边坡防护</w:t>
            </w:r>
            <w:r>
              <w:rPr>
                <w:rFonts w:hint="eastAsia"/>
                <w:color w:val="auto"/>
              </w:rPr>
              <w:t>，</w:t>
            </w:r>
            <w:r>
              <w:rPr>
                <w:color w:val="auto"/>
              </w:rPr>
              <w:t>南侧地块正在开发或即将开发，边坡不做永久性实体护坡，本工程道路岩质挖方边坡采用 TBS生态边坡防护，填方边坡及土质挖方边坡采用植草方式护坡及挂三维网植草。</w:t>
            </w:r>
          </w:p>
          <w:p>
            <w:pPr>
              <w:pStyle w:val="003"/>
              <w:ind w:firstLine="420"/>
              <w:rPr>
                <w:color w:val="auto"/>
              </w:rPr>
            </w:pPr>
            <w:r>
              <w:rPr>
                <w:color w:val="auto"/>
              </w:rPr>
              <w:t>（6）路基路面排水</w:t>
            </w:r>
          </w:p>
          <w:p>
            <w:pPr>
              <w:pStyle w:val="003"/>
              <w:ind w:firstLine="420"/>
              <w:rPr>
                <w:color w:val="auto"/>
              </w:rPr>
            </w:pPr>
            <w:r>
              <w:rPr>
                <w:color w:val="auto"/>
              </w:rPr>
              <w:t>路基填挖方设计浆砌排水沟及边沟，保证路基排水顺畅。</w:t>
            </w:r>
          </w:p>
          <w:p>
            <w:pPr>
              <w:pStyle w:val="003"/>
              <w:ind w:firstLine="420"/>
              <w:rPr>
                <w:color w:val="auto"/>
              </w:rPr>
            </w:pPr>
            <w:r>
              <w:rPr>
                <w:color w:val="auto"/>
              </w:rPr>
              <w:t>路面水通过设置在路面最低点处及路面边缘的雨水进水井汇集后排入道路下设置的雨水管道中排出。为防止雨水对坡面冲刷，本项目在北侧 K0+700~ K0+980 段、南侧 K0+800~ K0+980 段设置截水沟，保证路基坡顶排水顺畅。</w:t>
            </w:r>
          </w:p>
          <w:p>
            <w:pPr>
              <w:pStyle w:val="003"/>
              <w:ind w:firstLine="420"/>
              <w:rPr>
                <w:color w:val="auto"/>
              </w:rPr>
            </w:pPr>
            <w:r>
              <w:rPr>
                <w:color w:val="auto"/>
              </w:rPr>
              <w:t>（7）路面设计</w:t>
            </w:r>
          </w:p>
          <w:p>
            <w:pPr>
              <w:pStyle w:val="003"/>
              <w:ind w:firstLine="420"/>
              <w:rPr>
                <w:color w:val="auto"/>
              </w:rPr>
            </w:pPr>
            <w:r>
              <w:rPr>
                <w:color w:val="auto"/>
              </w:rPr>
              <w:t>路面采用沥青混凝土路面，路面设计轴载为 BZZ-100 标准轴载，交通量达到饱和状态时的道路设计年限为 15 年，路面设计累计当量轴次 Ne=13.37× 106，交通荷载等级为重型。</w:t>
            </w:r>
          </w:p>
          <w:p>
            <w:pPr>
              <w:pStyle w:val="031"/>
              <w:rPr>
                <w:color w:val="auto"/>
              </w:rPr>
            </w:pPr>
            <w:r>
              <w:rPr>
                <w:color w:val="auto"/>
              </w:rPr>
              <w:t>5、路线交叉</w:t>
            </w:r>
            <w:bookmarkStart w:id="13" w:name="路线交叉"/>
            <w:bookmarkEnd w:id="13"/>
          </w:p>
          <w:p>
            <w:pPr>
              <w:pStyle w:val="003"/>
              <w:ind w:firstLine="420"/>
              <w:rPr>
                <w:color w:val="auto"/>
              </w:rPr>
            </w:pPr>
            <w:r>
              <w:rPr>
                <w:color w:val="auto"/>
              </w:rPr>
              <w:t>道路范围内共形成 6 个平面交叉口，分别为龙洲路、创业路、新光路、科教路、草金路、永兴大道。共</w:t>
            </w:r>
            <w:r>
              <w:rPr>
                <w:rFonts w:hint="eastAsia"/>
                <w:color w:val="auto"/>
              </w:rPr>
              <w:t>涉及</w:t>
            </w:r>
            <w:r>
              <w:rPr>
                <w:color w:val="auto"/>
              </w:rPr>
              <w:t>与现状道路交叉口2个，分别与龙洲路和永兴大道形成交叉；规划路交叉口4个。均采用加铺转角式交叉口形式，采用信号灯控制的交通组织方式。其中中心路为 E 匝道预留，本次设计考虑下穿的位置关系，全线设置 4 个交点，最小圆曲线半径为 300m，</w:t>
            </w:r>
            <w:r>
              <w:rPr>
                <w:rFonts w:hint="eastAsia"/>
                <w:color w:val="auto"/>
              </w:rPr>
              <w:t>无须设置</w:t>
            </w:r>
            <w:r>
              <w:rPr>
                <w:color w:val="auto"/>
              </w:rPr>
              <w:t>超高加宽。道路平面设计详见附图4，交叉口设置一览表如下。</w:t>
            </w:r>
          </w:p>
          <w:p>
            <w:pPr>
              <w:pStyle w:val="0020"/>
              <w:rPr>
                <w:color w:val="auto"/>
              </w:rPr>
            </w:pPr>
            <w:r>
              <w:rPr>
                <w:color w:val="auto"/>
              </w:rPr>
              <w:t>表2-7  交叉口设置一览表</w:t>
            </w:r>
          </w:p>
          <w:tbl>
            <w:tblPr>
              <w:tblStyle w:val="TableNormal"/>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737"/>
              <w:gridCol w:w="1362"/>
              <w:gridCol w:w="1079"/>
              <w:gridCol w:w="1387"/>
              <w:gridCol w:w="1209"/>
              <w:gridCol w:w="964"/>
              <w:gridCol w:w="1305"/>
              <w:gridCol w:w="964"/>
            </w:tblGrid>
            <w:tr>
              <w:tblPrEx>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113"/>
                <w:tblHeader/>
                <w:jc w:val="center"/>
              </w:trPr>
              <w:tc>
                <w:tcPr>
                  <w:tcW w:w="409" w:type="pct"/>
                  <w:vAlign w:val="center"/>
                </w:tcPr>
                <w:p>
                  <w:pPr>
                    <w:jc w:val="center"/>
                    <w:rPr>
                      <w:szCs w:val="21"/>
                    </w:rPr>
                  </w:pPr>
                  <w:r>
                    <w:rPr>
                      <w:szCs w:val="21"/>
                    </w:rPr>
                    <w:t>编号</w:t>
                  </w:r>
                </w:p>
              </w:tc>
              <w:tc>
                <w:tcPr>
                  <w:tcW w:w="756" w:type="pct"/>
                  <w:vAlign w:val="center"/>
                </w:tcPr>
                <w:p>
                  <w:pPr>
                    <w:jc w:val="center"/>
                    <w:rPr>
                      <w:szCs w:val="21"/>
                    </w:rPr>
                  </w:pPr>
                  <w:r>
                    <w:rPr>
                      <w:szCs w:val="21"/>
                    </w:rPr>
                    <w:t>交叉口</w:t>
                  </w:r>
                </w:p>
                <w:p>
                  <w:pPr>
                    <w:jc w:val="center"/>
                    <w:rPr>
                      <w:szCs w:val="21"/>
                    </w:rPr>
                  </w:pPr>
                  <w:r>
                    <w:rPr>
                      <w:szCs w:val="21"/>
                    </w:rPr>
                    <w:t>桩号</w:t>
                  </w:r>
                </w:p>
              </w:tc>
              <w:tc>
                <w:tcPr>
                  <w:tcW w:w="599" w:type="pct"/>
                  <w:vAlign w:val="center"/>
                </w:tcPr>
                <w:p>
                  <w:pPr>
                    <w:jc w:val="center"/>
                    <w:rPr>
                      <w:szCs w:val="21"/>
                    </w:rPr>
                  </w:pPr>
                  <w:r>
                    <w:rPr>
                      <w:szCs w:val="21"/>
                    </w:rPr>
                    <w:t>交叉口</w:t>
                  </w:r>
                </w:p>
                <w:p>
                  <w:pPr>
                    <w:jc w:val="center"/>
                    <w:rPr>
                      <w:szCs w:val="21"/>
                    </w:rPr>
                  </w:pPr>
                  <w:r>
                    <w:rPr>
                      <w:szCs w:val="21"/>
                    </w:rPr>
                    <w:t>形式</w:t>
                  </w:r>
                </w:p>
              </w:tc>
              <w:tc>
                <w:tcPr>
                  <w:tcW w:w="770" w:type="pct"/>
                  <w:vAlign w:val="center"/>
                </w:tcPr>
                <w:p>
                  <w:pPr>
                    <w:jc w:val="center"/>
                    <w:rPr>
                      <w:szCs w:val="21"/>
                    </w:rPr>
                  </w:pPr>
                  <w:r>
                    <w:rPr>
                      <w:szCs w:val="21"/>
                    </w:rPr>
                    <w:t>相交道路名称</w:t>
                  </w:r>
                </w:p>
              </w:tc>
              <w:tc>
                <w:tcPr>
                  <w:tcW w:w="671" w:type="pct"/>
                  <w:vAlign w:val="center"/>
                </w:tcPr>
                <w:p>
                  <w:pPr>
                    <w:jc w:val="center"/>
                    <w:rPr>
                      <w:szCs w:val="21"/>
                    </w:rPr>
                  </w:pPr>
                  <w:r>
                    <w:rPr>
                      <w:szCs w:val="21"/>
                    </w:rPr>
                    <w:t>被交路红线</w:t>
                  </w:r>
                </w:p>
              </w:tc>
              <w:tc>
                <w:tcPr>
                  <w:tcW w:w="535" w:type="pct"/>
                  <w:vAlign w:val="center"/>
                </w:tcPr>
                <w:p>
                  <w:pPr>
                    <w:jc w:val="center"/>
                    <w:rPr>
                      <w:szCs w:val="21"/>
                    </w:rPr>
                  </w:pPr>
                  <w:r>
                    <w:rPr>
                      <w:szCs w:val="21"/>
                    </w:rPr>
                    <w:t>被交路</w:t>
                  </w:r>
                </w:p>
                <w:p>
                  <w:pPr>
                    <w:jc w:val="center"/>
                    <w:rPr>
                      <w:szCs w:val="21"/>
                    </w:rPr>
                  </w:pPr>
                  <w:r>
                    <w:rPr>
                      <w:szCs w:val="21"/>
                    </w:rPr>
                    <w:t>等级</w:t>
                  </w:r>
                </w:p>
              </w:tc>
              <w:tc>
                <w:tcPr>
                  <w:tcW w:w="724" w:type="pct"/>
                  <w:vAlign w:val="center"/>
                </w:tcPr>
                <w:p>
                  <w:pPr>
                    <w:jc w:val="center"/>
                    <w:rPr>
                      <w:szCs w:val="21"/>
                    </w:rPr>
                  </w:pPr>
                  <w:r>
                    <w:rPr>
                      <w:szCs w:val="21"/>
                    </w:rPr>
                    <w:t>交通组织形式</w:t>
                  </w:r>
                </w:p>
              </w:tc>
              <w:tc>
                <w:tcPr>
                  <w:tcW w:w="535" w:type="pct"/>
                  <w:vAlign w:val="center"/>
                </w:tcPr>
                <w:p>
                  <w:pPr>
                    <w:jc w:val="center"/>
                    <w:rPr>
                      <w:szCs w:val="21"/>
                    </w:rPr>
                  </w:pPr>
                  <w:r>
                    <w:rPr>
                      <w:szCs w:val="21"/>
                    </w:rPr>
                    <w:t>建设情况</w:t>
                  </w:r>
                </w:p>
              </w:tc>
            </w:tr>
            <w:tr>
              <w:tblPrEx>
                <w:tblW w:w="5000" w:type="pct"/>
                <w:jc w:val="center"/>
                <w:tblCellMar>
                  <w:top w:w="0" w:type="dxa"/>
                  <w:left w:w="108" w:type="dxa"/>
                  <w:bottom w:w="0" w:type="dxa"/>
                  <w:right w:w="108" w:type="dxa"/>
                </w:tblCellMar>
              </w:tblPrEx>
              <w:trPr>
                <w:trHeight w:val="113"/>
                <w:jc w:val="center"/>
              </w:trPr>
              <w:tc>
                <w:tcPr>
                  <w:tcW w:w="409" w:type="pct"/>
                  <w:vAlign w:val="center"/>
                </w:tcPr>
                <w:p>
                  <w:pPr>
                    <w:jc w:val="center"/>
                    <w:rPr>
                      <w:szCs w:val="21"/>
                    </w:rPr>
                  </w:pPr>
                  <w:r>
                    <w:rPr>
                      <w:szCs w:val="21"/>
                    </w:rPr>
                    <w:t>1</w:t>
                  </w:r>
                </w:p>
              </w:tc>
              <w:tc>
                <w:tcPr>
                  <w:tcW w:w="756" w:type="pct"/>
                  <w:vAlign w:val="center"/>
                </w:tcPr>
                <w:p>
                  <w:pPr>
                    <w:jc w:val="center"/>
                    <w:rPr>
                      <w:szCs w:val="21"/>
                    </w:rPr>
                  </w:pPr>
                  <w:r>
                    <w:rPr>
                      <w:szCs w:val="21"/>
                    </w:rPr>
                    <w:t>K0+000</w:t>
                  </w:r>
                </w:p>
              </w:tc>
              <w:tc>
                <w:tcPr>
                  <w:tcW w:w="599" w:type="pct"/>
                  <w:vAlign w:val="center"/>
                </w:tcPr>
                <w:p>
                  <w:pPr>
                    <w:jc w:val="center"/>
                    <w:rPr>
                      <w:szCs w:val="21"/>
                    </w:rPr>
                  </w:pPr>
                  <w:r>
                    <w:rPr>
                      <w:szCs w:val="21"/>
                    </w:rPr>
                    <w:t>丁</w:t>
                  </w:r>
                </w:p>
              </w:tc>
              <w:tc>
                <w:tcPr>
                  <w:tcW w:w="770" w:type="pct"/>
                  <w:vAlign w:val="center"/>
                </w:tcPr>
                <w:p>
                  <w:pPr>
                    <w:jc w:val="center"/>
                    <w:rPr>
                      <w:szCs w:val="21"/>
                    </w:rPr>
                  </w:pPr>
                  <w:r>
                    <w:rPr>
                      <w:szCs w:val="21"/>
                    </w:rPr>
                    <w:t>龙洲路</w:t>
                  </w:r>
                </w:p>
              </w:tc>
              <w:tc>
                <w:tcPr>
                  <w:tcW w:w="671" w:type="pct"/>
                  <w:vAlign w:val="center"/>
                </w:tcPr>
                <w:p>
                  <w:pPr>
                    <w:jc w:val="center"/>
                    <w:rPr>
                      <w:szCs w:val="21"/>
                    </w:rPr>
                  </w:pPr>
                  <w:r>
                    <w:rPr>
                      <w:szCs w:val="21"/>
                    </w:rPr>
                    <w:t>21米</w:t>
                  </w:r>
                </w:p>
              </w:tc>
              <w:tc>
                <w:tcPr>
                  <w:tcW w:w="535" w:type="pct"/>
                  <w:vAlign w:val="center"/>
                </w:tcPr>
                <w:p>
                  <w:pPr>
                    <w:jc w:val="center"/>
                    <w:rPr>
                      <w:szCs w:val="21"/>
                    </w:rPr>
                  </w:pPr>
                  <w:r>
                    <w:rPr>
                      <w:szCs w:val="21"/>
                    </w:rPr>
                    <w:t>次干路</w:t>
                  </w:r>
                </w:p>
              </w:tc>
              <w:tc>
                <w:tcPr>
                  <w:tcW w:w="724" w:type="pct"/>
                  <w:vAlign w:val="center"/>
                </w:tcPr>
                <w:p>
                  <w:pPr>
                    <w:jc w:val="center"/>
                    <w:rPr>
                      <w:szCs w:val="21"/>
                    </w:rPr>
                  </w:pPr>
                  <w:r>
                    <w:rPr>
                      <w:szCs w:val="21"/>
                    </w:rPr>
                    <w:t>平A2类</w:t>
                  </w:r>
                </w:p>
              </w:tc>
              <w:tc>
                <w:tcPr>
                  <w:tcW w:w="535" w:type="pct"/>
                  <w:vAlign w:val="center"/>
                </w:tcPr>
                <w:p>
                  <w:pPr>
                    <w:jc w:val="center"/>
                    <w:rPr>
                      <w:szCs w:val="21"/>
                    </w:rPr>
                  </w:pPr>
                  <w:r>
                    <w:rPr>
                      <w:szCs w:val="21"/>
                    </w:rPr>
                    <w:t>已建</w:t>
                  </w:r>
                </w:p>
              </w:tc>
            </w:tr>
            <w:tr>
              <w:tblPrEx>
                <w:tblW w:w="5000" w:type="pct"/>
                <w:jc w:val="center"/>
                <w:tblCellMar>
                  <w:top w:w="0" w:type="dxa"/>
                  <w:left w:w="108" w:type="dxa"/>
                  <w:bottom w:w="0" w:type="dxa"/>
                  <w:right w:w="108" w:type="dxa"/>
                </w:tblCellMar>
              </w:tblPrEx>
              <w:trPr>
                <w:trHeight w:val="113"/>
                <w:jc w:val="center"/>
              </w:trPr>
              <w:tc>
                <w:tcPr>
                  <w:tcW w:w="409" w:type="pct"/>
                  <w:vAlign w:val="center"/>
                </w:tcPr>
                <w:p>
                  <w:pPr>
                    <w:jc w:val="center"/>
                    <w:rPr>
                      <w:szCs w:val="21"/>
                    </w:rPr>
                  </w:pPr>
                  <w:r>
                    <w:rPr>
                      <w:szCs w:val="21"/>
                    </w:rPr>
                    <w:t>2</w:t>
                  </w:r>
                </w:p>
              </w:tc>
              <w:tc>
                <w:tcPr>
                  <w:tcW w:w="756" w:type="pct"/>
                  <w:vAlign w:val="center"/>
                </w:tcPr>
                <w:p>
                  <w:pPr>
                    <w:jc w:val="center"/>
                    <w:rPr>
                      <w:szCs w:val="21"/>
                    </w:rPr>
                  </w:pPr>
                  <w:r>
                    <w:rPr>
                      <w:szCs w:val="21"/>
                    </w:rPr>
                    <w:t>K1+268.877</w:t>
                  </w:r>
                </w:p>
              </w:tc>
              <w:tc>
                <w:tcPr>
                  <w:tcW w:w="599" w:type="pct"/>
                  <w:vAlign w:val="center"/>
                </w:tcPr>
                <w:p>
                  <w:pPr>
                    <w:jc w:val="center"/>
                    <w:rPr>
                      <w:szCs w:val="21"/>
                    </w:rPr>
                  </w:pPr>
                  <w:r>
                    <w:rPr>
                      <w:szCs w:val="21"/>
                    </w:rPr>
                    <w:t>丁</w:t>
                  </w:r>
                </w:p>
              </w:tc>
              <w:tc>
                <w:tcPr>
                  <w:tcW w:w="770" w:type="pct"/>
                  <w:vAlign w:val="center"/>
                </w:tcPr>
                <w:p>
                  <w:pPr>
                    <w:jc w:val="center"/>
                    <w:rPr>
                      <w:szCs w:val="21"/>
                    </w:rPr>
                  </w:pPr>
                  <w:r>
                    <w:rPr>
                      <w:szCs w:val="21"/>
                    </w:rPr>
                    <w:t>创业路</w:t>
                  </w:r>
                </w:p>
              </w:tc>
              <w:tc>
                <w:tcPr>
                  <w:tcW w:w="671" w:type="pct"/>
                  <w:vAlign w:val="center"/>
                </w:tcPr>
                <w:p>
                  <w:pPr>
                    <w:jc w:val="center"/>
                    <w:rPr>
                      <w:szCs w:val="21"/>
                    </w:rPr>
                  </w:pPr>
                  <w:r>
                    <w:rPr>
                      <w:szCs w:val="21"/>
                    </w:rPr>
                    <w:t>30米</w:t>
                  </w:r>
                </w:p>
              </w:tc>
              <w:tc>
                <w:tcPr>
                  <w:tcW w:w="535" w:type="pct"/>
                  <w:vAlign w:val="center"/>
                </w:tcPr>
                <w:p>
                  <w:pPr>
                    <w:jc w:val="center"/>
                    <w:rPr>
                      <w:szCs w:val="21"/>
                    </w:rPr>
                  </w:pPr>
                  <w:r>
                    <w:rPr>
                      <w:szCs w:val="21"/>
                    </w:rPr>
                    <w:t>主干路</w:t>
                  </w:r>
                </w:p>
              </w:tc>
              <w:tc>
                <w:tcPr>
                  <w:tcW w:w="724" w:type="pct"/>
                  <w:vAlign w:val="center"/>
                </w:tcPr>
                <w:p>
                  <w:pPr>
                    <w:jc w:val="center"/>
                    <w:rPr>
                      <w:szCs w:val="21"/>
                    </w:rPr>
                  </w:pPr>
                  <w:r>
                    <w:rPr>
                      <w:szCs w:val="21"/>
                    </w:rPr>
                    <w:t>平A2类</w:t>
                  </w:r>
                </w:p>
              </w:tc>
              <w:tc>
                <w:tcPr>
                  <w:tcW w:w="535" w:type="pct"/>
                  <w:vAlign w:val="center"/>
                </w:tcPr>
                <w:p>
                  <w:pPr>
                    <w:jc w:val="center"/>
                    <w:rPr>
                      <w:szCs w:val="21"/>
                    </w:rPr>
                  </w:pPr>
                  <w:r>
                    <w:rPr>
                      <w:szCs w:val="21"/>
                    </w:rPr>
                    <w:t>规划</w:t>
                  </w:r>
                </w:p>
              </w:tc>
            </w:tr>
            <w:tr>
              <w:tblPrEx>
                <w:tblW w:w="5000" w:type="pct"/>
                <w:jc w:val="center"/>
                <w:tblCellMar>
                  <w:top w:w="0" w:type="dxa"/>
                  <w:left w:w="108" w:type="dxa"/>
                  <w:bottom w:w="0" w:type="dxa"/>
                  <w:right w:w="108" w:type="dxa"/>
                </w:tblCellMar>
              </w:tblPrEx>
              <w:trPr>
                <w:trHeight w:val="113"/>
                <w:jc w:val="center"/>
              </w:trPr>
              <w:tc>
                <w:tcPr>
                  <w:tcW w:w="409" w:type="pct"/>
                  <w:vAlign w:val="center"/>
                </w:tcPr>
                <w:p>
                  <w:pPr>
                    <w:jc w:val="center"/>
                    <w:rPr>
                      <w:szCs w:val="21"/>
                    </w:rPr>
                  </w:pPr>
                  <w:r>
                    <w:rPr>
                      <w:szCs w:val="21"/>
                    </w:rPr>
                    <w:t>3</w:t>
                  </w:r>
                </w:p>
              </w:tc>
              <w:tc>
                <w:tcPr>
                  <w:tcW w:w="756" w:type="pct"/>
                  <w:vAlign w:val="center"/>
                </w:tcPr>
                <w:p>
                  <w:pPr>
                    <w:jc w:val="center"/>
                    <w:rPr>
                      <w:szCs w:val="21"/>
                    </w:rPr>
                  </w:pPr>
                  <w:r>
                    <w:rPr>
                      <w:szCs w:val="21"/>
                    </w:rPr>
                    <w:t>K1+531.513</w:t>
                  </w:r>
                </w:p>
              </w:tc>
              <w:tc>
                <w:tcPr>
                  <w:tcW w:w="599" w:type="pct"/>
                  <w:vAlign w:val="center"/>
                </w:tcPr>
                <w:p>
                  <w:pPr>
                    <w:jc w:val="center"/>
                    <w:rPr>
                      <w:szCs w:val="21"/>
                    </w:rPr>
                  </w:pPr>
                  <w:r>
                    <w:rPr>
                      <w:szCs w:val="21"/>
                    </w:rPr>
                    <w:t>丁</w:t>
                  </w:r>
                </w:p>
              </w:tc>
              <w:tc>
                <w:tcPr>
                  <w:tcW w:w="770" w:type="pct"/>
                  <w:vAlign w:val="center"/>
                </w:tcPr>
                <w:p>
                  <w:pPr>
                    <w:jc w:val="center"/>
                    <w:rPr>
                      <w:szCs w:val="21"/>
                    </w:rPr>
                  </w:pPr>
                  <w:r>
                    <w:rPr>
                      <w:szCs w:val="21"/>
                    </w:rPr>
                    <w:t>新光路</w:t>
                  </w:r>
                </w:p>
              </w:tc>
              <w:tc>
                <w:tcPr>
                  <w:tcW w:w="671" w:type="pct"/>
                  <w:vAlign w:val="center"/>
                </w:tcPr>
                <w:p>
                  <w:pPr>
                    <w:jc w:val="center"/>
                    <w:rPr>
                      <w:szCs w:val="21"/>
                    </w:rPr>
                  </w:pPr>
                  <w:r>
                    <w:rPr>
                      <w:szCs w:val="21"/>
                    </w:rPr>
                    <w:t>16米</w:t>
                  </w:r>
                </w:p>
              </w:tc>
              <w:tc>
                <w:tcPr>
                  <w:tcW w:w="535" w:type="pct"/>
                  <w:vAlign w:val="center"/>
                </w:tcPr>
                <w:p>
                  <w:pPr>
                    <w:jc w:val="center"/>
                    <w:rPr>
                      <w:szCs w:val="21"/>
                    </w:rPr>
                  </w:pPr>
                  <w:r>
                    <w:rPr>
                      <w:szCs w:val="21"/>
                    </w:rPr>
                    <w:t>支路</w:t>
                  </w:r>
                </w:p>
              </w:tc>
              <w:tc>
                <w:tcPr>
                  <w:tcW w:w="724" w:type="pct"/>
                  <w:vAlign w:val="center"/>
                </w:tcPr>
                <w:p>
                  <w:pPr>
                    <w:jc w:val="center"/>
                    <w:rPr>
                      <w:szCs w:val="21"/>
                    </w:rPr>
                  </w:pPr>
                  <w:r>
                    <w:rPr>
                      <w:szCs w:val="21"/>
                    </w:rPr>
                    <w:t>平B2类</w:t>
                  </w:r>
                </w:p>
              </w:tc>
              <w:tc>
                <w:tcPr>
                  <w:tcW w:w="535" w:type="pct"/>
                  <w:vAlign w:val="center"/>
                </w:tcPr>
                <w:p>
                  <w:pPr>
                    <w:jc w:val="center"/>
                    <w:rPr>
                      <w:szCs w:val="21"/>
                    </w:rPr>
                  </w:pPr>
                  <w:r>
                    <w:rPr>
                      <w:szCs w:val="21"/>
                    </w:rPr>
                    <w:t>规划</w:t>
                  </w:r>
                </w:p>
              </w:tc>
            </w:tr>
            <w:tr>
              <w:tblPrEx>
                <w:tblW w:w="5000" w:type="pct"/>
                <w:jc w:val="center"/>
                <w:tblCellMar>
                  <w:top w:w="0" w:type="dxa"/>
                  <w:left w:w="108" w:type="dxa"/>
                  <w:bottom w:w="0" w:type="dxa"/>
                  <w:right w:w="108" w:type="dxa"/>
                </w:tblCellMar>
              </w:tblPrEx>
              <w:trPr>
                <w:trHeight w:val="113"/>
                <w:jc w:val="center"/>
              </w:trPr>
              <w:tc>
                <w:tcPr>
                  <w:tcW w:w="409" w:type="pct"/>
                  <w:vAlign w:val="center"/>
                </w:tcPr>
                <w:p>
                  <w:pPr>
                    <w:jc w:val="center"/>
                    <w:rPr>
                      <w:szCs w:val="21"/>
                    </w:rPr>
                  </w:pPr>
                  <w:r>
                    <w:rPr>
                      <w:szCs w:val="21"/>
                    </w:rPr>
                    <w:t>4</w:t>
                  </w:r>
                </w:p>
              </w:tc>
              <w:tc>
                <w:tcPr>
                  <w:tcW w:w="756" w:type="pct"/>
                  <w:vAlign w:val="center"/>
                </w:tcPr>
                <w:p>
                  <w:pPr>
                    <w:jc w:val="center"/>
                    <w:rPr>
                      <w:szCs w:val="21"/>
                    </w:rPr>
                  </w:pPr>
                  <w:r>
                    <w:rPr>
                      <w:szCs w:val="21"/>
                    </w:rPr>
                    <w:t>K1+780.822</w:t>
                  </w:r>
                </w:p>
              </w:tc>
              <w:tc>
                <w:tcPr>
                  <w:tcW w:w="599" w:type="pct"/>
                  <w:vAlign w:val="center"/>
                </w:tcPr>
                <w:p>
                  <w:pPr>
                    <w:jc w:val="center"/>
                    <w:rPr>
                      <w:szCs w:val="21"/>
                    </w:rPr>
                  </w:pPr>
                  <w:r>
                    <w:rPr>
                      <w:szCs w:val="21"/>
                    </w:rPr>
                    <w:t>丁</w:t>
                  </w:r>
                </w:p>
              </w:tc>
              <w:tc>
                <w:tcPr>
                  <w:tcW w:w="770" w:type="pct"/>
                  <w:vAlign w:val="center"/>
                </w:tcPr>
                <w:p>
                  <w:pPr>
                    <w:jc w:val="center"/>
                    <w:rPr>
                      <w:szCs w:val="21"/>
                    </w:rPr>
                  </w:pPr>
                  <w:r>
                    <w:rPr>
                      <w:szCs w:val="21"/>
                    </w:rPr>
                    <w:t>科教路</w:t>
                  </w:r>
                </w:p>
              </w:tc>
              <w:tc>
                <w:tcPr>
                  <w:tcW w:w="671" w:type="pct"/>
                  <w:vAlign w:val="center"/>
                </w:tcPr>
                <w:p>
                  <w:pPr>
                    <w:jc w:val="center"/>
                    <w:rPr>
                      <w:szCs w:val="21"/>
                    </w:rPr>
                  </w:pPr>
                  <w:r>
                    <w:rPr>
                      <w:szCs w:val="21"/>
                    </w:rPr>
                    <w:t>30米</w:t>
                  </w:r>
                </w:p>
              </w:tc>
              <w:tc>
                <w:tcPr>
                  <w:tcW w:w="535" w:type="pct"/>
                  <w:vAlign w:val="center"/>
                </w:tcPr>
                <w:p>
                  <w:pPr>
                    <w:jc w:val="center"/>
                    <w:rPr>
                      <w:szCs w:val="21"/>
                    </w:rPr>
                  </w:pPr>
                  <w:r>
                    <w:rPr>
                      <w:szCs w:val="21"/>
                    </w:rPr>
                    <w:t>主干路</w:t>
                  </w:r>
                </w:p>
              </w:tc>
              <w:tc>
                <w:tcPr>
                  <w:tcW w:w="724" w:type="pct"/>
                  <w:vAlign w:val="center"/>
                </w:tcPr>
                <w:p>
                  <w:pPr>
                    <w:jc w:val="center"/>
                    <w:rPr>
                      <w:szCs w:val="21"/>
                    </w:rPr>
                  </w:pPr>
                  <w:r>
                    <w:rPr>
                      <w:szCs w:val="21"/>
                    </w:rPr>
                    <w:t>平A2类</w:t>
                  </w:r>
                </w:p>
              </w:tc>
              <w:tc>
                <w:tcPr>
                  <w:tcW w:w="535" w:type="pct"/>
                  <w:vAlign w:val="center"/>
                </w:tcPr>
                <w:p>
                  <w:pPr>
                    <w:jc w:val="center"/>
                    <w:rPr>
                      <w:szCs w:val="21"/>
                    </w:rPr>
                  </w:pPr>
                  <w:r>
                    <w:rPr>
                      <w:szCs w:val="21"/>
                    </w:rPr>
                    <w:t>规划</w:t>
                  </w:r>
                </w:p>
              </w:tc>
            </w:tr>
            <w:tr>
              <w:tblPrEx>
                <w:tblW w:w="5000" w:type="pct"/>
                <w:jc w:val="center"/>
                <w:tblCellMar>
                  <w:top w:w="0" w:type="dxa"/>
                  <w:left w:w="108" w:type="dxa"/>
                  <w:bottom w:w="0" w:type="dxa"/>
                  <w:right w:w="108" w:type="dxa"/>
                </w:tblCellMar>
              </w:tblPrEx>
              <w:trPr>
                <w:trHeight w:val="113"/>
                <w:jc w:val="center"/>
              </w:trPr>
              <w:tc>
                <w:tcPr>
                  <w:tcW w:w="409" w:type="pct"/>
                  <w:vAlign w:val="center"/>
                </w:tcPr>
                <w:p>
                  <w:pPr>
                    <w:jc w:val="center"/>
                    <w:rPr>
                      <w:szCs w:val="21"/>
                    </w:rPr>
                  </w:pPr>
                  <w:r>
                    <w:rPr>
                      <w:szCs w:val="21"/>
                    </w:rPr>
                    <w:t>5</w:t>
                  </w:r>
                </w:p>
              </w:tc>
              <w:tc>
                <w:tcPr>
                  <w:tcW w:w="756" w:type="pct"/>
                  <w:vAlign w:val="center"/>
                </w:tcPr>
                <w:p>
                  <w:pPr>
                    <w:jc w:val="center"/>
                    <w:rPr>
                      <w:szCs w:val="21"/>
                    </w:rPr>
                  </w:pPr>
                  <w:r>
                    <w:rPr>
                      <w:szCs w:val="21"/>
                    </w:rPr>
                    <w:t>K2+119.08</w:t>
                  </w:r>
                </w:p>
              </w:tc>
              <w:tc>
                <w:tcPr>
                  <w:tcW w:w="599" w:type="pct"/>
                  <w:vAlign w:val="center"/>
                </w:tcPr>
                <w:p>
                  <w:pPr>
                    <w:jc w:val="center"/>
                    <w:rPr>
                      <w:szCs w:val="21"/>
                    </w:rPr>
                  </w:pPr>
                  <w:r>
                    <w:rPr>
                      <w:szCs w:val="21"/>
                    </w:rPr>
                    <w:t>十</w:t>
                  </w:r>
                </w:p>
              </w:tc>
              <w:tc>
                <w:tcPr>
                  <w:tcW w:w="770" w:type="pct"/>
                  <w:vAlign w:val="center"/>
                </w:tcPr>
                <w:p>
                  <w:pPr>
                    <w:jc w:val="center"/>
                    <w:rPr>
                      <w:szCs w:val="21"/>
                    </w:rPr>
                  </w:pPr>
                  <w:r>
                    <w:rPr>
                      <w:szCs w:val="21"/>
                    </w:rPr>
                    <w:t>草金路</w:t>
                  </w:r>
                </w:p>
              </w:tc>
              <w:tc>
                <w:tcPr>
                  <w:tcW w:w="671" w:type="pct"/>
                  <w:vAlign w:val="center"/>
                </w:tcPr>
                <w:p>
                  <w:pPr>
                    <w:jc w:val="center"/>
                    <w:rPr>
                      <w:szCs w:val="21"/>
                    </w:rPr>
                  </w:pPr>
                  <w:r>
                    <w:rPr>
                      <w:szCs w:val="21"/>
                    </w:rPr>
                    <w:t>24米</w:t>
                  </w:r>
                </w:p>
              </w:tc>
              <w:tc>
                <w:tcPr>
                  <w:tcW w:w="535" w:type="pct"/>
                  <w:vAlign w:val="center"/>
                </w:tcPr>
                <w:p>
                  <w:pPr>
                    <w:jc w:val="center"/>
                    <w:rPr>
                      <w:szCs w:val="21"/>
                    </w:rPr>
                  </w:pPr>
                  <w:r>
                    <w:rPr>
                      <w:szCs w:val="21"/>
                    </w:rPr>
                    <w:t>次干路</w:t>
                  </w:r>
                </w:p>
              </w:tc>
              <w:tc>
                <w:tcPr>
                  <w:tcW w:w="724" w:type="pct"/>
                  <w:vAlign w:val="center"/>
                </w:tcPr>
                <w:p>
                  <w:pPr>
                    <w:jc w:val="center"/>
                    <w:rPr>
                      <w:szCs w:val="21"/>
                    </w:rPr>
                  </w:pPr>
                  <w:r>
                    <w:rPr>
                      <w:szCs w:val="21"/>
                    </w:rPr>
                    <w:t>平A2类</w:t>
                  </w:r>
                </w:p>
              </w:tc>
              <w:tc>
                <w:tcPr>
                  <w:tcW w:w="535" w:type="pct"/>
                  <w:vAlign w:val="center"/>
                </w:tcPr>
                <w:p>
                  <w:pPr>
                    <w:jc w:val="center"/>
                    <w:rPr>
                      <w:szCs w:val="21"/>
                    </w:rPr>
                  </w:pPr>
                  <w:r>
                    <w:rPr>
                      <w:szCs w:val="21"/>
                    </w:rPr>
                    <w:t>规划</w:t>
                  </w:r>
                </w:p>
              </w:tc>
            </w:tr>
            <w:tr>
              <w:tblPrEx>
                <w:tblW w:w="5000" w:type="pct"/>
                <w:jc w:val="center"/>
                <w:tblCellMar>
                  <w:top w:w="0" w:type="dxa"/>
                  <w:left w:w="108" w:type="dxa"/>
                  <w:bottom w:w="0" w:type="dxa"/>
                  <w:right w:w="108" w:type="dxa"/>
                </w:tblCellMar>
              </w:tblPrEx>
              <w:trPr>
                <w:trHeight w:val="113"/>
                <w:jc w:val="center"/>
              </w:trPr>
              <w:tc>
                <w:tcPr>
                  <w:tcW w:w="409" w:type="pct"/>
                  <w:vAlign w:val="center"/>
                </w:tcPr>
                <w:p>
                  <w:pPr>
                    <w:jc w:val="center"/>
                    <w:rPr>
                      <w:szCs w:val="21"/>
                    </w:rPr>
                  </w:pPr>
                  <w:r>
                    <w:rPr>
                      <w:szCs w:val="21"/>
                    </w:rPr>
                    <w:t>6</w:t>
                  </w:r>
                </w:p>
              </w:tc>
              <w:tc>
                <w:tcPr>
                  <w:tcW w:w="756" w:type="pct"/>
                  <w:vAlign w:val="center"/>
                </w:tcPr>
                <w:p>
                  <w:pPr>
                    <w:jc w:val="center"/>
                    <w:rPr>
                      <w:szCs w:val="21"/>
                    </w:rPr>
                  </w:pPr>
                  <w:r>
                    <w:rPr>
                      <w:szCs w:val="21"/>
                    </w:rPr>
                    <w:t>K3+029.095</w:t>
                  </w:r>
                </w:p>
              </w:tc>
              <w:tc>
                <w:tcPr>
                  <w:tcW w:w="599" w:type="pct"/>
                  <w:vAlign w:val="center"/>
                </w:tcPr>
                <w:p>
                  <w:pPr>
                    <w:jc w:val="center"/>
                    <w:rPr>
                      <w:szCs w:val="21"/>
                    </w:rPr>
                  </w:pPr>
                  <w:r>
                    <w:rPr>
                      <w:szCs w:val="21"/>
                    </w:rPr>
                    <w:t>十</w:t>
                  </w:r>
                </w:p>
              </w:tc>
              <w:tc>
                <w:tcPr>
                  <w:tcW w:w="770" w:type="pct"/>
                  <w:vAlign w:val="center"/>
                </w:tcPr>
                <w:p>
                  <w:pPr>
                    <w:jc w:val="center"/>
                    <w:rPr>
                      <w:szCs w:val="21"/>
                    </w:rPr>
                  </w:pPr>
                  <w:r>
                    <w:rPr>
                      <w:szCs w:val="21"/>
                    </w:rPr>
                    <w:t>永兴大道</w:t>
                  </w:r>
                </w:p>
              </w:tc>
              <w:tc>
                <w:tcPr>
                  <w:tcW w:w="671" w:type="pct"/>
                  <w:vAlign w:val="center"/>
                </w:tcPr>
                <w:p>
                  <w:pPr>
                    <w:jc w:val="center"/>
                    <w:rPr>
                      <w:szCs w:val="21"/>
                    </w:rPr>
                  </w:pPr>
                  <w:r>
                    <w:rPr>
                      <w:szCs w:val="21"/>
                    </w:rPr>
                    <w:t>27米</w:t>
                  </w:r>
                </w:p>
              </w:tc>
              <w:tc>
                <w:tcPr>
                  <w:tcW w:w="535" w:type="pct"/>
                  <w:vAlign w:val="center"/>
                </w:tcPr>
                <w:p>
                  <w:pPr>
                    <w:jc w:val="center"/>
                    <w:rPr>
                      <w:szCs w:val="21"/>
                    </w:rPr>
                  </w:pPr>
                  <w:r>
                    <w:rPr>
                      <w:szCs w:val="21"/>
                    </w:rPr>
                    <w:t>主干路</w:t>
                  </w:r>
                </w:p>
              </w:tc>
              <w:tc>
                <w:tcPr>
                  <w:tcW w:w="724" w:type="pct"/>
                  <w:vAlign w:val="center"/>
                </w:tcPr>
                <w:p>
                  <w:pPr>
                    <w:jc w:val="center"/>
                    <w:rPr>
                      <w:szCs w:val="21"/>
                    </w:rPr>
                  </w:pPr>
                  <w:r>
                    <w:rPr>
                      <w:szCs w:val="21"/>
                    </w:rPr>
                    <w:t>平A2类</w:t>
                  </w:r>
                </w:p>
              </w:tc>
              <w:tc>
                <w:tcPr>
                  <w:tcW w:w="535" w:type="pct"/>
                  <w:vAlign w:val="center"/>
                </w:tcPr>
                <w:p>
                  <w:pPr>
                    <w:jc w:val="center"/>
                    <w:rPr>
                      <w:szCs w:val="21"/>
                    </w:rPr>
                  </w:pPr>
                  <w:r>
                    <w:rPr>
                      <w:szCs w:val="21"/>
                    </w:rPr>
                    <w:t>已建</w:t>
                  </w:r>
                </w:p>
              </w:tc>
            </w:tr>
          </w:tbl>
          <w:p>
            <w:pPr>
              <w:pStyle w:val="041"/>
            </w:pPr>
            <w:r>
              <w:t>6.</w:t>
            </w:r>
            <w:bookmarkStart w:id="14" w:name="二桥梁工程"/>
            <w:bookmarkEnd w:id="14"/>
            <w:r>
              <w:t>2桥涵工程</w:t>
            </w:r>
          </w:p>
          <w:p>
            <w:pPr>
              <w:pStyle w:val="003"/>
              <w:ind w:firstLine="420"/>
              <w:rPr>
                <w:color w:val="auto"/>
              </w:rPr>
            </w:pPr>
            <w:r>
              <w:rPr>
                <w:color w:val="auto"/>
              </w:rPr>
              <w:t>本项目全线新建两座桥梁，分别为K2+064中桥和K2+787中桥。</w:t>
            </w:r>
          </w:p>
          <w:p>
            <w:pPr>
              <w:pStyle w:val="003"/>
              <w:ind w:firstLine="420"/>
              <w:rPr>
                <w:color w:val="auto"/>
              </w:rPr>
            </w:pPr>
            <w:r>
              <w:rPr>
                <w:color w:val="auto"/>
              </w:rPr>
              <w:t>K2+064中桥设计总长度为39.56m，总面积是791.2m²；K2+787中桥设计总长度为36.56m，总面积是731.2m²。桥梁布置情况一览表如下。</w:t>
            </w:r>
          </w:p>
          <w:p>
            <w:pPr>
              <w:pStyle w:val="0020"/>
              <w:rPr>
                <w:color w:val="auto"/>
              </w:rPr>
            </w:pPr>
            <w:r>
              <w:rPr>
                <w:color w:val="auto"/>
              </w:rPr>
              <w:t>表2-8  桥梁布置情况一览表</w:t>
            </w:r>
          </w:p>
          <w:tbl>
            <w:tblPr>
              <w:tblStyle w:val="TableNormal"/>
              <w:tblW w:w="493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369"/>
              <w:gridCol w:w="1056"/>
              <w:gridCol w:w="636"/>
              <w:gridCol w:w="846"/>
              <w:gridCol w:w="1056"/>
              <w:gridCol w:w="1056"/>
              <w:gridCol w:w="1287"/>
              <w:gridCol w:w="930"/>
              <w:gridCol w:w="645"/>
            </w:tblGrid>
            <w:tr>
              <w:tblPrEx>
                <w:tblW w:w="493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241"/>
                <w:jc w:val="center"/>
              </w:trPr>
              <w:tc>
                <w:tcPr>
                  <w:tcW w:w="653" w:type="pct"/>
                  <w:vMerge w:val="restart"/>
                  <w:shd w:val="clear" w:color="000000" w:fill="FFFFFF"/>
                  <w:noWrap/>
                  <w:vAlign w:val="center"/>
                </w:tcPr>
                <w:p>
                  <w:pPr>
                    <w:jc w:val="center"/>
                    <w:rPr>
                      <w:bCs/>
                      <w:szCs w:val="21"/>
                    </w:rPr>
                  </w:pPr>
                  <w:bookmarkStart w:id="15" w:name="河流名称01" w:colFirst="1" w:colLast="1"/>
                  <w:r>
                    <w:rPr>
                      <w:bCs/>
                      <w:szCs w:val="21"/>
                    </w:rPr>
                    <w:t>桥名</w:t>
                  </w:r>
                </w:p>
              </w:tc>
              <w:tc>
                <w:tcPr>
                  <w:tcW w:w="525" w:type="pct"/>
                  <w:vMerge w:val="restart"/>
                  <w:shd w:val="clear" w:color="000000" w:fill="FFFFFF"/>
                  <w:noWrap/>
                  <w:vAlign w:val="center"/>
                </w:tcPr>
                <w:p>
                  <w:pPr>
                    <w:jc w:val="center"/>
                    <w:rPr>
                      <w:bCs/>
                      <w:szCs w:val="21"/>
                    </w:rPr>
                  </w:pPr>
                  <w:r>
                    <w:rPr>
                      <w:bCs/>
                      <w:szCs w:val="21"/>
                    </w:rPr>
                    <w:t>跨越河流</w:t>
                  </w:r>
                </w:p>
              </w:tc>
              <w:tc>
                <w:tcPr>
                  <w:tcW w:w="344" w:type="pct"/>
                  <w:vMerge w:val="restart"/>
                  <w:shd w:val="clear" w:color="000000" w:fill="FFFFFF"/>
                  <w:vAlign w:val="center"/>
                </w:tcPr>
                <w:p>
                  <w:pPr>
                    <w:jc w:val="center"/>
                    <w:rPr>
                      <w:bCs/>
                      <w:szCs w:val="21"/>
                    </w:rPr>
                  </w:pPr>
                  <w:r>
                    <w:rPr>
                      <w:bCs/>
                      <w:szCs w:val="21"/>
                    </w:rPr>
                    <w:t>跨径布置</w:t>
                  </w:r>
                </w:p>
              </w:tc>
              <w:tc>
                <w:tcPr>
                  <w:tcW w:w="480" w:type="pct"/>
                  <w:vMerge w:val="restart"/>
                  <w:shd w:val="clear" w:color="000000" w:fill="FFFFFF"/>
                  <w:noWrap/>
                  <w:vAlign w:val="center"/>
                </w:tcPr>
                <w:p>
                  <w:pPr>
                    <w:jc w:val="center"/>
                    <w:rPr>
                      <w:bCs/>
                      <w:szCs w:val="21"/>
                    </w:rPr>
                  </w:pPr>
                  <w:r>
                    <w:rPr>
                      <w:bCs/>
                      <w:szCs w:val="21"/>
                    </w:rPr>
                    <w:t>交角</w:t>
                  </w:r>
                </w:p>
              </w:tc>
              <w:tc>
                <w:tcPr>
                  <w:tcW w:w="549" w:type="pct"/>
                  <w:vMerge w:val="restart"/>
                  <w:shd w:val="clear" w:color="000000" w:fill="FFFFFF"/>
                  <w:noWrap/>
                  <w:vAlign w:val="center"/>
                </w:tcPr>
                <w:p>
                  <w:pPr>
                    <w:jc w:val="center"/>
                    <w:rPr>
                      <w:bCs/>
                      <w:szCs w:val="21"/>
                    </w:rPr>
                  </w:pPr>
                  <w:r>
                    <w:rPr>
                      <w:bCs/>
                      <w:szCs w:val="21"/>
                    </w:rPr>
                    <w:t>桥宽全长</w:t>
                  </w:r>
                </w:p>
              </w:tc>
              <w:tc>
                <w:tcPr>
                  <w:tcW w:w="549" w:type="pct"/>
                  <w:vMerge w:val="restart"/>
                  <w:shd w:val="clear" w:color="000000" w:fill="FFFFFF"/>
                  <w:noWrap/>
                  <w:vAlign w:val="center"/>
                </w:tcPr>
                <w:p>
                  <w:pPr>
                    <w:jc w:val="center"/>
                    <w:rPr>
                      <w:bCs/>
                      <w:szCs w:val="21"/>
                    </w:rPr>
                  </w:pPr>
                  <w:r>
                    <w:rPr>
                      <w:bCs/>
                      <w:szCs w:val="21"/>
                    </w:rPr>
                    <w:t>桥梁全宽</w:t>
                  </w:r>
                </w:p>
              </w:tc>
              <w:tc>
                <w:tcPr>
                  <w:tcW w:w="867" w:type="pct"/>
                  <w:vMerge w:val="restart"/>
                  <w:shd w:val="clear" w:color="000000" w:fill="FFFFFF"/>
                  <w:noWrap/>
                  <w:vAlign w:val="center"/>
                </w:tcPr>
                <w:p>
                  <w:pPr>
                    <w:jc w:val="center"/>
                    <w:rPr>
                      <w:bCs/>
                      <w:szCs w:val="21"/>
                    </w:rPr>
                  </w:pPr>
                  <w:r>
                    <w:rPr>
                      <w:bCs/>
                      <w:szCs w:val="21"/>
                    </w:rPr>
                    <w:t>上部结构</w:t>
                  </w:r>
                </w:p>
              </w:tc>
              <w:tc>
                <w:tcPr>
                  <w:tcW w:w="1033" w:type="pct"/>
                  <w:gridSpan w:val="2"/>
                  <w:vMerge w:val="restart"/>
                  <w:shd w:val="clear" w:color="000000" w:fill="FFFFFF"/>
                  <w:noWrap/>
                  <w:vAlign w:val="center"/>
                </w:tcPr>
                <w:p>
                  <w:pPr>
                    <w:jc w:val="center"/>
                    <w:rPr>
                      <w:bCs/>
                      <w:szCs w:val="21"/>
                    </w:rPr>
                  </w:pPr>
                  <w:r>
                    <w:rPr>
                      <w:bCs/>
                      <w:szCs w:val="21"/>
                    </w:rPr>
                    <w:t>下部结构</w:t>
                  </w:r>
                </w:p>
              </w:tc>
            </w:tr>
            <w:tr>
              <w:tblPrEx>
                <w:tblW w:w="4930" w:type="pct"/>
                <w:jc w:val="center"/>
                <w:tblCellMar>
                  <w:top w:w="0" w:type="dxa"/>
                  <w:left w:w="108" w:type="dxa"/>
                  <w:bottom w:w="0" w:type="dxa"/>
                  <w:right w:w="108" w:type="dxa"/>
                </w:tblCellMar>
              </w:tblPrEx>
              <w:trPr>
                <w:trHeight w:val="241"/>
                <w:jc w:val="center"/>
              </w:trPr>
              <w:tc>
                <w:tcPr>
                  <w:tcW w:w="653" w:type="pct"/>
                  <w:vMerge/>
                  <w:vAlign w:val="center"/>
                </w:tcPr>
                <w:p>
                  <w:pPr>
                    <w:jc w:val="center"/>
                    <w:rPr>
                      <w:bCs/>
                      <w:szCs w:val="21"/>
                    </w:rPr>
                  </w:pPr>
                </w:p>
              </w:tc>
              <w:tc>
                <w:tcPr>
                  <w:tcW w:w="525" w:type="pct"/>
                  <w:vMerge/>
                  <w:vAlign w:val="center"/>
                </w:tcPr>
                <w:p>
                  <w:pPr>
                    <w:jc w:val="center"/>
                    <w:rPr>
                      <w:bCs/>
                      <w:szCs w:val="21"/>
                    </w:rPr>
                  </w:pPr>
                </w:p>
              </w:tc>
              <w:tc>
                <w:tcPr>
                  <w:tcW w:w="344" w:type="pct"/>
                  <w:vMerge/>
                  <w:vAlign w:val="center"/>
                </w:tcPr>
                <w:p>
                  <w:pPr>
                    <w:jc w:val="center"/>
                    <w:rPr>
                      <w:bCs/>
                      <w:szCs w:val="21"/>
                    </w:rPr>
                  </w:pPr>
                </w:p>
              </w:tc>
              <w:tc>
                <w:tcPr>
                  <w:tcW w:w="480" w:type="pct"/>
                  <w:vMerge/>
                  <w:vAlign w:val="center"/>
                </w:tcPr>
                <w:p>
                  <w:pPr>
                    <w:jc w:val="center"/>
                    <w:rPr>
                      <w:bCs/>
                      <w:szCs w:val="21"/>
                    </w:rPr>
                  </w:pPr>
                </w:p>
              </w:tc>
              <w:tc>
                <w:tcPr>
                  <w:tcW w:w="549" w:type="pct"/>
                  <w:vMerge/>
                  <w:vAlign w:val="center"/>
                </w:tcPr>
                <w:p>
                  <w:pPr>
                    <w:jc w:val="center"/>
                    <w:rPr>
                      <w:bCs/>
                      <w:szCs w:val="21"/>
                    </w:rPr>
                  </w:pPr>
                </w:p>
              </w:tc>
              <w:tc>
                <w:tcPr>
                  <w:tcW w:w="549" w:type="pct"/>
                  <w:vMerge/>
                  <w:vAlign w:val="center"/>
                </w:tcPr>
                <w:p>
                  <w:pPr>
                    <w:jc w:val="center"/>
                    <w:rPr>
                      <w:bCs/>
                      <w:szCs w:val="21"/>
                    </w:rPr>
                  </w:pPr>
                </w:p>
              </w:tc>
              <w:tc>
                <w:tcPr>
                  <w:tcW w:w="867" w:type="pct"/>
                  <w:vMerge/>
                  <w:vAlign w:val="center"/>
                </w:tcPr>
                <w:p>
                  <w:pPr>
                    <w:jc w:val="center"/>
                    <w:rPr>
                      <w:bCs/>
                      <w:szCs w:val="21"/>
                    </w:rPr>
                  </w:pPr>
                </w:p>
              </w:tc>
              <w:tc>
                <w:tcPr>
                  <w:tcW w:w="1033" w:type="pct"/>
                  <w:gridSpan w:val="2"/>
                  <w:vMerge/>
                  <w:vAlign w:val="center"/>
                </w:tcPr>
                <w:p>
                  <w:pPr>
                    <w:jc w:val="center"/>
                    <w:rPr>
                      <w:bCs/>
                      <w:szCs w:val="21"/>
                    </w:rPr>
                  </w:pPr>
                </w:p>
              </w:tc>
            </w:tr>
            <w:tr>
              <w:tblPrEx>
                <w:tblW w:w="4930" w:type="pct"/>
                <w:jc w:val="center"/>
                <w:tblCellMar>
                  <w:top w:w="0" w:type="dxa"/>
                  <w:left w:w="108" w:type="dxa"/>
                  <w:bottom w:w="0" w:type="dxa"/>
                  <w:right w:w="108" w:type="dxa"/>
                </w:tblCellMar>
              </w:tblPrEx>
              <w:trPr>
                <w:trHeight w:val="20"/>
                <w:jc w:val="center"/>
              </w:trPr>
              <w:tc>
                <w:tcPr>
                  <w:tcW w:w="653" w:type="pct"/>
                  <w:vMerge/>
                  <w:vAlign w:val="center"/>
                </w:tcPr>
                <w:p>
                  <w:pPr>
                    <w:jc w:val="center"/>
                    <w:rPr>
                      <w:bCs/>
                      <w:szCs w:val="21"/>
                    </w:rPr>
                  </w:pPr>
                </w:p>
              </w:tc>
              <w:tc>
                <w:tcPr>
                  <w:tcW w:w="525" w:type="pct"/>
                  <w:vMerge/>
                  <w:vAlign w:val="center"/>
                </w:tcPr>
                <w:p>
                  <w:pPr>
                    <w:jc w:val="center"/>
                    <w:rPr>
                      <w:bCs/>
                      <w:szCs w:val="21"/>
                    </w:rPr>
                  </w:pPr>
                </w:p>
              </w:tc>
              <w:tc>
                <w:tcPr>
                  <w:tcW w:w="344" w:type="pct"/>
                  <w:vMerge/>
                  <w:vAlign w:val="center"/>
                </w:tcPr>
                <w:p>
                  <w:pPr>
                    <w:jc w:val="center"/>
                    <w:rPr>
                      <w:bCs/>
                      <w:szCs w:val="21"/>
                    </w:rPr>
                  </w:pPr>
                </w:p>
              </w:tc>
              <w:tc>
                <w:tcPr>
                  <w:tcW w:w="480" w:type="pct"/>
                  <w:shd w:val="clear" w:color="000000" w:fill="FFFFFF"/>
                  <w:noWrap/>
                  <w:vAlign w:val="center"/>
                </w:tcPr>
                <w:p>
                  <w:pPr>
                    <w:jc w:val="center"/>
                    <w:rPr>
                      <w:bCs/>
                      <w:szCs w:val="21"/>
                    </w:rPr>
                  </w:pPr>
                  <w:r>
                    <w:rPr>
                      <w:rFonts w:hint="eastAsia"/>
                      <w:bCs/>
                      <w:szCs w:val="21"/>
                    </w:rPr>
                    <w:t>（</w:t>
                  </w:r>
                  <w:r>
                    <w:rPr>
                      <w:bCs/>
                      <w:szCs w:val="21"/>
                    </w:rPr>
                    <w:t>度</w:t>
                  </w:r>
                  <w:r>
                    <w:rPr>
                      <w:rFonts w:hint="eastAsia"/>
                      <w:bCs/>
                      <w:szCs w:val="21"/>
                    </w:rPr>
                    <w:t>）</w:t>
                  </w:r>
                </w:p>
              </w:tc>
              <w:tc>
                <w:tcPr>
                  <w:tcW w:w="549" w:type="pct"/>
                  <w:shd w:val="clear" w:color="000000" w:fill="FFFFFF"/>
                  <w:noWrap/>
                  <w:vAlign w:val="center"/>
                </w:tcPr>
                <w:p>
                  <w:pPr>
                    <w:jc w:val="center"/>
                    <w:rPr>
                      <w:bCs/>
                      <w:szCs w:val="21"/>
                    </w:rPr>
                  </w:pPr>
                  <w:r>
                    <w:rPr>
                      <w:rFonts w:hint="eastAsia"/>
                      <w:bCs/>
                      <w:szCs w:val="21"/>
                    </w:rPr>
                    <w:t>（</w:t>
                  </w:r>
                  <w:r>
                    <w:rPr>
                      <w:bCs/>
                      <w:szCs w:val="21"/>
                    </w:rPr>
                    <w:t>米</w:t>
                  </w:r>
                  <w:r>
                    <w:rPr>
                      <w:rFonts w:hint="eastAsia"/>
                      <w:bCs/>
                      <w:szCs w:val="21"/>
                    </w:rPr>
                    <w:t>）</w:t>
                  </w:r>
                </w:p>
              </w:tc>
              <w:tc>
                <w:tcPr>
                  <w:tcW w:w="549" w:type="pct"/>
                  <w:shd w:val="clear" w:color="000000" w:fill="FFFFFF"/>
                  <w:noWrap/>
                  <w:vAlign w:val="center"/>
                </w:tcPr>
                <w:p>
                  <w:pPr>
                    <w:jc w:val="center"/>
                    <w:rPr>
                      <w:bCs/>
                      <w:szCs w:val="21"/>
                    </w:rPr>
                  </w:pPr>
                  <w:r>
                    <w:rPr>
                      <w:rFonts w:hint="eastAsia"/>
                      <w:bCs/>
                      <w:szCs w:val="21"/>
                    </w:rPr>
                    <w:t>（</w:t>
                  </w:r>
                  <w:r>
                    <w:rPr>
                      <w:bCs/>
                      <w:szCs w:val="21"/>
                    </w:rPr>
                    <w:t>米</w:t>
                  </w:r>
                  <w:r>
                    <w:rPr>
                      <w:rFonts w:hint="eastAsia"/>
                      <w:bCs/>
                      <w:szCs w:val="21"/>
                    </w:rPr>
                    <w:t>）</w:t>
                  </w:r>
                </w:p>
              </w:tc>
              <w:tc>
                <w:tcPr>
                  <w:tcW w:w="867" w:type="pct"/>
                  <w:vMerge/>
                  <w:vAlign w:val="center"/>
                </w:tcPr>
                <w:p>
                  <w:pPr>
                    <w:jc w:val="center"/>
                    <w:rPr>
                      <w:bCs/>
                      <w:szCs w:val="21"/>
                    </w:rPr>
                  </w:pPr>
                </w:p>
              </w:tc>
              <w:tc>
                <w:tcPr>
                  <w:tcW w:w="597" w:type="pct"/>
                  <w:shd w:val="clear" w:color="000000" w:fill="FFFFFF"/>
                  <w:noWrap/>
                  <w:vAlign w:val="center"/>
                </w:tcPr>
                <w:p>
                  <w:pPr>
                    <w:jc w:val="center"/>
                    <w:rPr>
                      <w:bCs/>
                      <w:szCs w:val="21"/>
                    </w:rPr>
                  </w:pPr>
                  <w:r>
                    <w:rPr>
                      <w:bCs/>
                      <w:szCs w:val="21"/>
                    </w:rPr>
                    <w:t>墩台</w:t>
                  </w:r>
                </w:p>
              </w:tc>
              <w:tc>
                <w:tcPr>
                  <w:tcW w:w="436" w:type="pct"/>
                  <w:shd w:val="clear" w:color="000000" w:fill="FFFFFF"/>
                  <w:noWrap/>
                  <w:vAlign w:val="center"/>
                </w:tcPr>
                <w:p>
                  <w:pPr>
                    <w:jc w:val="center"/>
                    <w:rPr>
                      <w:bCs/>
                      <w:szCs w:val="21"/>
                    </w:rPr>
                  </w:pPr>
                  <w:r>
                    <w:rPr>
                      <w:bCs/>
                      <w:szCs w:val="21"/>
                    </w:rPr>
                    <w:t>基础</w:t>
                  </w:r>
                </w:p>
              </w:tc>
            </w:tr>
            <w:tr>
              <w:tblPrEx>
                <w:tblW w:w="4930" w:type="pct"/>
                <w:jc w:val="center"/>
                <w:tblCellMar>
                  <w:top w:w="0" w:type="dxa"/>
                  <w:left w:w="108" w:type="dxa"/>
                  <w:bottom w:w="0" w:type="dxa"/>
                  <w:right w:w="108" w:type="dxa"/>
                </w:tblCellMar>
              </w:tblPrEx>
              <w:trPr>
                <w:trHeight w:val="20"/>
                <w:jc w:val="center"/>
              </w:trPr>
              <w:tc>
                <w:tcPr>
                  <w:tcW w:w="653" w:type="pct"/>
                  <w:shd w:val="clear" w:color="000000" w:fill="FFFFFF"/>
                  <w:noWrap/>
                  <w:vAlign w:val="center"/>
                </w:tcPr>
                <w:p>
                  <w:pPr>
                    <w:jc w:val="center"/>
                    <w:rPr>
                      <w:bCs/>
                      <w:szCs w:val="21"/>
                    </w:rPr>
                  </w:pPr>
                  <w:r>
                    <w:rPr>
                      <w:bCs/>
                      <w:szCs w:val="21"/>
                    </w:rPr>
                    <w:t>K2+064中桥</w:t>
                  </w:r>
                </w:p>
              </w:tc>
              <w:tc>
                <w:tcPr>
                  <w:tcW w:w="525" w:type="pct"/>
                  <w:shd w:val="clear" w:color="000000" w:fill="FFFFFF"/>
                  <w:noWrap/>
                  <w:vAlign w:val="center"/>
                </w:tcPr>
                <w:p>
                  <w:pPr>
                    <w:jc w:val="center"/>
                    <w:rPr>
                      <w:bCs/>
                      <w:szCs w:val="21"/>
                    </w:rPr>
                  </w:pPr>
                  <w:r>
                    <w:rPr>
                      <w:rFonts w:hint="eastAsia"/>
                      <w:bCs/>
                      <w:szCs w:val="21"/>
                    </w:rPr>
                    <w:t>无名</w:t>
                  </w:r>
                  <w:r>
                    <w:rPr>
                      <w:bCs/>
                      <w:szCs w:val="21"/>
                    </w:rPr>
                    <w:t>河沟</w:t>
                  </w:r>
                </w:p>
              </w:tc>
              <w:tc>
                <w:tcPr>
                  <w:tcW w:w="344" w:type="pct"/>
                  <w:shd w:val="clear" w:color="000000" w:fill="FFFFFF"/>
                  <w:vAlign w:val="center"/>
                </w:tcPr>
                <w:p>
                  <w:pPr>
                    <w:jc w:val="center"/>
                    <w:rPr>
                      <w:bCs/>
                      <w:szCs w:val="21"/>
                    </w:rPr>
                  </w:pPr>
                  <w:r>
                    <w:rPr>
                      <w:bCs/>
                      <w:szCs w:val="21"/>
                    </w:rPr>
                    <w:t>1x30</w:t>
                  </w:r>
                </w:p>
              </w:tc>
              <w:tc>
                <w:tcPr>
                  <w:tcW w:w="480" w:type="pct"/>
                  <w:shd w:val="clear" w:color="000000" w:fill="FFFFFF"/>
                  <w:noWrap/>
                  <w:vAlign w:val="center"/>
                </w:tcPr>
                <w:p>
                  <w:pPr>
                    <w:jc w:val="center"/>
                    <w:rPr>
                      <w:bCs/>
                      <w:szCs w:val="21"/>
                    </w:rPr>
                  </w:pPr>
                  <w:r>
                    <w:rPr>
                      <w:bCs/>
                      <w:szCs w:val="21"/>
                    </w:rPr>
                    <w:t>90</w:t>
                  </w:r>
                </w:p>
              </w:tc>
              <w:tc>
                <w:tcPr>
                  <w:tcW w:w="549" w:type="pct"/>
                  <w:shd w:val="clear" w:color="000000" w:fill="FFFFFF"/>
                  <w:noWrap/>
                  <w:vAlign w:val="center"/>
                </w:tcPr>
                <w:p>
                  <w:pPr>
                    <w:jc w:val="center"/>
                    <w:rPr>
                      <w:bCs/>
                      <w:szCs w:val="21"/>
                    </w:rPr>
                  </w:pPr>
                  <w:r>
                    <w:rPr>
                      <w:bCs/>
                      <w:szCs w:val="21"/>
                    </w:rPr>
                    <w:t>39.56</w:t>
                  </w:r>
                </w:p>
              </w:tc>
              <w:tc>
                <w:tcPr>
                  <w:tcW w:w="549" w:type="pct"/>
                  <w:shd w:val="clear" w:color="000000" w:fill="FFFFFF"/>
                  <w:noWrap/>
                  <w:vAlign w:val="center"/>
                </w:tcPr>
                <w:p>
                  <w:pPr>
                    <w:jc w:val="center"/>
                    <w:rPr>
                      <w:bCs/>
                      <w:szCs w:val="21"/>
                    </w:rPr>
                  </w:pPr>
                  <w:r>
                    <w:rPr>
                      <w:bCs/>
                      <w:szCs w:val="21"/>
                    </w:rPr>
                    <w:t>20</w:t>
                  </w:r>
                </w:p>
              </w:tc>
              <w:tc>
                <w:tcPr>
                  <w:tcW w:w="867" w:type="pct"/>
                  <w:shd w:val="clear" w:color="000000" w:fill="FFFFFF"/>
                  <w:vAlign w:val="center"/>
                </w:tcPr>
                <w:p>
                  <w:pPr>
                    <w:jc w:val="center"/>
                    <w:rPr>
                      <w:bCs/>
                      <w:szCs w:val="21"/>
                    </w:rPr>
                  </w:pPr>
                  <w:r>
                    <w:rPr>
                      <w:bCs/>
                      <w:szCs w:val="21"/>
                    </w:rPr>
                    <w:t>预应力预制小箱梁</w:t>
                  </w:r>
                </w:p>
              </w:tc>
              <w:tc>
                <w:tcPr>
                  <w:tcW w:w="597" w:type="pct"/>
                  <w:shd w:val="clear" w:color="000000" w:fill="FFFFFF"/>
                  <w:vAlign w:val="center"/>
                </w:tcPr>
                <w:p>
                  <w:pPr>
                    <w:jc w:val="center"/>
                    <w:rPr>
                      <w:bCs/>
                      <w:szCs w:val="21"/>
                    </w:rPr>
                  </w:pPr>
                  <w:r>
                    <w:rPr>
                      <w:bCs/>
                      <w:szCs w:val="21"/>
                    </w:rPr>
                    <w:t>U台</w:t>
                  </w:r>
                </w:p>
              </w:tc>
              <w:tc>
                <w:tcPr>
                  <w:tcW w:w="436" w:type="pct"/>
                  <w:shd w:val="clear" w:color="000000" w:fill="FFFFFF"/>
                  <w:vAlign w:val="center"/>
                </w:tcPr>
                <w:p>
                  <w:pPr>
                    <w:jc w:val="center"/>
                    <w:rPr>
                      <w:bCs/>
                      <w:szCs w:val="21"/>
                    </w:rPr>
                  </w:pPr>
                  <w:r>
                    <w:rPr>
                      <w:bCs/>
                      <w:szCs w:val="21"/>
                    </w:rPr>
                    <w:t>灌注桩</w:t>
                  </w:r>
                </w:p>
              </w:tc>
            </w:tr>
            <w:tr>
              <w:tblPrEx>
                <w:tblW w:w="4930" w:type="pct"/>
                <w:jc w:val="center"/>
                <w:tblCellMar>
                  <w:top w:w="0" w:type="dxa"/>
                  <w:left w:w="108" w:type="dxa"/>
                  <w:bottom w:w="0" w:type="dxa"/>
                  <w:right w:w="108" w:type="dxa"/>
                </w:tblCellMar>
              </w:tblPrEx>
              <w:trPr>
                <w:trHeight w:val="20"/>
                <w:jc w:val="center"/>
              </w:trPr>
              <w:tc>
                <w:tcPr>
                  <w:tcW w:w="653" w:type="pct"/>
                  <w:shd w:val="clear" w:color="000000" w:fill="FFFFFF"/>
                  <w:noWrap/>
                  <w:vAlign w:val="center"/>
                </w:tcPr>
                <w:p>
                  <w:pPr>
                    <w:jc w:val="center"/>
                    <w:rPr>
                      <w:bCs/>
                      <w:szCs w:val="21"/>
                    </w:rPr>
                  </w:pPr>
                  <w:bookmarkStart w:id="16" w:name="_Hlk110332837"/>
                  <w:r>
                    <w:rPr>
                      <w:bCs/>
                      <w:szCs w:val="21"/>
                    </w:rPr>
                    <w:t>K2+787中桥</w:t>
                  </w:r>
                </w:p>
              </w:tc>
              <w:tc>
                <w:tcPr>
                  <w:tcW w:w="525" w:type="pct"/>
                  <w:shd w:val="clear" w:color="000000" w:fill="FFFFFF"/>
                  <w:noWrap/>
                  <w:vAlign w:val="center"/>
                </w:tcPr>
                <w:p>
                  <w:pPr>
                    <w:jc w:val="center"/>
                    <w:rPr>
                      <w:bCs/>
                      <w:szCs w:val="21"/>
                    </w:rPr>
                  </w:pPr>
                  <w:r>
                    <w:rPr>
                      <w:bCs/>
                      <w:szCs w:val="21"/>
                    </w:rPr>
                    <w:t>宋家沟</w:t>
                  </w:r>
                </w:p>
              </w:tc>
              <w:tc>
                <w:tcPr>
                  <w:tcW w:w="344" w:type="pct"/>
                  <w:shd w:val="clear" w:color="000000" w:fill="FFFFFF"/>
                  <w:vAlign w:val="center"/>
                </w:tcPr>
                <w:p>
                  <w:pPr>
                    <w:jc w:val="center"/>
                    <w:rPr>
                      <w:bCs/>
                      <w:szCs w:val="21"/>
                    </w:rPr>
                  </w:pPr>
                  <w:r>
                    <w:rPr>
                      <w:bCs/>
                      <w:szCs w:val="21"/>
                    </w:rPr>
                    <w:t>1x30</w:t>
                  </w:r>
                </w:p>
              </w:tc>
              <w:tc>
                <w:tcPr>
                  <w:tcW w:w="480" w:type="pct"/>
                  <w:shd w:val="clear" w:color="000000" w:fill="FFFFFF"/>
                  <w:noWrap/>
                  <w:vAlign w:val="center"/>
                </w:tcPr>
                <w:p>
                  <w:pPr>
                    <w:jc w:val="center"/>
                    <w:rPr>
                      <w:bCs/>
                      <w:szCs w:val="21"/>
                    </w:rPr>
                  </w:pPr>
                  <w:r>
                    <w:rPr>
                      <w:bCs/>
                      <w:szCs w:val="21"/>
                    </w:rPr>
                    <w:t>90</w:t>
                  </w:r>
                </w:p>
              </w:tc>
              <w:tc>
                <w:tcPr>
                  <w:tcW w:w="549" w:type="pct"/>
                  <w:shd w:val="clear" w:color="000000" w:fill="FFFFFF"/>
                  <w:noWrap/>
                  <w:vAlign w:val="center"/>
                </w:tcPr>
                <w:p>
                  <w:pPr>
                    <w:jc w:val="center"/>
                    <w:rPr>
                      <w:bCs/>
                      <w:szCs w:val="21"/>
                    </w:rPr>
                  </w:pPr>
                  <w:r>
                    <w:rPr>
                      <w:bCs/>
                      <w:szCs w:val="21"/>
                    </w:rPr>
                    <w:t>36.56</w:t>
                  </w:r>
                </w:p>
              </w:tc>
              <w:tc>
                <w:tcPr>
                  <w:tcW w:w="549" w:type="pct"/>
                  <w:shd w:val="clear" w:color="000000" w:fill="FFFFFF"/>
                  <w:noWrap/>
                  <w:vAlign w:val="center"/>
                </w:tcPr>
                <w:p>
                  <w:pPr>
                    <w:jc w:val="center"/>
                    <w:rPr>
                      <w:bCs/>
                      <w:szCs w:val="21"/>
                    </w:rPr>
                  </w:pPr>
                  <w:r>
                    <w:rPr>
                      <w:bCs/>
                      <w:szCs w:val="21"/>
                    </w:rPr>
                    <w:t>20</w:t>
                  </w:r>
                </w:p>
              </w:tc>
              <w:tc>
                <w:tcPr>
                  <w:tcW w:w="867" w:type="pct"/>
                  <w:shd w:val="clear" w:color="000000" w:fill="FFFFFF"/>
                  <w:vAlign w:val="center"/>
                </w:tcPr>
                <w:p>
                  <w:pPr>
                    <w:jc w:val="center"/>
                    <w:rPr>
                      <w:bCs/>
                      <w:szCs w:val="21"/>
                    </w:rPr>
                  </w:pPr>
                  <w:r>
                    <w:rPr>
                      <w:bCs/>
                      <w:szCs w:val="21"/>
                    </w:rPr>
                    <w:t>预应力预制小箱梁</w:t>
                  </w:r>
                </w:p>
              </w:tc>
              <w:tc>
                <w:tcPr>
                  <w:tcW w:w="597" w:type="pct"/>
                  <w:shd w:val="clear" w:color="000000" w:fill="FFFFFF"/>
                  <w:vAlign w:val="center"/>
                </w:tcPr>
                <w:p>
                  <w:pPr>
                    <w:jc w:val="center"/>
                    <w:rPr>
                      <w:bCs/>
                      <w:szCs w:val="21"/>
                    </w:rPr>
                  </w:pPr>
                  <w:r>
                    <w:rPr>
                      <w:bCs/>
                      <w:szCs w:val="21"/>
                    </w:rPr>
                    <w:t>U台、桩柱式桥台</w:t>
                  </w:r>
                </w:p>
              </w:tc>
              <w:tc>
                <w:tcPr>
                  <w:tcW w:w="436" w:type="pct"/>
                  <w:shd w:val="clear" w:color="000000" w:fill="FFFFFF"/>
                  <w:vAlign w:val="center"/>
                </w:tcPr>
                <w:p>
                  <w:pPr>
                    <w:jc w:val="center"/>
                    <w:rPr>
                      <w:bCs/>
                      <w:szCs w:val="21"/>
                    </w:rPr>
                  </w:pPr>
                  <w:r>
                    <w:rPr>
                      <w:bCs/>
                      <w:szCs w:val="21"/>
                    </w:rPr>
                    <w:t>灌注桩</w:t>
                  </w:r>
                </w:p>
              </w:tc>
            </w:tr>
            <w:bookmarkEnd w:id="15"/>
            <w:bookmarkEnd w:id="16"/>
          </w:tbl>
          <w:p/>
        </w:tc>
      </w:tr>
    </w:tbl>
    <w:p>
      <w:pPr>
        <w:sectPr>
          <w:footerReference w:type="even" r:id="rId62"/>
          <w:footerReference w:type="default" r:id="rId63"/>
          <w:type w:val="nextPage"/>
          <w:pgSz w:w="11906" w:h="16838"/>
          <w:pgMar w:top="1440" w:right="1800" w:bottom="1440" w:left="1800" w:header="851" w:footer="1077" w:gutter="0"/>
          <w:pgNumType w:start="24"/>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pStyle w:val="003"/>
              <w:ind w:firstLine="420"/>
              <w:rPr>
                <w:color w:val="auto"/>
              </w:rPr>
            </w:pPr>
            <w:r>
              <w:rPr>
                <w:color w:val="auto"/>
              </w:rPr>
              <w:t>（1）K2+064中桥</w:t>
            </w:r>
          </w:p>
          <w:p>
            <w:pPr>
              <w:pStyle w:val="003"/>
              <w:ind w:firstLine="420"/>
              <w:rPr>
                <w:color w:val="auto"/>
              </w:rPr>
            </w:pPr>
            <w:r>
              <w:rPr>
                <w:color w:val="auto"/>
              </w:rPr>
              <w:t>K2+064中桥为跨</w:t>
            </w:r>
            <w:r>
              <w:rPr>
                <w:rFonts w:hint="eastAsia"/>
                <w:color w:val="auto"/>
              </w:rPr>
              <w:t>无名</w:t>
            </w:r>
            <w:r>
              <w:rPr>
                <w:color w:val="auto"/>
              </w:rPr>
              <w:t>河沟设置，跨径布置为1x30m。K2+064中桥桥型布置图详见图。</w:t>
            </w:r>
          </w:p>
          <w:tbl>
            <w:tblPr>
              <w:tblStyle w:val="TableNormal"/>
              <w:tblW w:w="5000" w:type="pct"/>
              <w:tblInd w:w="0" w:type="dxa"/>
              <w:tblCellMar>
                <w:top w:w="0" w:type="dxa"/>
                <w:left w:w="108" w:type="dxa"/>
                <w:bottom w:w="0" w:type="dxa"/>
                <w:right w:w="108" w:type="dxa"/>
              </w:tblCellMar>
            </w:tblPr>
            <w:tblGrid>
              <w:gridCol w:w="9007"/>
            </w:tblGrid>
            <w:tr>
              <w:tblPrEx>
                <w:tblW w:w="5000" w:type="pct"/>
                <w:tblInd w:w="0" w:type="dxa"/>
                <w:tblCellMar>
                  <w:top w:w="0" w:type="dxa"/>
                  <w:left w:w="108" w:type="dxa"/>
                  <w:bottom w:w="0" w:type="dxa"/>
                  <w:right w:w="108" w:type="dxa"/>
                </w:tblCellMar>
              </w:tblPrEx>
              <w:tc>
                <w:tcPr>
                  <w:tcW w:w="5000" w:type="pct"/>
                  <w:shd w:val="clear" w:color="auto" w:fill="auto"/>
                </w:tcPr>
                <w:p>
                  <w:pPr>
                    <w:pStyle w:val="003"/>
                    <w:ind w:firstLine="0" w:firstLineChars="0"/>
                    <w:rPr>
                      <w:color w:val="auto"/>
                    </w:rPr>
                  </w:pPr>
                  <w:r>
                    <w:rPr>
                      <w:color w:val="auto"/>
                    </w:rPr>
                    <w:drawing>
                      <wp:inline distT="0" distB="0" distL="0" distR="0">
                        <wp:extent cx="5269865" cy="289941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xmlns:r="http://schemas.openxmlformats.org/officeDocument/2006/relationships" r:embed="rId64"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69865" cy="2899410"/>
                                </a:xfrm>
                                <a:prstGeom prst="rect">
                                  <a:avLst/>
                                </a:prstGeom>
                                <a:noFill/>
                                <a:ln>
                                  <a:noFill/>
                                </a:ln>
                              </pic:spPr>
                            </pic:pic>
                          </a:graphicData>
                        </a:graphic>
                      </wp:inline>
                    </w:drawing>
                  </w:r>
                </w:p>
              </w:tc>
            </w:tr>
            <w:tr>
              <w:tblPrEx>
                <w:tblW w:w="5000" w:type="pct"/>
                <w:tblInd w:w="0" w:type="dxa"/>
                <w:tblCellMar>
                  <w:top w:w="0" w:type="dxa"/>
                  <w:left w:w="108" w:type="dxa"/>
                  <w:bottom w:w="0" w:type="dxa"/>
                  <w:right w:w="108" w:type="dxa"/>
                </w:tblCellMar>
              </w:tblPrEx>
              <w:tc>
                <w:tcPr>
                  <w:tcW w:w="5000" w:type="pct"/>
                  <w:shd w:val="clear" w:color="auto" w:fill="auto"/>
                </w:tcPr>
                <w:p>
                  <w:pPr>
                    <w:pStyle w:val="0010"/>
                    <w:rPr>
                      <w:color w:val="auto"/>
                    </w:rPr>
                  </w:pPr>
                  <w:r>
                    <w:rPr>
                      <w:color w:val="auto"/>
                    </w:rPr>
                    <w:t>图2-3  K2+064中桥桥型布置图</w:t>
                  </w:r>
                </w:p>
              </w:tc>
            </w:tr>
          </w:tbl>
          <w:p>
            <w:pPr>
              <w:pStyle w:val="003"/>
              <w:ind w:firstLine="420"/>
              <w:rPr>
                <w:color w:val="auto"/>
              </w:rPr>
            </w:pPr>
            <w:r>
              <w:rPr>
                <w:color w:val="auto"/>
              </w:rPr>
              <w:t>桥梁宽度为20m，横断面布置为：2.5m（人行道）+0.25m</w:t>
            </w:r>
            <w:r>
              <w:rPr>
                <w:rFonts w:hint="eastAsia"/>
                <w:color w:val="auto"/>
              </w:rPr>
              <w:t>（</w:t>
            </w:r>
            <w:r>
              <w:rPr>
                <w:color w:val="auto"/>
              </w:rPr>
              <w:t>路缘带</w:t>
            </w:r>
            <w:r>
              <w:rPr>
                <w:rFonts w:hint="eastAsia"/>
                <w:color w:val="auto"/>
              </w:rPr>
              <w:t>）</w:t>
            </w:r>
            <w:r>
              <w:rPr>
                <w:color w:val="auto"/>
              </w:rPr>
              <w:t>+7.0m（机动车道）+0.5m（双黄线）+7.0m（机动车道）+0.25m</w:t>
            </w:r>
            <w:r>
              <w:rPr>
                <w:rFonts w:hint="eastAsia"/>
                <w:color w:val="auto"/>
              </w:rPr>
              <w:t>（</w:t>
            </w:r>
            <w:r>
              <w:rPr>
                <w:color w:val="auto"/>
              </w:rPr>
              <w:t>路缘带</w:t>
            </w:r>
            <w:r>
              <w:rPr>
                <w:rFonts w:hint="eastAsia"/>
                <w:color w:val="auto"/>
              </w:rPr>
              <w:t>）</w:t>
            </w:r>
            <w:r>
              <w:rPr>
                <w:color w:val="auto"/>
              </w:rPr>
              <w:t>+2.5m（人行道）=20m。K2+064中桥横断面图见下图。</w:t>
            </w:r>
          </w:p>
          <w:tbl>
            <w:tblPr>
              <w:tblStyle w:val="TableNormal"/>
              <w:tblW w:w="5000" w:type="pct"/>
              <w:tblInd w:w="0" w:type="dxa"/>
              <w:tblCellMar>
                <w:top w:w="0" w:type="dxa"/>
                <w:left w:w="108" w:type="dxa"/>
                <w:bottom w:w="0" w:type="dxa"/>
                <w:right w:w="108" w:type="dxa"/>
              </w:tblCellMar>
            </w:tblPr>
            <w:tblGrid>
              <w:gridCol w:w="9007"/>
            </w:tblGrid>
            <w:tr>
              <w:tblPrEx>
                <w:tblW w:w="5000" w:type="pct"/>
                <w:tblInd w:w="0" w:type="dxa"/>
                <w:tblCellMar>
                  <w:top w:w="0" w:type="dxa"/>
                  <w:left w:w="108" w:type="dxa"/>
                  <w:bottom w:w="0" w:type="dxa"/>
                  <w:right w:w="108" w:type="dxa"/>
                </w:tblCellMar>
              </w:tblPrEx>
              <w:tc>
                <w:tcPr>
                  <w:tcW w:w="5000" w:type="pct"/>
                  <w:shd w:val="clear" w:color="auto" w:fill="auto"/>
                </w:tcPr>
                <w:p>
                  <w:pPr>
                    <w:pStyle w:val="003"/>
                    <w:ind w:firstLine="0" w:firstLineChars="0"/>
                    <w:rPr>
                      <w:color w:val="auto"/>
                    </w:rPr>
                  </w:pPr>
                  <w:r>
                    <w:rPr>
                      <w:color w:val="auto"/>
                    </w:rPr>
                    <w:drawing>
                      <wp:inline distT="0" distB="0" distL="0" distR="0">
                        <wp:extent cx="5269865" cy="206692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xmlns:r="http://schemas.openxmlformats.org/officeDocument/2006/relationships" r:embed="rId65"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69865" cy="2066925"/>
                                </a:xfrm>
                                <a:prstGeom prst="rect">
                                  <a:avLst/>
                                </a:prstGeom>
                                <a:noFill/>
                                <a:ln>
                                  <a:noFill/>
                                </a:ln>
                              </pic:spPr>
                            </pic:pic>
                          </a:graphicData>
                        </a:graphic>
                      </wp:inline>
                    </w:drawing>
                  </w:r>
                </w:p>
              </w:tc>
            </w:tr>
            <w:tr>
              <w:tblPrEx>
                <w:tblW w:w="5000" w:type="pct"/>
                <w:tblInd w:w="0" w:type="dxa"/>
                <w:tblCellMar>
                  <w:top w:w="0" w:type="dxa"/>
                  <w:left w:w="108" w:type="dxa"/>
                  <w:bottom w:w="0" w:type="dxa"/>
                  <w:right w:w="108" w:type="dxa"/>
                </w:tblCellMar>
              </w:tblPrEx>
              <w:tc>
                <w:tcPr>
                  <w:tcW w:w="5000" w:type="pct"/>
                  <w:shd w:val="clear" w:color="auto" w:fill="auto"/>
                </w:tcPr>
                <w:p>
                  <w:pPr>
                    <w:pStyle w:val="0010"/>
                    <w:rPr>
                      <w:color w:val="auto"/>
                    </w:rPr>
                  </w:pPr>
                  <w:r>
                    <w:rPr>
                      <w:color w:val="auto"/>
                    </w:rPr>
                    <w:t>图2-4  K2+064中桥横断面图</w:t>
                  </w:r>
                </w:p>
              </w:tc>
            </w:tr>
          </w:tbl>
          <w:p>
            <w:pPr>
              <w:pStyle w:val="003"/>
              <w:ind w:firstLine="420"/>
              <w:rPr>
                <w:color w:val="auto"/>
              </w:rPr>
            </w:pPr>
            <w:r>
              <w:rPr>
                <w:color w:val="auto"/>
              </w:rPr>
              <w:t>（2）K2+787中桥</w:t>
            </w:r>
          </w:p>
          <w:p>
            <w:pPr>
              <w:pStyle w:val="003"/>
              <w:ind w:firstLine="420"/>
              <w:rPr>
                <w:color w:val="auto"/>
              </w:rPr>
            </w:pPr>
            <w:r>
              <w:rPr>
                <w:color w:val="auto"/>
              </w:rPr>
              <w:t>K2+787中桥为跨宋家沟设置，跨径布置为1x30m。K2+787中桥桥型布置见下图。</w:t>
            </w: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p>
            <w:pPr>
              <w:pStyle w:val="003"/>
              <w:ind w:firstLine="420"/>
              <w:rPr>
                <w:color w:val="auto"/>
              </w:rPr>
            </w:pPr>
          </w:p>
        </w:tc>
      </w:tr>
    </w:tbl>
    <w:p>
      <w:pPr>
        <w:sectPr>
          <w:footerReference w:type="even" r:id="rId66"/>
          <w:footerReference w:type="default" r:id="rId67"/>
          <w:type w:val="nextPage"/>
          <w:pgSz w:w="11906" w:h="16838"/>
          <w:pgMar w:top="1440" w:right="1800" w:bottom="1440" w:left="1800" w:header="851" w:footer="1077" w:gutter="0"/>
          <w:pgNumType w:start="25"/>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tbl>
            <w:tblPr>
              <w:tblStyle w:val="TableNormal"/>
              <w:tblW w:w="5000" w:type="pct"/>
              <w:tblInd w:w="0" w:type="dxa"/>
              <w:tblCellMar>
                <w:top w:w="0" w:type="dxa"/>
                <w:left w:w="108" w:type="dxa"/>
                <w:bottom w:w="0" w:type="dxa"/>
                <w:right w:w="108" w:type="dxa"/>
              </w:tblCellMar>
            </w:tblPr>
            <w:tblGrid>
              <w:gridCol w:w="9007"/>
            </w:tblGrid>
            <w:tr>
              <w:tblPrEx>
                <w:tblW w:w="5000" w:type="pct"/>
                <w:tblInd w:w="0" w:type="dxa"/>
                <w:tblCellMar>
                  <w:top w:w="0" w:type="dxa"/>
                  <w:left w:w="108" w:type="dxa"/>
                  <w:bottom w:w="0" w:type="dxa"/>
                  <w:right w:w="108" w:type="dxa"/>
                </w:tblCellMar>
              </w:tblPrEx>
              <w:trPr>
                <w:trHeight w:val="4688"/>
              </w:trPr>
              <w:tc>
                <w:tcPr>
                  <w:tcW w:w="5000" w:type="pct"/>
                  <w:shd w:val="clear" w:color="auto" w:fill="auto"/>
                </w:tcPr>
                <w:p>
                  <w:pPr>
                    <w:pStyle w:val="003"/>
                    <w:ind w:firstLine="0" w:firstLineChars="0"/>
                    <w:rPr>
                      <w:color w:val="auto"/>
                    </w:rPr>
                  </w:pPr>
                  <w:r>
                    <w:rPr>
                      <w:color w:val="auto"/>
                    </w:rPr>
                    <w:drawing>
                      <wp:inline distT="0" distB="0" distL="0" distR="0">
                        <wp:extent cx="5274310" cy="291655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xmlns:r="http://schemas.openxmlformats.org/officeDocument/2006/relationships" r:embed="rId68"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4310" cy="2916555"/>
                                </a:xfrm>
                                <a:prstGeom prst="rect">
                                  <a:avLst/>
                                </a:prstGeom>
                                <a:noFill/>
                                <a:ln>
                                  <a:noFill/>
                                </a:ln>
                              </pic:spPr>
                            </pic:pic>
                          </a:graphicData>
                        </a:graphic>
                      </wp:inline>
                    </w:drawing>
                  </w:r>
                </w:p>
              </w:tc>
            </w:tr>
            <w:tr>
              <w:tblPrEx>
                <w:tblW w:w="5000" w:type="pct"/>
                <w:tblInd w:w="0" w:type="dxa"/>
                <w:tblCellMar>
                  <w:top w:w="0" w:type="dxa"/>
                  <w:left w:w="108" w:type="dxa"/>
                  <w:bottom w:w="0" w:type="dxa"/>
                  <w:right w:w="108" w:type="dxa"/>
                </w:tblCellMar>
              </w:tblPrEx>
              <w:trPr>
                <w:trHeight w:val="398"/>
              </w:trPr>
              <w:tc>
                <w:tcPr>
                  <w:tcW w:w="5000" w:type="pct"/>
                  <w:shd w:val="clear" w:color="auto" w:fill="auto"/>
                </w:tcPr>
                <w:p>
                  <w:pPr>
                    <w:pStyle w:val="0010"/>
                    <w:rPr>
                      <w:color w:val="auto"/>
                    </w:rPr>
                  </w:pPr>
                  <w:r>
                    <w:rPr>
                      <w:color w:val="auto"/>
                    </w:rPr>
                    <w:t>图2-5  K2+787中桥桥型布置图</w:t>
                  </w:r>
                </w:p>
              </w:tc>
            </w:tr>
          </w:tbl>
          <w:p>
            <w:pPr>
              <w:pStyle w:val="003"/>
              <w:ind w:firstLine="420"/>
              <w:rPr>
                <w:color w:val="auto"/>
              </w:rPr>
            </w:pPr>
            <w:r>
              <w:rPr>
                <w:color w:val="auto"/>
              </w:rPr>
              <w:t>桥梁宽度为20m，横断面布置为：2.5m（人行道）+0.25m</w:t>
            </w:r>
            <w:r>
              <w:rPr>
                <w:rFonts w:hint="eastAsia"/>
                <w:color w:val="auto"/>
              </w:rPr>
              <w:t>（</w:t>
            </w:r>
            <w:r>
              <w:rPr>
                <w:color w:val="auto"/>
              </w:rPr>
              <w:t>路缘带</w:t>
            </w:r>
            <w:r>
              <w:rPr>
                <w:rFonts w:hint="eastAsia"/>
                <w:color w:val="auto"/>
              </w:rPr>
              <w:t>）</w:t>
            </w:r>
            <w:r>
              <w:rPr>
                <w:color w:val="auto"/>
              </w:rPr>
              <w:t>+7.0m（机动车道）+0.5m（双黄线）+7.0m（机动车道）+0.25m</w:t>
            </w:r>
            <w:r>
              <w:rPr>
                <w:rFonts w:hint="eastAsia"/>
                <w:color w:val="auto"/>
              </w:rPr>
              <w:t>（</w:t>
            </w:r>
            <w:r>
              <w:rPr>
                <w:color w:val="auto"/>
              </w:rPr>
              <w:t>路缘带</w:t>
            </w:r>
            <w:r>
              <w:rPr>
                <w:rFonts w:hint="eastAsia"/>
                <w:color w:val="auto"/>
              </w:rPr>
              <w:t>）</w:t>
            </w:r>
            <w:r>
              <w:rPr>
                <w:color w:val="auto"/>
              </w:rPr>
              <w:t>+2.5m（人行道）=20m。K2+787中桥横断面见下图。</w:t>
            </w:r>
          </w:p>
          <w:tbl>
            <w:tblPr>
              <w:tblStyle w:val="TableNormal"/>
              <w:tblW w:w="5000" w:type="pct"/>
              <w:tblInd w:w="0" w:type="dxa"/>
              <w:tblCellMar>
                <w:top w:w="0" w:type="dxa"/>
                <w:left w:w="108" w:type="dxa"/>
                <w:bottom w:w="0" w:type="dxa"/>
                <w:right w:w="108" w:type="dxa"/>
              </w:tblCellMar>
            </w:tblPr>
            <w:tblGrid>
              <w:gridCol w:w="9007"/>
            </w:tblGrid>
            <w:tr>
              <w:tblPrEx>
                <w:tblW w:w="5000" w:type="pct"/>
                <w:tblInd w:w="0" w:type="dxa"/>
                <w:tblCellMar>
                  <w:top w:w="0" w:type="dxa"/>
                  <w:left w:w="108" w:type="dxa"/>
                  <w:bottom w:w="0" w:type="dxa"/>
                  <w:right w:w="108" w:type="dxa"/>
                </w:tblCellMar>
              </w:tblPrEx>
              <w:tc>
                <w:tcPr>
                  <w:tcW w:w="5000" w:type="pct"/>
                  <w:shd w:val="clear" w:color="auto" w:fill="auto"/>
                </w:tcPr>
                <w:p>
                  <w:pPr>
                    <w:pStyle w:val="003"/>
                    <w:ind w:firstLine="0" w:firstLineChars="0"/>
                    <w:rPr>
                      <w:color w:val="auto"/>
                    </w:rPr>
                  </w:pPr>
                  <w:r>
                    <w:rPr>
                      <w:color w:val="auto"/>
                    </w:rPr>
                    <w:drawing>
                      <wp:inline distT="0" distB="0" distL="0" distR="0">
                        <wp:extent cx="5269865" cy="204533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xmlns:r="http://schemas.openxmlformats.org/officeDocument/2006/relationships" r:embed="rId69"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69865" cy="2045335"/>
                                </a:xfrm>
                                <a:prstGeom prst="rect">
                                  <a:avLst/>
                                </a:prstGeom>
                                <a:noFill/>
                                <a:ln>
                                  <a:noFill/>
                                </a:ln>
                              </pic:spPr>
                            </pic:pic>
                          </a:graphicData>
                        </a:graphic>
                      </wp:inline>
                    </w:drawing>
                  </w:r>
                </w:p>
              </w:tc>
            </w:tr>
            <w:tr>
              <w:tblPrEx>
                <w:tblW w:w="5000" w:type="pct"/>
                <w:tblInd w:w="0" w:type="dxa"/>
                <w:tblCellMar>
                  <w:top w:w="0" w:type="dxa"/>
                  <w:left w:w="108" w:type="dxa"/>
                  <w:bottom w:w="0" w:type="dxa"/>
                  <w:right w:w="108" w:type="dxa"/>
                </w:tblCellMar>
              </w:tblPrEx>
              <w:tc>
                <w:tcPr>
                  <w:tcW w:w="5000" w:type="pct"/>
                  <w:shd w:val="clear" w:color="auto" w:fill="auto"/>
                </w:tcPr>
                <w:p>
                  <w:pPr>
                    <w:pStyle w:val="0010"/>
                    <w:rPr>
                      <w:color w:val="auto"/>
                    </w:rPr>
                  </w:pPr>
                  <w:r>
                    <w:rPr>
                      <w:color w:val="auto"/>
                    </w:rPr>
                    <w:t>图2-6  K2+787中桥横断面图</w:t>
                  </w:r>
                </w:p>
              </w:tc>
            </w:tr>
          </w:tbl>
          <w:p>
            <w:pPr>
              <w:pStyle w:val="031"/>
              <w:rPr>
                <w:color w:val="auto"/>
              </w:rPr>
            </w:pPr>
            <w:r>
              <w:rPr>
                <w:color w:val="auto"/>
              </w:rPr>
              <w:t>桥梁结构设计：</w:t>
            </w:r>
          </w:p>
          <w:p>
            <w:pPr>
              <w:pStyle w:val="003"/>
              <w:ind w:firstLine="420"/>
              <w:rPr>
                <w:color w:val="auto"/>
              </w:rPr>
            </w:pPr>
            <w:r>
              <w:rPr>
                <w:color w:val="auto"/>
              </w:rPr>
              <w:t>（1）上部结构</w:t>
            </w:r>
          </w:p>
          <w:p>
            <w:pPr>
              <w:pStyle w:val="003"/>
              <w:ind w:firstLine="420"/>
              <w:rPr>
                <w:color w:val="auto"/>
              </w:rPr>
            </w:pPr>
            <w:r>
              <w:rPr>
                <w:color w:val="auto"/>
              </w:rPr>
              <w:t>K2+064中桥采用30m简支预应力小箱梁，梁高1.7m，桥梁宽度20m，横桥向由7片小箱梁组成，边梁宽2.45m，中梁宽2.2m，湿接缝宽0.68m。</w:t>
            </w:r>
          </w:p>
          <w:p>
            <w:pPr>
              <w:pStyle w:val="003"/>
              <w:ind w:firstLine="420"/>
              <w:rPr>
                <w:color w:val="auto"/>
              </w:rPr>
            </w:pPr>
            <w:r>
              <w:rPr>
                <w:color w:val="auto"/>
              </w:rPr>
              <w:t>K2+787中桥采用30m简支预应力小箱梁，梁高1.7m，桥梁宽度20m，横桥向由7片小箱梁组成，边梁宽2.45m，中梁宽2.2m，湿接缝宽0.68m。</w:t>
            </w:r>
          </w:p>
          <w:p>
            <w:pPr>
              <w:pStyle w:val="003"/>
              <w:ind w:firstLine="420"/>
              <w:rPr>
                <w:color w:val="auto"/>
              </w:rPr>
            </w:pPr>
            <w:r>
              <w:rPr>
                <w:color w:val="auto"/>
              </w:rPr>
              <w:t>（2）下部结构</w:t>
            </w:r>
          </w:p>
          <w:p>
            <w:pPr>
              <w:pStyle w:val="003"/>
              <w:ind w:firstLine="420"/>
              <w:rPr>
                <w:color w:val="auto"/>
              </w:rPr>
            </w:pPr>
            <w:r>
              <w:rPr>
                <w:rFonts w:ascii="宋体" w:hAnsi="宋体" w:cs="宋体" w:hint="eastAsia"/>
                <w:color w:val="auto"/>
              </w:rPr>
              <w:t>①</w:t>
            </w:r>
            <w:r>
              <w:rPr>
                <w:color w:val="auto"/>
              </w:rPr>
              <w:t>K2+064中桥</w:t>
            </w:r>
          </w:p>
          <w:p>
            <w:pPr>
              <w:pStyle w:val="003"/>
              <w:spacing w:after="0"/>
              <w:ind w:firstLine="420"/>
              <w:rPr>
                <w:color w:val="auto"/>
              </w:rPr>
            </w:pPr>
          </w:p>
        </w:tc>
      </w:tr>
    </w:tbl>
    <w:p>
      <w:pPr>
        <w:sectPr>
          <w:footerReference w:type="even" r:id="rId70"/>
          <w:footerReference w:type="default" r:id="rId71"/>
          <w:type w:val="nextPage"/>
          <w:pgSz w:w="11906" w:h="16838"/>
          <w:pgMar w:top="1440" w:right="1800" w:bottom="1440" w:left="1800" w:header="851" w:footer="1077" w:gutter="0"/>
          <w:pgNumType w:start="26"/>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pStyle w:val="003"/>
              <w:spacing w:before="0"/>
              <w:ind w:firstLine="420"/>
              <w:rPr>
                <w:color w:val="auto"/>
              </w:rPr>
            </w:pPr>
            <w:r>
              <w:rPr>
                <w:color w:val="auto"/>
              </w:rPr>
              <w:t>根据台后填土厚度选取桥台形式，K2+064中桥两侧桥台均采用U台，下接承台桩基础，台后设置搭板。0号桥台承台尺寸为5.3m（顺）×20.3m（横）×2m（高），承台设置10根Φ1200mm的桩基，桩长12m；1号桥台承台尺寸为5.3m（顺）×20.3m（横）×2m（高），承台设置10根Φ1200mm的桩基，桩长17m。桩基均按嵌岩桩进行设计。</w:t>
            </w:r>
          </w:p>
          <w:p>
            <w:pPr>
              <w:pStyle w:val="003"/>
              <w:ind w:firstLine="420"/>
              <w:rPr>
                <w:color w:val="auto"/>
              </w:rPr>
            </w:pPr>
            <w:r>
              <w:rPr>
                <w:rFonts w:ascii="宋体" w:hAnsi="宋体" w:cs="宋体" w:hint="eastAsia"/>
                <w:color w:val="auto"/>
              </w:rPr>
              <w:t>②</w:t>
            </w:r>
            <w:r>
              <w:rPr>
                <w:color w:val="auto"/>
              </w:rPr>
              <w:t>K2+787中桥</w:t>
            </w:r>
          </w:p>
          <w:p>
            <w:pPr>
              <w:pStyle w:val="003"/>
              <w:ind w:firstLine="420"/>
              <w:rPr>
                <w:color w:val="auto"/>
              </w:rPr>
            </w:pPr>
            <w:r>
              <w:rPr>
                <w:color w:val="auto"/>
              </w:rPr>
              <w:t>根据台后填土厚度选取桥台形式，K2+787中桥0号桥台采用U台，下接承台桩基础，1号桥台采用桩柱式桥台，台后均设置搭板。0号桥台承台尺寸为5.3m（顺）×20.3m（横）×2m（高），承台设置10根Φ1200mm的桩基，桩长12m；1号桥台台帽宽1.8m，高1.6m，长20m，下接5根Φ1200mm的桩基，桩长12m。桩基均按嵌岩桩进行设计。</w:t>
            </w:r>
          </w:p>
          <w:p>
            <w:pPr>
              <w:pStyle w:val="031"/>
              <w:rPr>
                <w:color w:val="auto"/>
              </w:rPr>
            </w:pPr>
            <w:r>
              <w:rPr>
                <w:color w:val="auto"/>
              </w:rPr>
              <w:t>桥梁附属工程：</w:t>
            </w:r>
          </w:p>
          <w:p>
            <w:pPr>
              <w:pStyle w:val="003"/>
              <w:ind w:firstLine="420"/>
              <w:rPr>
                <w:color w:val="auto"/>
              </w:rPr>
            </w:pPr>
            <w:r>
              <w:rPr>
                <w:color w:val="auto"/>
              </w:rPr>
              <w:t>（1）桥面铺装</w:t>
            </w:r>
          </w:p>
          <w:p>
            <w:pPr>
              <w:pStyle w:val="003"/>
              <w:ind w:firstLine="420"/>
              <w:rPr>
                <w:color w:val="auto"/>
              </w:rPr>
            </w:pPr>
            <w:r>
              <w:rPr>
                <w:color w:val="auto"/>
              </w:rPr>
              <w:t>车行道桥面铺装采用4cm SBS改性细粒式沥青混凝土AC-13C+6cm 中粒式沥青混凝土AC-20C+防水层+10cm C50防水混凝土铺装。为保证桥面铺装混凝土的功能性，桥面混凝土铺装内设一层CRB550φ10冷轧带肋钢筋焊接网片，距离混凝土铺装层顶面净距3.0cm（网距：10cm×10cm，单位重12.5kg/m²）。人行道铺装同道路工程。</w:t>
            </w:r>
          </w:p>
          <w:p>
            <w:pPr>
              <w:pStyle w:val="003"/>
              <w:ind w:firstLine="420"/>
              <w:rPr>
                <w:color w:val="auto"/>
              </w:rPr>
            </w:pPr>
            <w:r>
              <w:rPr>
                <w:color w:val="auto"/>
              </w:rPr>
              <w:t>（2）伸缩缝</w:t>
            </w:r>
          </w:p>
          <w:p>
            <w:pPr>
              <w:pStyle w:val="003"/>
              <w:ind w:firstLine="420"/>
              <w:rPr>
                <w:color w:val="auto"/>
              </w:rPr>
            </w:pPr>
            <w:r>
              <w:rPr>
                <w:color w:val="auto"/>
              </w:rPr>
              <w:t>本工程在桥台之间设置伸缩装置，根据梁长采用80型模数式伸缩缝。伸缩缝应符合JT/T327-2016《公路桥梁伸缩装置通用技术条件》的要求。伸缩缝均采用预埋钢筋</w:t>
            </w:r>
            <w:r>
              <w:rPr>
                <w:rFonts w:hint="eastAsia"/>
                <w:color w:val="auto"/>
              </w:rPr>
              <w:t>形式</w:t>
            </w:r>
            <w:r>
              <w:rPr>
                <w:color w:val="auto"/>
              </w:rPr>
              <w:t>，预留槽口中设置防裂钢筋，浇注C50钢纤维混凝土。</w:t>
            </w:r>
          </w:p>
          <w:p>
            <w:pPr>
              <w:pStyle w:val="003"/>
              <w:ind w:firstLine="420"/>
              <w:rPr>
                <w:color w:val="auto"/>
              </w:rPr>
            </w:pPr>
            <w:r>
              <w:rPr>
                <w:color w:val="auto"/>
              </w:rPr>
              <w:t>（3）支座</w:t>
            </w:r>
          </w:p>
          <w:p>
            <w:pPr>
              <w:pStyle w:val="003"/>
              <w:ind w:firstLine="420"/>
              <w:rPr>
                <w:color w:val="auto"/>
              </w:rPr>
            </w:pPr>
            <w:r>
              <w:rPr>
                <w:color w:val="auto"/>
              </w:rPr>
              <w:t>预制小箱梁采用板式橡胶支座，支座型号为GBZY 500x130（CR）。橡胶采用氯丁橡胶，严禁使用再生的或加工研碎的硫化橡胶。支座需符合国家及交通部相关技术标准。</w:t>
            </w:r>
          </w:p>
          <w:p>
            <w:pPr>
              <w:pStyle w:val="003"/>
              <w:ind w:firstLine="420"/>
              <w:rPr>
                <w:color w:val="auto"/>
              </w:rPr>
            </w:pPr>
            <w:r>
              <w:rPr>
                <w:color w:val="auto"/>
              </w:rPr>
              <w:t>（4）桥面防排水</w:t>
            </w:r>
          </w:p>
          <w:p>
            <w:pPr>
              <w:pStyle w:val="003"/>
              <w:ind w:firstLine="420"/>
              <w:rPr>
                <w:color w:val="auto"/>
              </w:rPr>
            </w:pPr>
            <w:r>
              <w:rPr>
                <w:rFonts w:ascii="宋体" w:hAnsi="宋体" w:cs="宋体" w:hint="eastAsia"/>
                <w:color w:val="auto"/>
              </w:rPr>
              <w:t>①</w:t>
            </w:r>
            <w:r>
              <w:rPr>
                <w:color w:val="auto"/>
              </w:rPr>
              <w:t>桥面排水：桥面排水管采用PVC-U管材，必须符合《GB/T 5836.1-2018》和《GB/T 5836.2-2018》的要求。</w:t>
            </w:r>
          </w:p>
          <w:p>
            <w:pPr>
              <w:pStyle w:val="003"/>
              <w:ind w:firstLine="420"/>
              <w:rPr>
                <w:color w:val="auto"/>
              </w:rPr>
            </w:pPr>
            <w:r>
              <w:rPr>
                <w:rFonts w:ascii="宋体" w:hAnsi="宋体" w:cs="宋体" w:hint="eastAsia"/>
                <w:color w:val="auto"/>
              </w:rPr>
              <w:t>②</w:t>
            </w:r>
            <w:r>
              <w:rPr>
                <w:color w:val="auto"/>
              </w:rPr>
              <w:t>桥面防水：桥面防水层各项性能指标要求满足《道桥用改性沥青防水卷材》（JC/T 974—2005）的技术标准。施工前应对混凝土铺装表面进行环氧树脂或专用冷底子油基层封闭处理。</w:t>
            </w:r>
          </w:p>
          <w:p>
            <w:pPr>
              <w:pStyle w:val="003"/>
              <w:ind w:firstLine="420"/>
              <w:rPr>
                <w:color w:val="auto"/>
              </w:rPr>
            </w:pPr>
            <w:r>
              <w:rPr>
                <w:color w:val="auto"/>
              </w:rPr>
              <w:t>（5）桥头搭板</w:t>
            </w:r>
          </w:p>
          <w:p>
            <w:pPr>
              <w:pStyle w:val="003"/>
              <w:ind w:firstLine="420"/>
              <w:rPr>
                <w:color w:val="auto"/>
              </w:rPr>
            </w:pPr>
            <w:r>
              <w:rPr>
                <w:color w:val="auto"/>
              </w:rPr>
              <w:t>全线所有桥梁与路基衔接处均设置搭板，防止桥头跳车。搭板长度采用8m，厚度为0.3m，采用反开槽法施工，并须避免亮槽。搭板顶面铺装与道路路面结构一致。搭板设纵、横坡，同道路纵坡、横坡。宽度与行车路面相同。</w:t>
            </w:r>
          </w:p>
          <w:p>
            <w:pPr>
              <w:pStyle w:val="003"/>
              <w:ind w:firstLine="420"/>
              <w:rPr>
                <w:color w:val="auto"/>
              </w:rPr>
            </w:pPr>
            <w:r>
              <w:rPr>
                <w:color w:val="auto"/>
              </w:rPr>
              <w:t>（6）人行道</w:t>
            </w:r>
          </w:p>
          <w:p>
            <w:pPr>
              <w:pStyle w:val="003"/>
              <w:ind w:firstLine="420"/>
              <w:rPr>
                <w:color w:val="auto"/>
              </w:rPr>
            </w:pPr>
            <w:r>
              <w:rPr>
                <w:color w:val="auto"/>
              </w:rPr>
              <w:t>一侧人行道全宽2.5m，地梁采用现浇，人行道板采用预制吊装。人行道栏杆采用钢栏杆。人行道样式可由业主方指定，经设计方计算复核后采用。人行道与车行道的路缘石处设置中心处高45cm的防撞钢柱。</w:t>
            </w:r>
          </w:p>
        </w:tc>
      </w:tr>
    </w:tbl>
    <w:p>
      <w:pPr>
        <w:sectPr>
          <w:footerReference w:type="even" r:id="rId72"/>
          <w:footerReference w:type="default" r:id="rId73"/>
          <w:type w:val="nextPage"/>
          <w:pgSz w:w="11906" w:h="16838"/>
          <w:pgMar w:top="1440" w:right="1800" w:bottom="1440" w:left="1800" w:header="851" w:footer="1077" w:gutter="0"/>
          <w:pgNumType w:start="27"/>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pStyle w:val="041"/>
            </w:pPr>
            <w:r>
              <w:t>6.3交通设施</w:t>
            </w:r>
            <w:bookmarkStart w:id="17" w:name="三交通设施"/>
            <w:bookmarkEnd w:id="17"/>
          </w:p>
          <w:p>
            <w:pPr>
              <w:pStyle w:val="003"/>
              <w:ind w:firstLine="420"/>
              <w:rPr>
                <w:color w:val="auto"/>
              </w:rPr>
            </w:pPr>
            <w:r>
              <w:rPr>
                <w:color w:val="auto"/>
              </w:rPr>
              <w:t>本项目的交通设施主要有：交通标线、交通标志、交通信号灯、电子警察、监控。</w:t>
            </w:r>
          </w:p>
          <w:p>
            <w:pPr>
              <w:pStyle w:val="003"/>
              <w:ind w:firstLine="420"/>
              <w:rPr>
                <w:color w:val="auto"/>
              </w:rPr>
            </w:pPr>
            <w:r>
              <w:rPr>
                <w:color w:val="auto"/>
              </w:rPr>
              <w:t>1、交通标线</w:t>
            </w:r>
          </w:p>
          <w:p>
            <w:pPr>
              <w:pStyle w:val="003"/>
              <w:ind w:firstLine="420"/>
              <w:rPr>
                <w:color w:val="auto"/>
              </w:rPr>
            </w:pPr>
            <w:r>
              <w:rPr>
                <w:color w:val="auto"/>
              </w:rPr>
              <w:t>本项目根据设计速度和道路横断面进行画线，可跨越同向车行道分界线为宽度10cm 的白色虚线，车行道边缘线为宽度10cm 的白色实线，禁止跨越对向车道线为宽度10cm 的黄色实线。</w:t>
            </w:r>
          </w:p>
          <w:p>
            <w:pPr>
              <w:pStyle w:val="003"/>
              <w:ind w:firstLine="420"/>
              <w:rPr>
                <w:color w:val="auto"/>
              </w:rPr>
            </w:pPr>
            <w:r>
              <w:rPr>
                <w:color w:val="auto"/>
              </w:rPr>
              <w:t>所有标线及标记均采用热熔反光涂料，并掺有玻璃珠，其材料配比应符合《路面标线涂料》（JT/T280-2004）的规定。</w:t>
            </w:r>
          </w:p>
          <w:p>
            <w:pPr>
              <w:pStyle w:val="003"/>
              <w:ind w:firstLine="420"/>
              <w:rPr>
                <w:color w:val="auto"/>
              </w:rPr>
            </w:pPr>
            <w:r>
              <w:rPr>
                <w:color w:val="auto"/>
              </w:rPr>
              <w:t>2、技术要求</w:t>
            </w:r>
          </w:p>
          <w:p>
            <w:pPr>
              <w:pStyle w:val="003"/>
              <w:ind w:firstLine="420"/>
              <w:rPr>
                <w:color w:val="auto"/>
              </w:rPr>
            </w:pPr>
            <w:r>
              <w:rPr>
                <w:rFonts w:hint="eastAsia"/>
                <w:color w:val="auto"/>
              </w:rPr>
              <w:t>（</w:t>
            </w:r>
            <w:r>
              <w:rPr>
                <w:color w:val="auto"/>
              </w:rPr>
              <w:t>1）热熔标线厚度为2.0±0.2mm，标线的质量要求应符合《道路交通标线质量要求和检测方法》（GB/T16311-2009）的要求。</w:t>
            </w:r>
          </w:p>
          <w:p>
            <w:pPr>
              <w:pStyle w:val="003"/>
              <w:ind w:firstLine="420"/>
              <w:rPr>
                <w:color w:val="auto"/>
              </w:rPr>
            </w:pPr>
            <w:r>
              <w:rPr>
                <w:rFonts w:hint="eastAsia"/>
                <w:color w:val="auto"/>
              </w:rPr>
              <w:t>（</w:t>
            </w:r>
            <w:r>
              <w:rPr>
                <w:color w:val="auto"/>
              </w:rPr>
              <w:t>2）所有标线均采用热熔型反光涂料。涂料中含18%～25%的玻璃珠，施工时涂布涂层后立即将玻璃珠撒布在其表面。</w:t>
            </w:r>
          </w:p>
          <w:p>
            <w:pPr>
              <w:pStyle w:val="003"/>
              <w:ind w:firstLine="420"/>
              <w:rPr>
                <w:color w:val="auto"/>
              </w:rPr>
            </w:pPr>
            <w:r>
              <w:rPr>
                <w:rFonts w:hint="eastAsia"/>
                <w:color w:val="auto"/>
              </w:rPr>
              <w:t>（</w:t>
            </w:r>
            <w:r>
              <w:rPr>
                <w:color w:val="auto"/>
              </w:rPr>
              <w:t>3）施划标线之前，应保证路面干燥、清洁，无杂物和灰尘。</w:t>
            </w:r>
          </w:p>
          <w:p>
            <w:pPr>
              <w:pStyle w:val="003"/>
              <w:ind w:firstLine="420"/>
              <w:rPr>
                <w:color w:val="auto"/>
              </w:rPr>
            </w:pPr>
            <w:r>
              <w:rPr>
                <w:rFonts w:hint="eastAsia"/>
                <w:color w:val="auto"/>
              </w:rPr>
              <w:t>（</w:t>
            </w:r>
            <w:r>
              <w:rPr>
                <w:color w:val="auto"/>
              </w:rPr>
              <w:t>4）施工时，环境温度不得低于10℃。</w:t>
            </w:r>
          </w:p>
          <w:p>
            <w:pPr>
              <w:pStyle w:val="003"/>
              <w:ind w:firstLine="420"/>
              <w:rPr>
                <w:color w:val="auto"/>
              </w:rPr>
            </w:pPr>
            <w:r>
              <w:rPr>
                <w:rFonts w:hint="eastAsia"/>
                <w:color w:val="auto"/>
              </w:rPr>
              <w:t>（</w:t>
            </w:r>
            <w:r>
              <w:rPr>
                <w:color w:val="auto"/>
              </w:rPr>
              <w:t>5）车行道边缘线不应侵占行车道宽度。</w:t>
            </w:r>
          </w:p>
          <w:p>
            <w:pPr>
              <w:pStyle w:val="003"/>
              <w:ind w:firstLine="420"/>
              <w:rPr>
                <w:color w:val="auto"/>
              </w:rPr>
            </w:pPr>
            <w:r>
              <w:rPr>
                <w:rFonts w:hint="eastAsia"/>
                <w:color w:val="auto"/>
              </w:rPr>
              <w:t>（</w:t>
            </w:r>
            <w:r>
              <w:rPr>
                <w:color w:val="auto"/>
              </w:rPr>
              <w:t>6）斑马线与车道边缘线之间应留出5cm 间隙，以利于排水和清扫</w:t>
            </w:r>
          </w:p>
          <w:p>
            <w:pPr>
              <w:pStyle w:val="003"/>
              <w:ind w:firstLine="420"/>
              <w:rPr>
                <w:color w:val="auto"/>
              </w:rPr>
            </w:pPr>
            <w:r>
              <w:rPr>
                <w:rFonts w:hint="eastAsia"/>
                <w:color w:val="auto"/>
              </w:rPr>
              <w:t>（</w:t>
            </w:r>
            <w:r>
              <w:rPr>
                <w:color w:val="auto"/>
              </w:rPr>
              <w:t>7）施划标线之前，要根据设计图纸要求并结合道路实际状况进行实地放线，以保证标线位置精确、线形顺畅。</w:t>
            </w:r>
          </w:p>
          <w:p>
            <w:pPr>
              <w:pStyle w:val="003"/>
              <w:ind w:firstLine="420"/>
              <w:rPr>
                <w:color w:val="auto"/>
              </w:rPr>
            </w:pPr>
            <w:r>
              <w:rPr>
                <w:color w:val="auto"/>
              </w:rPr>
              <w:t>2、交通标志</w:t>
            </w:r>
          </w:p>
          <w:p>
            <w:pPr>
              <w:pStyle w:val="003"/>
              <w:ind w:firstLine="420"/>
              <w:rPr>
                <w:color w:val="auto"/>
              </w:rPr>
            </w:pPr>
            <w:r>
              <w:rPr>
                <w:color w:val="auto"/>
              </w:rPr>
              <w:t>设置标志类型如下：</w:t>
            </w:r>
          </w:p>
          <w:p>
            <w:pPr>
              <w:pStyle w:val="003"/>
              <w:ind w:firstLine="420"/>
              <w:rPr>
                <w:color w:val="auto"/>
              </w:rPr>
            </w:pPr>
            <w:r>
              <w:rPr>
                <w:rFonts w:hint="eastAsia"/>
                <w:color w:val="auto"/>
              </w:rPr>
              <w:t>（</w:t>
            </w:r>
            <w:r>
              <w:rPr>
                <w:color w:val="auto"/>
              </w:rPr>
              <w:t>1）在相交路口前设置指路标志。</w:t>
            </w:r>
          </w:p>
          <w:p>
            <w:pPr>
              <w:pStyle w:val="003"/>
              <w:ind w:firstLine="420"/>
              <w:rPr>
                <w:color w:val="auto"/>
              </w:rPr>
            </w:pPr>
            <w:r>
              <w:rPr>
                <w:rFonts w:hint="eastAsia"/>
                <w:color w:val="auto"/>
              </w:rPr>
              <w:t>（</w:t>
            </w:r>
            <w:r>
              <w:rPr>
                <w:color w:val="auto"/>
              </w:rPr>
              <w:t>2）在相交路口出口道设置限速标志及禁止停车标志。</w:t>
            </w:r>
          </w:p>
          <w:p>
            <w:pPr>
              <w:pStyle w:val="003"/>
              <w:ind w:firstLine="420"/>
              <w:rPr>
                <w:color w:val="auto"/>
              </w:rPr>
            </w:pPr>
            <w:r>
              <w:rPr>
                <w:rFonts w:hint="eastAsia"/>
                <w:color w:val="auto"/>
              </w:rPr>
              <w:t>（</w:t>
            </w:r>
            <w:r>
              <w:rPr>
                <w:color w:val="auto"/>
              </w:rPr>
              <w:t>3）在相交路口后适当位置设置路名牌。</w:t>
            </w:r>
          </w:p>
          <w:p>
            <w:pPr>
              <w:pStyle w:val="003"/>
              <w:ind w:firstLine="420"/>
              <w:rPr>
                <w:color w:val="auto"/>
              </w:rPr>
            </w:pPr>
            <w:r>
              <w:rPr>
                <w:color w:val="auto"/>
              </w:rPr>
              <w:t>3、交通信号灯</w:t>
            </w:r>
          </w:p>
          <w:p>
            <w:pPr>
              <w:pStyle w:val="003"/>
              <w:ind w:firstLine="420"/>
              <w:rPr>
                <w:color w:val="auto"/>
              </w:rPr>
            </w:pPr>
            <w:r>
              <w:rPr>
                <w:color w:val="auto"/>
              </w:rPr>
              <w:t>根据《道路交通信号灯设置与安装规范》GB14886 的要求，结合道路工程提供的路口渠化图、道路等级、路口机动车高峰小时流量，设置机动车道信号灯、人行道信号灯。</w:t>
            </w:r>
          </w:p>
          <w:p>
            <w:pPr>
              <w:pStyle w:val="003"/>
              <w:ind w:firstLine="420"/>
              <w:rPr>
                <w:color w:val="auto"/>
              </w:rPr>
            </w:pPr>
            <w:r>
              <w:rPr>
                <w:rFonts w:hint="eastAsia"/>
                <w:color w:val="auto"/>
              </w:rPr>
              <w:t>（</w:t>
            </w:r>
            <w:r>
              <w:rPr>
                <w:color w:val="auto"/>
              </w:rPr>
              <w:t>1）交通信号控制器：本项目采用C 类交通信号机，可根据实际需要分别采用多时段控制、单点优化控制、联网控制、感应控制等控制方式</w:t>
            </w:r>
          </w:p>
          <w:p>
            <w:pPr>
              <w:pStyle w:val="003"/>
              <w:ind w:firstLine="420"/>
              <w:rPr>
                <w:color w:val="auto"/>
              </w:rPr>
            </w:pPr>
            <w:r>
              <w:rPr>
                <w:rFonts w:hint="eastAsia"/>
                <w:color w:val="auto"/>
              </w:rPr>
              <w:t>（</w:t>
            </w:r>
            <w:r>
              <w:rPr>
                <w:color w:val="auto"/>
              </w:rPr>
              <w:t>2）灯杆灯具：本项目采用国标信号灯，所有灯杆用钢管加工完成后整杆热镀锌处理，喷户外耐用涂料。</w:t>
            </w:r>
          </w:p>
          <w:p>
            <w:pPr>
              <w:pStyle w:val="003"/>
              <w:ind w:firstLine="420"/>
              <w:rPr>
                <w:color w:val="auto"/>
              </w:rPr>
            </w:pPr>
            <w:r>
              <w:rPr>
                <w:rFonts w:hint="eastAsia"/>
                <w:color w:val="auto"/>
              </w:rPr>
              <w:t>（</w:t>
            </w:r>
            <w:r>
              <w:rPr>
                <w:color w:val="auto"/>
              </w:rPr>
              <w:t>3）光源：所有信号灯采用户外超高亮度LED 灯管，其颜色由自身决定，配光系统应作物色透明，并不含反光装置，以防止假显示现象出现</w:t>
            </w:r>
          </w:p>
          <w:p>
            <w:pPr>
              <w:pStyle w:val="003"/>
              <w:ind w:firstLine="420"/>
              <w:rPr>
                <w:color w:val="auto"/>
              </w:rPr>
            </w:pPr>
            <w:r>
              <w:rPr>
                <w:rFonts w:hint="eastAsia"/>
                <w:color w:val="auto"/>
              </w:rPr>
              <w:t>（</w:t>
            </w:r>
            <w:r>
              <w:rPr>
                <w:color w:val="auto"/>
              </w:rPr>
              <w:t>4）车辆检测系统：本项目采用视频检测方式。采用高清IP 摄像机采集处理数据并传输至信号机</w:t>
            </w:r>
            <w:r>
              <w:rPr>
                <w:rFonts w:hint="eastAsia"/>
                <w:color w:val="auto"/>
              </w:rPr>
              <w:t>，</w:t>
            </w:r>
            <w:r>
              <w:rPr>
                <w:color w:val="auto"/>
              </w:rPr>
              <w:t>摄像机设置于电子警察杆</w:t>
            </w:r>
          </w:p>
        </w:tc>
      </w:tr>
    </w:tbl>
    <w:p>
      <w:pPr>
        <w:sectPr>
          <w:footerReference w:type="even" r:id="rId74"/>
          <w:footerReference w:type="default" r:id="rId75"/>
          <w:type w:val="nextPage"/>
          <w:pgSz w:w="11906" w:h="16838"/>
          <w:pgMar w:top="1440" w:right="1800" w:bottom="1440" w:left="1800" w:header="851" w:footer="1077" w:gutter="0"/>
          <w:pgNumType w:start="28"/>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pStyle w:val="003"/>
              <w:ind w:firstLine="420"/>
              <w:rPr>
                <w:color w:val="auto"/>
              </w:rPr>
            </w:pPr>
            <w:r>
              <w:rPr>
                <w:color w:val="auto"/>
              </w:rPr>
              <w:t>4、电子警察</w:t>
            </w:r>
          </w:p>
          <w:p>
            <w:pPr>
              <w:pStyle w:val="003"/>
              <w:ind w:firstLine="420"/>
              <w:rPr>
                <w:color w:val="auto"/>
              </w:rPr>
            </w:pPr>
            <w:r>
              <w:rPr>
                <w:color w:val="auto"/>
              </w:rPr>
              <w:t>电子警察系统由前端路口单元、数据传输单元和中心数据处理单元组成。其中前端路口单元由本项目实施。数据传输部分租用运营商公安专用网络接入交管部门指挥中心。</w:t>
            </w:r>
          </w:p>
          <w:p>
            <w:pPr>
              <w:pStyle w:val="003"/>
              <w:ind w:firstLine="420"/>
              <w:rPr>
                <w:color w:val="auto"/>
              </w:rPr>
            </w:pPr>
            <w:r>
              <w:rPr>
                <w:color w:val="auto"/>
              </w:rPr>
              <w:t>5、电子监控</w:t>
            </w:r>
          </w:p>
          <w:p>
            <w:pPr>
              <w:pStyle w:val="003"/>
              <w:ind w:firstLine="420"/>
              <w:rPr>
                <w:color w:val="auto"/>
              </w:rPr>
            </w:pPr>
            <w:r>
              <w:rPr>
                <w:color w:val="auto"/>
              </w:rPr>
              <w:t>监控系统能够对整个路口的监控视场全覆盖。监控中心可实时调看智慧监控单元的高清视频图像。监控摄像机设置于电子警察悬臂杆。</w:t>
            </w:r>
          </w:p>
          <w:p>
            <w:pPr>
              <w:pStyle w:val="003"/>
              <w:ind w:firstLine="420"/>
              <w:rPr>
                <w:color w:val="auto"/>
              </w:rPr>
            </w:pPr>
            <w:r>
              <w:rPr>
                <w:color w:val="auto"/>
              </w:rPr>
              <w:t>在进行机动车抓拍的同时还能够提供一路全实时的高清视频，视频流传输至部署在监控中心的NVR 进行录像存储。纵深视频监控覆盖范围不少于200 米，横向视频监控覆盖范围不少于6 车道（每车道按照3.75 米计算）。夜间可通过内置红外灯或白光灯进行补光，保证夜间效果</w:t>
            </w:r>
          </w:p>
          <w:p>
            <w:pPr>
              <w:pStyle w:val="041"/>
            </w:pPr>
            <w:r>
              <w:t>6.4管线工程</w:t>
            </w:r>
            <w:bookmarkStart w:id="18" w:name="四管线工程"/>
            <w:bookmarkEnd w:id="18"/>
            <w:bookmarkStart w:id="19" w:name="管线工程"/>
            <w:bookmarkEnd w:id="19"/>
          </w:p>
          <w:p>
            <w:pPr>
              <w:pStyle w:val="003"/>
              <w:ind w:firstLine="420"/>
              <w:rPr>
                <w:color w:val="auto"/>
              </w:rPr>
            </w:pPr>
            <w:r>
              <w:rPr>
                <w:color w:val="auto"/>
              </w:rPr>
              <w:t>1、管线布置原则：</w:t>
            </w:r>
          </w:p>
          <w:p>
            <w:pPr>
              <w:pStyle w:val="003"/>
              <w:ind w:firstLine="420"/>
              <w:rPr>
                <w:color w:val="auto"/>
              </w:rPr>
            </w:pPr>
            <w:r>
              <w:rPr>
                <w:color w:val="auto"/>
              </w:rPr>
              <w:t>（1）符合国家及地方现行规范和标准。</w:t>
            </w:r>
          </w:p>
          <w:p>
            <w:pPr>
              <w:pStyle w:val="003"/>
              <w:ind w:firstLine="420"/>
              <w:rPr>
                <w:color w:val="auto"/>
              </w:rPr>
            </w:pPr>
            <w:r>
              <w:rPr>
                <w:color w:val="auto"/>
              </w:rPr>
              <w:t>（2）以各专业管线工程规划及方案为基础，整体考虑，统筹安排，合理利用城市土地，综合确定各种管线空间位置，避免工程管线之间及其相关建筑物、构筑物之间相互矛盾和干扰，为各专业工程管线的设计和规划管理提供依据。</w:t>
            </w:r>
          </w:p>
          <w:p>
            <w:pPr>
              <w:pStyle w:val="003"/>
              <w:ind w:firstLine="420"/>
              <w:rPr>
                <w:color w:val="auto"/>
              </w:rPr>
            </w:pPr>
            <w:r>
              <w:rPr>
                <w:color w:val="auto"/>
              </w:rPr>
              <w:t>（3）根据道路横断面位置情况，结合地区发展，合理布置，充分利用道路地下空间，尽量减少占用道路以外土地。并应充分考虑远期发展需要。</w:t>
            </w:r>
          </w:p>
          <w:p>
            <w:pPr>
              <w:pStyle w:val="003"/>
              <w:ind w:firstLine="420"/>
              <w:rPr>
                <w:color w:val="auto"/>
              </w:rPr>
            </w:pPr>
            <w:r>
              <w:rPr>
                <w:color w:val="auto"/>
              </w:rPr>
              <w:t>（4）考虑到各专业管线维护管理方便，管线尽量布置人行道、绿化带、隔离带下。</w:t>
            </w:r>
          </w:p>
          <w:p>
            <w:pPr>
              <w:pStyle w:val="003"/>
              <w:ind w:firstLine="420"/>
              <w:rPr>
                <w:color w:val="auto"/>
              </w:rPr>
            </w:pPr>
            <w:r>
              <w:rPr>
                <w:color w:val="auto"/>
              </w:rPr>
              <w:t>（5）各种管线水平位置的处理，原则上各种管线尽量顺行，线路尽量短捷，减少穿越交叉路口。减少管线之间的交叉，从而减少管线埋深，节省工程投资。</w:t>
            </w:r>
          </w:p>
          <w:p>
            <w:pPr>
              <w:pStyle w:val="003"/>
              <w:ind w:firstLine="420"/>
              <w:rPr>
                <w:color w:val="auto"/>
              </w:rPr>
            </w:pPr>
            <w:r>
              <w:rPr>
                <w:color w:val="auto"/>
              </w:rPr>
              <w:t>（6）管线之间位置的排序要根据规划及设计导则要求，考虑管线之间如何排列占地最少，并且考虑管线之间施工方便和今后运行使用中维护管理的方便。</w:t>
            </w:r>
          </w:p>
          <w:p>
            <w:pPr>
              <w:pStyle w:val="003"/>
              <w:ind w:firstLine="420"/>
              <w:rPr>
                <w:color w:val="auto"/>
              </w:rPr>
            </w:pPr>
            <w:r>
              <w:rPr>
                <w:color w:val="auto"/>
              </w:rPr>
              <w:t>（7）各种管线水平距离和各垂直净距的设计，主要依据《城市工程管线综合规划规范》（GB50289-2016）和各专业已有的规范、规程、标准图集及施工图等资料为准，统筹进行管线综合设计。</w:t>
            </w:r>
          </w:p>
          <w:p>
            <w:pPr>
              <w:pStyle w:val="003"/>
              <w:ind w:firstLine="420"/>
              <w:rPr>
                <w:color w:val="auto"/>
              </w:rPr>
            </w:pPr>
            <w:r>
              <w:rPr>
                <w:color w:val="auto"/>
              </w:rPr>
              <w:t>2、管综横断面布置</w:t>
            </w:r>
          </w:p>
          <w:p>
            <w:pPr>
              <w:pStyle w:val="003"/>
              <w:ind w:firstLine="420"/>
              <w:rPr>
                <w:color w:val="auto"/>
              </w:rPr>
            </w:pPr>
            <w:r>
              <w:rPr>
                <w:color w:val="auto"/>
              </w:rPr>
              <w:t>根据规划及建设单位提供的相关资料，本工程市政道路管线含给水、雨水、污水、电力、通信、照明、燃气。本次建设工程初步设计仅考虑给水、雨水、污水、电力、通信、路灯管线设计，燃气管线仅考虑预留管位。</w:t>
            </w:r>
          </w:p>
          <w:p>
            <w:pPr>
              <w:pStyle w:val="003"/>
              <w:ind w:firstLine="420"/>
              <w:rPr>
                <w:color w:val="auto"/>
              </w:rPr>
            </w:pPr>
            <w:r>
              <w:rPr>
                <w:color w:val="auto"/>
              </w:rPr>
              <w:t>根据规划部门及建设单位意见，道路车行道下不布置任何市政管线。</w:t>
            </w:r>
          </w:p>
          <w:p>
            <w:pPr>
              <w:pStyle w:val="003"/>
              <w:ind w:firstLine="420"/>
              <w:rPr>
                <w:color w:val="auto"/>
              </w:rPr>
            </w:pPr>
            <w:r>
              <w:rPr>
                <w:color w:val="auto"/>
              </w:rPr>
              <w:t>根据道路横断面，本工程道路管综标准横断面具体布置如下图所示：</w:t>
            </w:r>
          </w:p>
          <w:p>
            <w:pPr>
              <w:pStyle w:val="003"/>
              <w:ind w:firstLine="420"/>
              <w:rPr>
                <w:color w:val="auto"/>
              </w:rPr>
            </w:pPr>
          </w:p>
          <w:p>
            <w:pPr>
              <w:pStyle w:val="003"/>
              <w:ind w:firstLine="420"/>
              <w:rPr>
                <w:color w:val="auto"/>
              </w:rPr>
            </w:pPr>
          </w:p>
          <w:p>
            <w:pPr>
              <w:pStyle w:val="003"/>
              <w:ind w:firstLine="420"/>
              <w:rPr>
                <w:color w:val="auto"/>
              </w:rPr>
            </w:pPr>
          </w:p>
        </w:tc>
      </w:tr>
    </w:tbl>
    <w:p>
      <w:pPr>
        <w:sectPr>
          <w:footerReference w:type="even" r:id="rId76"/>
          <w:footerReference w:type="default" r:id="rId77"/>
          <w:type w:val="nextPage"/>
          <w:pgSz w:w="11906" w:h="16838"/>
          <w:pgMar w:top="1440" w:right="1800" w:bottom="1440" w:left="1800" w:header="851" w:footer="1077" w:gutter="0"/>
          <w:pgNumType w:start="29"/>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pStyle w:val="003"/>
              <w:ind w:firstLine="420"/>
              <w:rPr>
                <w:color w:val="auto"/>
              </w:rPr>
            </w:pPr>
          </w:p>
          <w:tbl>
            <w:tblPr>
              <w:tblStyle w:val="TableNormal"/>
              <w:tblW w:w="5000" w:type="pct"/>
              <w:tblInd w:w="0" w:type="dxa"/>
              <w:tblCellMar>
                <w:top w:w="0" w:type="dxa"/>
                <w:left w:w="108" w:type="dxa"/>
                <w:bottom w:w="0" w:type="dxa"/>
                <w:right w:w="108" w:type="dxa"/>
              </w:tblCellMar>
            </w:tblPr>
            <w:tblGrid>
              <w:gridCol w:w="9007"/>
            </w:tblGrid>
            <w:tr>
              <w:tblPrEx>
                <w:tblW w:w="5000" w:type="pct"/>
                <w:tblInd w:w="0" w:type="dxa"/>
                <w:tblCellMar>
                  <w:top w:w="0" w:type="dxa"/>
                  <w:left w:w="108" w:type="dxa"/>
                  <w:bottom w:w="0" w:type="dxa"/>
                  <w:right w:w="108" w:type="dxa"/>
                </w:tblCellMar>
              </w:tblPrEx>
              <w:tc>
                <w:tcPr>
                  <w:tcW w:w="5000" w:type="pct"/>
                  <w:shd w:val="clear" w:color="auto" w:fill="auto"/>
                  <w:vAlign w:val="center"/>
                </w:tcPr>
                <w:p>
                  <w:pPr>
                    <w:pStyle w:val="003"/>
                    <w:ind w:firstLine="0" w:firstLineChars="0"/>
                    <w:jc w:val="center"/>
                    <w:rPr>
                      <w:color w:val="auto"/>
                    </w:rPr>
                  </w:pPr>
                  <w:r>
                    <w:rPr>
                      <w:color w:val="auto"/>
                    </w:rPr>
                    <w:drawing>
                      <wp:inline distT="0" distB="0" distL="0" distR="0">
                        <wp:extent cx="5269865" cy="378777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xmlns:r="http://schemas.openxmlformats.org/officeDocument/2006/relationships" r:embed="rId78">
                                  <a:extLst>
                                    <a:ext xmlns:a="http://schemas.openxmlformats.org/drawingml/2006/main" uri="{28A0092B-C50C-407E-A947-70E740481C1C}">
                                      <a14:useLocalDpi xmlns:a14="http://schemas.microsoft.com/office/drawing/2010/main" val="0"/>
                                    </a:ext>
                                  </a:extLst>
                                </a:blip>
                                <a:stretch>
                                  <a:fillRect/>
                                </a:stretch>
                              </pic:blipFill>
                              <pic:spPr>
                                <a:xfrm>
                                  <a:off x="0" y="0"/>
                                  <a:ext cx="5269865" cy="3787775"/>
                                </a:xfrm>
                                <a:prstGeom prst="rect">
                                  <a:avLst/>
                                </a:prstGeom>
                                <a:noFill/>
                                <a:ln>
                                  <a:noFill/>
                                </a:ln>
                              </pic:spPr>
                            </pic:pic>
                          </a:graphicData>
                        </a:graphic>
                      </wp:inline>
                    </w:drawing>
                  </w:r>
                </w:p>
              </w:tc>
            </w:tr>
            <w:tr>
              <w:tblPrEx>
                <w:tblW w:w="5000" w:type="pct"/>
                <w:tblInd w:w="0" w:type="dxa"/>
                <w:tblCellMar>
                  <w:top w:w="0" w:type="dxa"/>
                  <w:left w:w="108" w:type="dxa"/>
                  <w:bottom w:w="0" w:type="dxa"/>
                  <w:right w:w="108" w:type="dxa"/>
                </w:tblCellMar>
              </w:tblPrEx>
              <w:tc>
                <w:tcPr>
                  <w:tcW w:w="5000" w:type="pct"/>
                  <w:shd w:val="clear" w:color="auto" w:fill="auto"/>
                  <w:vAlign w:val="center"/>
                </w:tcPr>
                <w:p>
                  <w:pPr>
                    <w:pStyle w:val="0010"/>
                    <w:rPr>
                      <w:color w:val="auto"/>
                    </w:rPr>
                  </w:pPr>
                  <w:r>
                    <w:rPr>
                      <w:color w:val="auto"/>
                    </w:rPr>
                    <w:t>图2-7  管线综合横断面图</w:t>
                  </w:r>
                </w:p>
              </w:tc>
            </w:tr>
          </w:tbl>
          <w:p>
            <w:pPr>
              <w:pStyle w:val="003"/>
              <w:ind w:firstLine="420"/>
              <w:rPr>
                <w:color w:val="auto"/>
              </w:rPr>
            </w:pPr>
            <w:r>
              <w:rPr>
                <w:color w:val="auto"/>
              </w:rPr>
              <w:t>3、管综竖向布置原则</w:t>
            </w:r>
          </w:p>
          <w:p>
            <w:pPr>
              <w:pStyle w:val="003"/>
              <w:ind w:firstLine="420"/>
              <w:rPr>
                <w:color w:val="auto"/>
              </w:rPr>
            </w:pPr>
            <w:r>
              <w:rPr>
                <w:color w:val="auto"/>
              </w:rPr>
              <w:t>（1）各管线间垂直间距应满足《城市工程管线综合规划规范（GB50289-2016）》要求；</w:t>
            </w:r>
          </w:p>
          <w:p>
            <w:pPr>
              <w:pStyle w:val="003"/>
              <w:ind w:firstLine="420"/>
              <w:rPr>
                <w:color w:val="auto"/>
              </w:rPr>
            </w:pPr>
            <w:r>
              <w:rPr>
                <w:color w:val="auto"/>
              </w:rPr>
              <w:t>（2）压力流管道避让重力流管道；</w:t>
            </w:r>
          </w:p>
          <w:p>
            <w:pPr>
              <w:pStyle w:val="003"/>
              <w:ind w:firstLine="420"/>
              <w:rPr>
                <w:color w:val="auto"/>
              </w:rPr>
            </w:pPr>
            <w:r>
              <w:rPr>
                <w:color w:val="auto"/>
              </w:rPr>
              <w:t>（3）可弯曲管道避让不易弯曲管道；</w:t>
            </w:r>
          </w:p>
          <w:p>
            <w:pPr>
              <w:pStyle w:val="003"/>
              <w:ind w:firstLine="420"/>
              <w:rPr>
                <w:color w:val="auto"/>
              </w:rPr>
            </w:pPr>
            <w:r>
              <w:rPr>
                <w:color w:val="auto"/>
              </w:rPr>
              <w:t>（4）支管避让干管；</w:t>
            </w:r>
          </w:p>
          <w:p>
            <w:pPr>
              <w:pStyle w:val="003"/>
              <w:ind w:firstLine="420"/>
              <w:rPr>
                <w:color w:val="auto"/>
              </w:rPr>
            </w:pPr>
            <w:r>
              <w:rPr>
                <w:color w:val="auto"/>
              </w:rPr>
              <w:t>（5）小管径管道避让大管径管道；</w:t>
            </w:r>
          </w:p>
          <w:p>
            <w:pPr>
              <w:pStyle w:val="003"/>
              <w:ind w:firstLine="420"/>
              <w:rPr>
                <w:color w:val="auto"/>
              </w:rPr>
            </w:pPr>
            <w:r>
              <w:rPr>
                <w:color w:val="auto"/>
              </w:rPr>
              <w:t>（6）新建管道避让重力流管道；</w:t>
            </w:r>
          </w:p>
          <w:p>
            <w:pPr>
              <w:pStyle w:val="003"/>
              <w:ind w:firstLine="420"/>
              <w:rPr>
                <w:color w:val="auto"/>
              </w:rPr>
            </w:pPr>
            <w:r>
              <w:rPr>
                <w:color w:val="auto"/>
              </w:rPr>
              <w:t>（7）临时管道避让永久管道；</w:t>
            </w:r>
          </w:p>
          <w:p>
            <w:pPr>
              <w:pStyle w:val="003"/>
              <w:ind w:firstLine="420"/>
              <w:rPr>
                <w:color w:val="auto"/>
              </w:rPr>
            </w:pPr>
            <w:r>
              <w:rPr>
                <w:color w:val="auto"/>
              </w:rPr>
              <w:t>（8）工程量小的管道避让工程量大的管道。</w:t>
            </w:r>
          </w:p>
          <w:p>
            <w:pPr>
              <w:pStyle w:val="041"/>
            </w:pPr>
            <w:r>
              <w:t>6.5照明</w:t>
            </w:r>
            <w:bookmarkStart w:id="20" w:name="五照明"/>
            <w:bookmarkEnd w:id="20"/>
            <w:r>
              <w:t>工程</w:t>
            </w:r>
          </w:p>
        </w:tc>
      </w:tr>
    </w:tbl>
    <w:p>
      <w:pPr>
        <w:sectPr>
          <w:footerReference w:type="even" r:id="rId79"/>
          <w:footerReference w:type="default" r:id="rId80"/>
          <w:type w:val="nextPage"/>
          <w:pgSz w:w="11906" w:h="16838"/>
          <w:pgMar w:top="1440" w:right="1800" w:bottom="1440" w:left="1800" w:header="851" w:footer="1077" w:gutter="0"/>
          <w:pgNumType w:start="30"/>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pStyle w:val="0010"/>
              <w:rPr>
                <w:color w:val="auto"/>
              </w:rPr>
            </w:pPr>
            <w:r>
              <w:rPr>
                <w:color w:val="auto"/>
              </w:rPr>
              <w:drawing>
                <wp:inline distT="0" distB="0" distL="0" distR="0">
                  <wp:extent cx="4394200" cy="306387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xmlns:r="http://schemas.openxmlformats.org/officeDocument/2006/relationships" r:embed="rId81">
                            <a:extLst>
                              <a:ext xmlns:a="http://schemas.openxmlformats.org/drawingml/2006/main" uri="{28A0092B-C50C-407E-A947-70E740481C1C}">
                                <a14:useLocalDpi xmlns:a14="http://schemas.microsoft.com/office/drawing/2010/main" val="0"/>
                              </a:ext>
                            </a:extLst>
                          </a:blip>
                          <a:stretch>
                            <a:fillRect/>
                          </a:stretch>
                        </pic:blipFill>
                        <pic:spPr>
                          <a:xfrm>
                            <a:off x="0" y="0"/>
                            <a:ext cx="4394200" cy="3063875"/>
                          </a:xfrm>
                          <a:prstGeom prst="rect">
                            <a:avLst/>
                          </a:prstGeom>
                          <a:noFill/>
                          <a:ln>
                            <a:noFill/>
                          </a:ln>
                        </pic:spPr>
                      </pic:pic>
                    </a:graphicData>
                  </a:graphic>
                </wp:inline>
              </w:drawing>
            </w:r>
          </w:p>
          <w:p>
            <w:pPr>
              <w:pStyle w:val="0010"/>
              <w:rPr>
                <w:color w:val="auto"/>
              </w:rPr>
            </w:pPr>
            <w:r>
              <w:rPr>
                <w:color w:val="auto"/>
              </w:rPr>
              <w:t>表2-8  道路照明横断面图</w:t>
            </w:r>
          </w:p>
          <w:p>
            <w:pPr>
              <w:pStyle w:val="031"/>
              <w:rPr>
                <w:color w:val="auto"/>
              </w:rPr>
            </w:pPr>
            <w:r>
              <w:rPr>
                <w:color w:val="auto"/>
              </w:rPr>
              <w:t>1、照明系统负荷等级及供电电源</w:t>
            </w:r>
          </w:p>
          <w:p>
            <w:pPr>
              <w:pStyle w:val="003"/>
              <w:ind w:firstLine="420"/>
              <w:rPr>
                <w:color w:val="auto"/>
              </w:rPr>
            </w:pPr>
            <w:r>
              <w:rPr>
                <w:rFonts w:ascii="宋体" w:hAnsi="宋体" w:cs="宋体" w:hint="eastAsia"/>
                <w:color w:val="auto"/>
              </w:rPr>
              <w:t>（1）</w:t>
            </w:r>
            <w:r>
              <w:rPr>
                <w:color w:val="auto"/>
              </w:rPr>
              <w:t>负荷分类</w:t>
            </w:r>
          </w:p>
          <w:p>
            <w:pPr>
              <w:pStyle w:val="003"/>
              <w:ind w:firstLine="420"/>
              <w:rPr>
                <w:color w:val="auto"/>
              </w:rPr>
            </w:pPr>
            <w:r>
              <w:rPr>
                <w:color w:val="auto"/>
              </w:rPr>
              <w:t>照明负荷等级为三级负荷，照明总负荷约 30kW。</w:t>
            </w:r>
          </w:p>
          <w:p>
            <w:pPr>
              <w:pStyle w:val="003"/>
              <w:ind w:firstLine="420"/>
              <w:rPr>
                <w:color w:val="auto"/>
              </w:rPr>
            </w:pPr>
            <w:r>
              <w:rPr>
                <w:rFonts w:ascii="宋体" w:hAnsi="宋体" w:cs="宋体" w:hint="eastAsia"/>
                <w:color w:val="auto"/>
              </w:rPr>
              <w:t>（2）</w:t>
            </w:r>
            <w:r>
              <w:rPr>
                <w:color w:val="auto"/>
              </w:rPr>
              <w:t>供电电源</w:t>
            </w:r>
          </w:p>
          <w:p>
            <w:pPr>
              <w:pStyle w:val="003"/>
              <w:ind w:firstLine="420"/>
              <w:rPr>
                <w:color w:val="auto"/>
              </w:rPr>
            </w:pPr>
            <w:r>
              <w:rPr>
                <w:color w:val="auto"/>
              </w:rPr>
              <w:t>本工程根据实际情况合理布置箱变及变电所位置，以达到最优的布局，同时其位置应尽量靠近负荷中心，</w:t>
            </w:r>
            <w:r>
              <w:rPr>
                <w:rFonts w:hint="eastAsia"/>
                <w:color w:val="auto"/>
              </w:rPr>
              <w:t>以缩短配电半径</w:t>
            </w:r>
            <w:r>
              <w:rPr>
                <w:color w:val="auto"/>
              </w:rPr>
              <w:t>减少线路损耗，本工程拟建 3 台箱式变电站，分别位于桩号 K0+505、K1+730、 K2+990，容量均为 125kVA ，供电半径约 500~700m。箱变旁设置照明电控箱，负责照明回路的控制，为并为周边道路路灯及景观、公交站台、广告灯箱等预留供电能力。</w:t>
            </w:r>
          </w:p>
          <w:p>
            <w:pPr>
              <w:pStyle w:val="003"/>
              <w:ind w:firstLine="420"/>
              <w:rPr>
                <w:color w:val="auto"/>
              </w:rPr>
            </w:pPr>
            <w:r>
              <w:rPr>
                <w:rFonts w:ascii="宋体" w:hAnsi="宋体" w:cs="宋体" w:hint="eastAsia"/>
                <w:color w:val="auto"/>
              </w:rPr>
              <w:t>（3）</w:t>
            </w:r>
            <w:r>
              <w:rPr>
                <w:color w:val="auto"/>
              </w:rPr>
              <w:t>计量：本工程采用高供低计的计量方式，路段景观、道路照明、公用用电、路段商业广告、公益广告、交通站牌以及交通信号用电分回路单独在箱式变电站内计量。电度表采用直读式，由供电部门安装。</w:t>
            </w:r>
          </w:p>
          <w:p>
            <w:pPr>
              <w:pStyle w:val="003"/>
              <w:ind w:firstLine="420"/>
              <w:rPr>
                <w:color w:val="auto"/>
              </w:rPr>
            </w:pPr>
            <w:r>
              <w:rPr>
                <w:rFonts w:ascii="宋体" w:hAnsi="宋体" w:cs="宋体" w:hint="eastAsia"/>
                <w:color w:val="auto"/>
              </w:rPr>
              <w:t>（4）</w:t>
            </w:r>
            <w:r>
              <w:rPr>
                <w:color w:val="auto"/>
              </w:rPr>
              <w:t>功率因数补偿：配电系统采用集中无功补偿方式，箱变处设置低压电容器组进行集中自动补偿，补偿后系统的功率因数达到 0.92 以上；</w:t>
            </w:r>
          </w:p>
          <w:p>
            <w:pPr>
              <w:pStyle w:val="003"/>
              <w:ind w:firstLine="420"/>
              <w:rPr>
                <w:color w:val="auto"/>
              </w:rPr>
            </w:pPr>
            <w:r>
              <w:rPr>
                <w:rFonts w:ascii="宋体" w:hAnsi="宋体" w:cs="宋体" w:hint="eastAsia"/>
                <w:color w:val="auto"/>
              </w:rPr>
              <w:t>（5）</w:t>
            </w:r>
            <w:r>
              <w:rPr>
                <w:color w:val="auto"/>
              </w:rPr>
              <w:t>低压保护装置：箱式变电站低压主进断路器设过载长延时、短路短延时保护脱扣器，其他低压断路器设过载长延时、短路瞬时脱扣器。</w:t>
            </w:r>
          </w:p>
          <w:p>
            <w:pPr>
              <w:pStyle w:val="031"/>
              <w:rPr>
                <w:color w:val="auto"/>
              </w:rPr>
            </w:pPr>
            <w:r>
              <w:rPr>
                <w:color w:val="auto"/>
              </w:rPr>
              <w:t>2、电力配电系统</w:t>
            </w:r>
          </w:p>
          <w:p>
            <w:pPr>
              <w:pStyle w:val="003"/>
              <w:ind w:firstLine="420"/>
              <w:rPr>
                <w:color w:val="auto"/>
              </w:rPr>
            </w:pPr>
            <w:r>
              <w:rPr>
                <w:rFonts w:ascii="宋体" w:hAnsi="宋体" w:cs="宋体" w:hint="eastAsia"/>
                <w:color w:val="auto"/>
              </w:rPr>
              <w:t>（1）</w:t>
            </w:r>
            <w:r>
              <w:rPr>
                <w:color w:val="auto"/>
              </w:rPr>
              <w:t>本工程道路照明由照明配电箱供电至各路灯具。线路末端电压不低于额定电压 90%。</w:t>
            </w:r>
          </w:p>
          <w:p>
            <w:pPr>
              <w:pStyle w:val="003"/>
              <w:ind w:firstLine="420"/>
              <w:rPr>
                <w:color w:val="auto"/>
              </w:rPr>
            </w:pPr>
            <w:r>
              <w:rPr>
                <w:rFonts w:ascii="宋体" w:hAnsi="宋体" w:cs="宋体" w:hint="eastAsia"/>
                <w:color w:val="auto"/>
              </w:rPr>
              <w:t>（2）</w:t>
            </w:r>
            <w:r>
              <w:rPr>
                <w:color w:val="auto"/>
              </w:rPr>
              <w:t>每个照明回路采用三相四线制供电方式，灯具尽量均衡布置在 L1、 L2、 L3 三相上。</w:t>
            </w:r>
          </w:p>
          <w:p>
            <w:pPr>
              <w:pStyle w:val="003"/>
              <w:ind w:firstLine="420"/>
              <w:rPr>
                <w:color w:val="auto"/>
              </w:rPr>
            </w:pPr>
            <w:r>
              <w:rPr>
                <w:rFonts w:ascii="宋体" w:hAnsi="宋体" w:cs="宋体" w:hint="eastAsia"/>
                <w:color w:val="auto"/>
              </w:rPr>
              <w:t>（3）</w:t>
            </w:r>
            <w:r>
              <w:rPr>
                <w:color w:val="auto"/>
              </w:rPr>
              <w:t>每路照明回路均设短路、剩余电流动作及过载保护；每盏灯具应设置熔断器保护。</w:t>
            </w:r>
          </w:p>
          <w:p>
            <w:pPr>
              <w:pStyle w:val="003"/>
              <w:ind w:firstLine="422"/>
              <w:rPr>
                <w:b/>
                <w:bCs/>
                <w:color w:val="auto"/>
              </w:rPr>
            </w:pPr>
            <w:r>
              <w:rPr>
                <w:b/>
                <w:bCs/>
                <w:color w:val="auto"/>
              </w:rPr>
              <w:t>3</w:t>
            </w:r>
            <w:r>
              <w:rPr>
                <w:rFonts w:hint="eastAsia"/>
                <w:b/>
                <w:bCs/>
                <w:color w:val="auto"/>
              </w:rPr>
              <w:t>、</w:t>
            </w:r>
            <w:r>
              <w:rPr>
                <w:b/>
                <w:bCs/>
                <w:color w:val="auto"/>
              </w:rPr>
              <w:t>照明系统</w:t>
            </w:r>
          </w:p>
          <w:p>
            <w:pPr>
              <w:pStyle w:val="003"/>
              <w:spacing w:after="0"/>
              <w:ind w:firstLine="420"/>
              <w:rPr>
                <w:color w:val="auto"/>
              </w:rPr>
            </w:pPr>
            <w:r>
              <w:rPr>
                <w:color w:val="auto"/>
              </w:rPr>
              <w:t>光源、灯具：路灯采用</w:t>
            </w:r>
            <w:r>
              <w:rPr>
                <w:color w:val="auto"/>
              </w:rPr>
              <w:t xml:space="preserve"> LED</w:t>
            </w:r>
            <w:r>
              <w:rPr>
                <w:color w:val="auto"/>
              </w:rPr>
              <w:t xml:space="preserve"> 光源。</w:t>
            </w:r>
            <w:r>
              <w:rPr>
                <w:color w:val="auto"/>
              </w:rPr>
              <w:t xml:space="preserve"> LED</w:t>
            </w:r>
            <w:r>
              <w:rPr>
                <w:color w:val="auto"/>
              </w:rPr>
              <w:t xml:space="preserve"> 光源显色指数（</w:t>
            </w:r>
            <w:r>
              <w:rPr>
                <w:color w:val="auto"/>
              </w:rPr>
              <w:t xml:space="preserve"> Ra）不宜小于</w:t>
            </w:r>
            <w:r>
              <w:rPr>
                <w:color w:val="auto"/>
              </w:rPr>
              <w:t xml:space="preserve"> 70，色温</w:t>
            </w:r>
          </w:p>
        </w:tc>
      </w:tr>
    </w:tbl>
    <w:p>
      <w:pPr>
        <w:sectPr>
          <w:footerReference w:type="even" r:id="rId82"/>
          <w:footerReference w:type="default" r:id="rId83"/>
          <w:type w:val="nextPage"/>
          <w:pgSz w:w="11906" w:h="16838"/>
          <w:pgMar w:top="1440" w:right="1800" w:bottom="1440" w:left="1800" w:header="851" w:footer="1077" w:gutter="0"/>
          <w:pgNumType w:start="31"/>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p>
            <w:pPr>
              <w:pStyle w:val="003"/>
              <w:spacing w:before="0"/>
              <w:ind w:firstLine="420"/>
              <w:rPr>
                <w:color w:val="auto"/>
              </w:rPr>
            </w:pPr>
            <w:r>
              <w:rPr>
                <w:color w:val="auto"/>
              </w:rPr>
              <w:t xml:space="preserve"> 3000K，色品容差不应大于</w:t>
            </w:r>
            <w:r>
              <w:rPr>
                <w:color w:val="auto"/>
              </w:rPr>
              <w:t xml:space="preserve"> 7SDCM，光效不小于</w:t>
            </w:r>
            <w:r>
              <w:rPr>
                <w:color w:val="auto"/>
              </w:rPr>
              <w:t xml:space="preserve"> 140lm/W。灯具功率因数不应小于</w:t>
            </w:r>
            <w:r>
              <w:rPr>
                <w:color w:val="auto"/>
              </w:rPr>
              <w:t xml:space="preserve"> 0.9，灯具防护等级不宜低于</w:t>
            </w:r>
            <w:r>
              <w:rPr>
                <w:color w:val="auto"/>
              </w:rPr>
              <w:t xml:space="preserve"> IP65，灯具电气腔的防护等级不应低于</w:t>
            </w:r>
            <w:r>
              <w:rPr>
                <w:color w:val="auto"/>
              </w:rPr>
              <w:t xml:space="preserve"> IP43；灯具电源模组需符合国标</w:t>
            </w:r>
            <w:r>
              <w:rPr>
                <w:color w:val="auto"/>
              </w:rPr>
              <w:t xml:space="preserve"> GB</w:t>
            </w:r>
            <w:r>
              <w:rPr>
                <w:color w:val="auto"/>
              </w:rPr>
              <w:t xml:space="preserve"> 19510.14</w:t>
            </w:r>
            <w:r>
              <w:rPr>
                <w:color w:val="auto"/>
              </w:rPr>
              <w:t xml:space="preserve"> 的相关要求，且可现场替换，替换后防护等级不应降低，且要求通过国家强制性产品认证。</w:t>
            </w:r>
          </w:p>
          <w:p>
            <w:pPr>
              <w:pStyle w:val="041"/>
            </w:pPr>
            <w:r>
              <w:t>6.6</w:t>
            </w:r>
            <w:bookmarkStart w:id="21" w:name="六景观绿化"/>
            <w:bookmarkEnd w:id="21"/>
            <w:r>
              <w:t>景观绿化工程</w:t>
            </w:r>
          </w:p>
          <w:p>
            <w:pPr>
              <w:pStyle w:val="003"/>
              <w:ind w:firstLine="420"/>
              <w:rPr>
                <w:color w:val="auto"/>
              </w:rPr>
            </w:pPr>
            <w:r>
              <w:rPr>
                <w:color w:val="auto"/>
              </w:rPr>
              <w:t>景观绿化工程包括人行道铺装，绿化设计（行道树）及垃圾箱等附属设施景观</w:t>
            </w:r>
            <w:r>
              <w:rPr>
                <w:rFonts w:hint="eastAsia"/>
                <w:color w:val="auto"/>
              </w:rPr>
              <w:t>造型</w:t>
            </w:r>
            <w:r>
              <w:rPr>
                <w:color w:val="auto"/>
              </w:rPr>
              <w:t>。</w:t>
            </w:r>
          </w:p>
          <w:p>
            <w:pPr>
              <w:pStyle w:val="003"/>
              <w:ind w:firstLine="420"/>
              <w:rPr>
                <w:color w:val="auto"/>
              </w:rPr>
            </w:pPr>
            <w:r>
              <w:rPr>
                <w:color w:val="auto"/>
              </w:rPr>
              <w:t>结合本工程周边自然环境和海绵城市雨水控制功能需求，人行道面层选用透水混凝土，整体形式简洁，路缘石采用C40 预制混凝土路缘石，宽15cm，嵌边石采用仿芝麻黑花岗石工业化PC 砖，宽10cm，盲道采用30cm 宽5cm 厚仿芝麻黑花岗石工业化PC 砖，树池规格为1000*1000mm</w:t>
            </w:r>
            <w:r>
              <w:rPr>
                <w:rFonts w:hint="eastAsia"/>
                <w:color w:val="auto"/>
              </w:rPr>
              <w:t>。</w:t>
            </w:r>
          </w:p>
          <w:p>
            <w:pPr>
              <w:pStyle w:val="003"/>
              <w:ind w:firstLine="420"/>
              <w:rPr>
                <w:color w:val="auto"/>
              </w:rPr>
            </w:pPr>
            <w:r>
              <w:rPr>
                <w:color w:val="auto"/>
              </w:rPr>
              <w:t>树种以常绿乔木或颜色鲜明的变色乔木为主，后续根据片区景观打造，进行行道树深化设计。结合周边已建成道路，本项目行道树种暂定为胸径不小于8cm 香樟树</w:t>
            </w:r>
            <w:r>
              <w:rPr>
                <w:rFonts w:hint="eastAsia"/>
                <w:color w:val="auto"/>
              </w:rPr>
              <w:t>。</w:t>
            </w:r>
          </w:p>
          <w:p>
            <w:pPr>
              <w:pStyle w:val="003"/>
              <w:ind w:firstLine="420"/>
              <w:rPr>
                <w:color w:val="auto"/>
              </w:rPr>
            </w:pPr>
            <w:r>
              <w:rPr>
                <w:color w:val="auto"/>
              </w:rPr>
              <w:t>垃圾箱的选择上考虑将功能性与景观性相结合，尽量做到设施的景观化。垃圾箱原则上按照50m 的间距布置，具体布置点位可根据现场实际情况调整。</w:t>
            </w:r>
          </w:p>
          <w:p>
            <w:pPr>
              <w:pStyle w:val="041"/>
            </w:pPr>
            <w:r>
              <w:t>七、建筑材料来源</w:t>
            </w:r>
          </w:p>
          <w:p>
            <w:pPr>
              <w:pStyle w:val="003"/>
              <w:ind w:firstLine="420"/>
              <w:rPr>
                <w:color w:val="auto"/>
              </w:rPr>
            </w:pPr>
            <w:r>
              <w:rPr>
                <w:color w:val="auto"/>
              </w:rPr>
              <w:t>本项目区域公路密度较大，可利用的施工便道较多，运输条件相对较好。沿线交通运输能力均有富余，可选择市场化的运输方式，以满足本项目的运输需求。</w:t>
            </w:r>
          </w:p>
          <w:p>
            <w:pPr>
              <w:pStyle w:val="0020"/>
              <w:rPr>
                <w:color w:val="auto"/>
              </w:rPr>
            </w:pPr>
            <w:r>
              <w:rPr>
                <w:color w:val="auto"/>
              </w:rPr>
              <w:t>表2-9  建筑材料来源一览表</w:t>
            </w:r>
          </w:p>
          <w:tbl>
            <w:tblPr>
              <w:tblStyle w:val="TableNormal"/>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140"/>
              <w:gridCol w:w="6867"/>
            </w:tblGrid>
            <w:tr>
              <w:tblPrEx>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1188" w:type="pct"/>
                  <w:shd w:val="clear" w:color="auto" w:fill="auto"/>
                  <w:vAlign w:val="center"/>
                </w:tcPr>
                <w:p>
                  <w:pPr>
                    <w:pStyle w:val="003"/>
                    <w:spacing w:line="240" w:lineRule="auto"/>
                    <w:ind w:firstLine="0" w:firstLineChars="0"/>
                    <w:jc w:val="center"/>
                    <w:rPr>
                      <w:b/>
                      <w:bCs/>
                      <w:color w:val="auto"/>
                    </w:rPr>
                  </w:pPr>
                  <w:r>
                    <w:rPr>
                      <w:b/>
                      <w:bCs/>
                      <w:color w:val="auto"/>
                    </w:rPr>
                    <w:t>材料类别</w:t>
                  </w:r>
                </w:p>
              </w:tc>
              <w:tc>
                <w:tcPr>
                  <w:tcW w:w="3812" w:type="pct"/>
                  <w:shd w:val="clear" w:color="auto" w:fill="auto"/>
                  <w:vAlign w:val="center"/>
                </w:tcPr>
                <w:p>
                  <w:pPr>
                    <w:pStyle w:val="003"/>
                    <w:spacing w:line="240" w:lineRule="auto"/>
                    <w:ind w:firstLine="0" w:firstLineChars="0"/>
                    <w:jc w:val="center"/>
                    <w:rPr>
                      <w:b/>
                      <w:bCs/>
                      <w:color w:val="auto"/>
                    </w:rPr>
                  </w:pPr>
                  <w:r>
                    <w:rPr>
                      <w:b/>
                      <w:bCs/>
                      <w:color w:val="auto"/>
                    </w:rPr>
                    <w:t>来源情况</w:t>
                  </w:r>
                </w:p>
              </w:tc>
            </w:tr>
            <w:tr>
              <w:tblPrEx>
                <w:tblW w:w="5000" w:type="pct"/>
                <w:tblInd w:w="0" w:type="dxa"/>
                <w:tblCellMar>
                  <w:top w:w="0" w:type="dxa"/>
                  <w:left w:w="108" w:type="dxa"/>
                  <w:bottom w:w="0" w:type="dxa"/>
                  <w:right w:w="108" w:type="dxa"/>
                </w:tblCellMar>
              </w:tblPrEx>
              <w:tc>
                <w:tcPr>
                  <w:tcW w:w="1188" w:type="pct"/>
                  <w:shd w:val="clear" w:color="auto" w:fill="auto"/>
                  <w:vAlign w:val="center"/>
                </w:tcPr>
                <w:p>
                  <w:pPr>
                    <w:pStyle w:val="003"/>
                    <w:spacing w:line="240" w:lineRule="auto"/>
                    <w:ind w:firstLine="0" w:firstLineChars="0"/>
                    <w:jc w:val="center"/>
                    <w:rPr>
                      <w:color w:val="auto"/>
                    </w:rPr>
                  </w:pPr>
                  <w:r>
                    <w:rPr>
                      <w:color w:val="auto"/>
                    </w:rPr>
                    <w:t>钢材、水泥、沥青</w:t>
                  </w:r>
                </w:p>
              </w:tc>
              <w:tc>
                <w:tcPr>
                  <w:tcW w:w="3812" w:type="pct"/>
                  <w:shd w:val="clear" w:color="auto" w:fill="auto"/>
                  <w:vAlign w:val="center"/>
                </w:tcPr>
                <w:p>
                  <w:pPr>
                    <w:pStyle w:val="003"/>
                    <w:spacing w:line="240" w:lineRule="auto"/>
                    <w:ind w:firstLine="420"/>
                    <w:jc w:val="left"/>
                    <w:rPr>
                      <w:color w:val="auto"/>
                    </w:rPr>
                  </w:pPr>
                  <w:r>
                    <w:rPr>
                      <w:color w:val="auto"/>
                    </w:rPr>
                    <w:t>本项目段所需钢材、水泥、沥青等材料可在当地物资部门购买，沿线各市县供货充足，公路运输方便。也可由项目业主招标选定合格的材料供应厂商代理各种材料的供应，直接提供到各施工工地。</w:t>
                  </w:r>
                </w:p>
              </w:tc>
            </w:tr>
            <w:tr>
              <w:tblPrEx>
                <w:tblW w:w="5000" w:type="pct"/>
                <w:tblInd w:w="0" w:type="dxa"/>
                <w:tblCellMar>
                  <w:top w:w="0" w:type="dxa"/>
                  <w:left w:w="108" w:type="dxa"/>
                  <w:bottom w:w="0" w:type="dxa"/>
                  <w:right w:w="108" w:type="dxa"/>
                </w:tblCellMar>
              </w:tblPrEx>
              <w:trPr>
                <w:trHeight w:val="3308"/>
              </w:trPr>
              <w:tc>
                <w:tcPr>
                  <w:tcW w:w="1188" w:type="pct"/>
                  <w:shd w:val="clear" w:color="auto" w:fill="auto"/>
                  <w:vAlign w:val="center"/>
                </w:tcPr>
                <w:p>
                  <w:pPr>
                    <w:pStyle w:val="003"/>
                    <w:spacing w:line="240" w:lineRule="auto"/>
                    <w:ind w:firstLine="0" w:firstLineChars="0"/>
                    <w:jc w:val="center"/>
                    <w:rPr>
                      <w:color w:val="auto"/>
                    </w:rPr>
                  </w:pPr>
                  <w:r>
                    <w:rPr>
                      <w:color w:val="auto"/>
                    </w:rPr>
                    <w:t>碎石、砂、砂砾石</w:t>
                  </w:r>
                </w:p>
              </w:tc>
              <w:tc>
                <w:tcPr>
                  <w:tcW w:w="3812" w:type="pct"/>
                  <w:shd w:val="clear" w:color="auto" w:fill="auto"/>
                  <w:vAlign w:val="center"/>
                </w:tcPr>
                <w:p>
                  <w:pPr>
                    <w:pStyle w:val="003"/>
                    <w:spacing w:line="240" w:lineRule="auto"/>
                    <w:ind w:firstLine="420"/>
                    <w:jc w:val="left"/>
                    <w:rPr>
                      <w:color w:val="auto"/>
                    </w:rPr>
                  </w:pPr>
                  <w:r>
                    <w:rPr>
                      <w:color w:val="auto"/>
                    </w:rPr>
                    <w:t>由于雅安城区附近禁止开采砂砾石，本项目所需砂石均需从青衣江上游的芦山县远运，运输道路较好，储量丰富。主要料场如下：</w:t>
                  </w:r>
                </w:p>
                <w:p>
                  <w:pPr>
                    <w:pStyle w:val="003"/>
                    <w:spacing w:line="240" w:lineRule="auto"/>
                    <w:ind w:firstLine="422"/>
                    <w:jc w:val="left"/>
                    <w:rPr>
                      <w:color w:val="auto"/>
                    </w:rPr>
                  </w:pPr>
                  <w:r>
                    <w:rPr>
                      <w:b/>
                      <w:bCs/>
                      <w:color w:val="auto"/>
                    </w:rPr>
                    <w:t>芦山县升隆镇东升砂石场</w:t>
                  </w:r>
                  <w:r>
                    <w:rPr>
                      <w:color w:val="auto"/>
                    </w:rPr>
                    <w:t>，主要由卵砾石和中粗砂组成，卵石、砾石为主，砂粒次之，含泥质很少；石质以花岗岩为主，砂岩、泥岩次之。砂质以石英质为主，岩屑、长石次之。目前正在开采。试验结果：细度模数Mx：2.5，确定为中砂。料场现为私人个体户经营，用前需联系订购。上路桩号K3+019.815，线外运距65Km。</w:t>
                  </w:r>
                </w:p>
                <w:p>
                  <w:pPr>
                    <w:pStyle w:val="003"/>
                    <w:spacing w:line="240" w:lineRule="auto"/>
                    <w:ind w:firstLine="422"/>
                    <w:jc w:val="left"/>
                    <w:rPr>
                      <w:color w:val="auto"/>
                    </w:rPr>
                  </w:pPr>
                  <w:r>
                    <w:rPr>
                      <w:b/>
                      <w:bCs/>
                      <w:color w:val="auto"/>
                    </w:rPr>
                    <w:t>芦山县隆兴镇山石沟砂石场</w:t>
                  </w:r>
                  <w:r>
                    <w:rPr>
                      <w:color w:val="auto"/>
                    </w:rPr>
                    <w:t>，主要由卵砾石和中粗砂组成，卵石、砾石为主，砂粒次之，含泥质很少；石质以花岗岩为主，砂岩、泥岩次之。砂质以石英质为主，岩屑、长石次之。目前正在开采。试验结果：细度模数Mx：2.8，确定为中砂。料场现为私人个体户经营，用前需联系订购。上路桩号K3+019.815，线外运距65Km。</w:t>
                  </w:r>
                </w:p>
              </w:tc>
            </w:tr>
            <w:tr>
              <w:tblPrEx>
                <w:tblW w:w="5000" w:type="pct"/>
                <w:tblInd w:w="0" w:type="dxa"/>
                <w:tblCellMar>
                  <w:top w:w="0" w:type="dxa"/>
                  <w:left w:w="108" w:type="dxa"/>
                  <w:bottom w:w="0" w:type="dxa"/>
                  <w:right w:w="108" w:type="dxa"/>
                </w:tblCellMar>
              </w:tblPrEx>
              <w:tc>
                <w:tcPr>
                  <w:tcW w:w="1188" w:type="pct"/>
                  <w:shd w:val="clear" w:color="auto" w:fill="auto"/>
                  <w:vAlign w:val="center"/>
                </w:tcPr>
                <w:p>
                  <w:pPr>
                    <w:pStyle w:val="003"/>
                    <w:spacing w:line="240" w:lineRule="auto"/>
                    <w:ind w:firstLine="0" w:firstLineChars="0"/>
                    <w:jc w:val="center"/>
                    <w:rPr>
                      <w:color w:val="auto"/>
                    </w:rPr>
                  </w:pPr>
                  <w:r>
                    <w:rPr>
                      <w:color w:val="auto"/>
                    </w:rPr>
                    <w:t>天然中、粗砂</w:t>
                  </w:r>
                </w:p>
              </w:tc>
              <w:tc>
                <w:tcPr>
                  <w:tcW w:w="3812" w:type="pct"/>
                  <w:shd w:val="clear" w:color="auto" w:fill="auto"/>
                  <w:vAlign w:val="center"/>
                </w:tcPr>
                <w:p>
                  <w:pPr>
                    <w:pStyle w:val="003"/>
                    <w:spacing w:line="240" w:lineRule="auto"/>
                    <w:ind w:firstLine="420"/>
                    <w:jc w:val="left"/>
                    <w:rPr>
                      <w:color w:val="auto"/>
                    </w:rPr>
                  </w:pPr>
                  <w:r>
                    <w:rPr>
                      <w:color w:val="auto"/>
                    </w:rPr>
                    <w:t>本项目所需一般中砂可利用上述料场中的砂砾石进行轧制。提供用于大桥高标号砼的天然粗砂需从乐山沙湾远运。</w:t>
                  </w:r>
                </w:p>
                <w:p>
                  <w:pPr>
                    <w:pStyle w:val="003"/>
                    <w:spacing w:line="240" w:lineRule="auto"/>
                    <w:ind w:firstLine="420"/>
                    <w:jc w:val="left"/>
                    <w:rPr>
                      <w:color w:val="auto"/>
                    </w:rPr>
                  </w:pPr>
                  <w:r>
                    <w:rPr>
                      <w:color w:val="auto"/>
                    </w:rPr>
                    <w:t>月咡崖砂场：该料场位于514库区。主营：中粗砂、粗砂、细砂。含泥量小，质量好，储量非常丰富，目前经营规模大，可直接购买成品，并提供汽车运输至工地，上路桩号K3+019.815，线位运距约145Km。中粗砂为山坡岩石强风化产物，年采砂量约两百万方，经洗涤、加工而成。根据试验资料，砂的细度模数为3.0，定义为粗砂。</w:t>
                  </w:r>
                </w:p>
              </w:tc>
            </w:tr>
            <w:tr>
              <w:tblPrEx>
                <w:tblW w:w="5000" w:type="pct"/>
                <w:tblInd w:w="0" w:type="dxa"/>
                <w:tblCellMar>
                  <w:top w:w="0" w:type="dxa"/>
                  <w:left w:w="108" w:type="dxa"/>
                  <w:bottom w:w="0" w:type="dxa"/>
                  <w:right w:w="108" w:type="dxa"/>
                </w:tblCellMar>
              </w:tblPrEx>
              <w:tc>
                <w:tcPr>
                  <w:tcW w:w="1188" w:type="pct"/>
                  <w:shd w:val="clear" w:color="auto" w:fill="auto"/>
                  <w:vAlign w:val="center"/>
                </w:tcPr>
                <w:p>
                  <w:pPr>
                    <w:pStyle w:val="003"/>
                    <w:spacing w:line="240" w:lineRule="auto"/>
                    <w:ind w:firstLine="0" w:firstLineChars="0"/>
                    <w:jc w:val="center"/>
                    <w:rPr>
                      <w:color w:val="auto"/>
                    </w:rPr>
                  </w:pPr>
                  <w:r>
                    <w:rPr>
                      <w:color w:val="auto"/>
                    </w:rPr>
                    <w:t>灰岩片、碎石</w:t>
                  </w:r>
                </w:p>
              </w:tc>
              <w:tc>
                <w:tcPr>
                  <w:tcW w:w="3812" w:type="pct"/>
                  <w:shd w:val="clear" w:color="auto" w:fill="auto"/>
                  <w:vAlign w:val="center"/>
                </w:tcPr>
                <w:p>
                  <w:pPr>
                    <w:pStyle w:val="003"/>
                    <w:spacing w:line="240" w:lineRule="auto"/>
                    <w:ind w:firstLine="420"/>
                    <w:jc w:val="left"/>
                    <w:rPr>
                      <w:color w:val="auto"/>
                    </w:rPr>
                  </w:pPr>
                  <w:r>
                    <w:rPr>
                      <w:color w:val="auto"/>
                    </w:rPr>
                    <w:t>本项目沿线块石材料缺乏，基本上无人开采块石，如需使用，则需委托正规试验部门取样试验，满足要求后方可使用。</w:t>
                  </w:r>
                </w:p>
              </w:tc>
            </w:tr>
          </w:tbl>
          <w:p/>
        </w:tc>
      </w:tr>
    </w:tbl>
    <w:p>
      <w:pPr>
        <w:sectPr>
          <w:footerReference w:type="even" r:id="rId84"/>
          <w:footerReference w:type="default" r:id="rId85"/>
          <w:type w:val="nextPage"/>
          <w:pgSz w:w="11906" w:h="16838"/>
          <w:pgMar w:top="1440" w:right="1800" w:bottom="1440" w:left="1800" w:header="851" w:footer="1077" w:gutter="0"/>
          <w:pgNumType w:start="32"/>
          <w:cols w:num="1" w:space="720"/>
          <w:titlePg w:val="0"/>
          <w:docGrid w:linePitch="312" w:charSpace="0"/>
        </w:sectPr>
      </w:pPr>
    </w:p>
    <w:tbl>
      <w:tblPr>
        <w:tblStyle w:val="TableNormal"/>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26"/>
        <w:gridCol w:w="9223"/>
      </w:tblGrid>
      <w:tr>
        <w:tblPrEx>
          <w:tblW w:w="96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19"/>
          <w:jc w:val="center"/>
        </w:trPr>
        <w:tc>
          <w:tcPr>
            <w:tcW w:w="236" w:type="dxa"/>
            <w:vAlign w:val="center"/>
          </w:tcPr>
          <w:p/>
        </w:tc>
        <w:tc>
          <w:tcPr>
            <w:tcW w:w="9413" w:type="dxa"/>
            <w:vAlign w:val="center"/>
          </w:tcPr>
          <w:tbl>
            <w:tblPr>
              <w:tblStyle w:val="TableNormal"/>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140"/>
              <w:gridCol w:w="6867"/>
            </w:tblGrid>
            <w:tr>
              <w:tblPrEx>
                <w:tblW w:w="5000"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1188" w:type="pct"/>
                  <w:shd w:val="clear" w:color="auto" w:fill="auto"/>
                  <w:vAlign w:val="center"/>
                </w:tcPr>
                <w:p/>
              </w:tc>
              <w:tc>
                <w:tcPr>
                  <w:tcW w:w="3812" w:type="pct"/>
                  <w:shd w:val="clear" w:color="auto" w:fill="auto"/>
                  <w:vAlign w:val="center"/>
                </w:tcPr>
                <w:p>
                  <w:pPr>
                    <w:pStyle w:val="003"/>
                    <w:spacing w:line="240" w:lineRule="auto"/>
                    <w:ind w:firstLine="420"/>
                    <w:jc w:val="left"/>
                    <w:rPr>
                      <w:color w:val="auto"/>
                    </w:rPr>
                  </w:pPr>
                  <w:r>
                    <w:rPr>
                      <w:color w:val="auto"/>
                    </w:rPr>
                    <w:t>本项目桥梁、挡墙的圬工砌体采用C20卵石砼，卵石含量不得大于总方量的20%。</w:t>
                  </w:r>
                </w:p>
              </w:tc>
            </w:tr>
            <w:tr>
              <w:tblPrEx>
                <w:tblW w:w="5000" w:type="pct"/>
                <w:tblInd w:w="0" w:type="dxa"/>
                <w:tblCellMar>
                  <w:top w:w="0" w:type="dxa"/>
                  <w:left w:w="108" w:type="dxa"/>
                  <w:bottom w:w="0" w:type="dxa"/>
                  <w:right w:w="108" w:type="dxa"/>
                </w:tblCellMar>
              </w:tblPrEx>
              <w:tc>
                <w:tcPr>
                  <w:tcW w:w="1188" w:type="pct"/>
                  <w:shd w:val="clear" w:color="auto" w:fill="auto"/>
                  <w:vAlign w:val="center"/>
                </w:tcPr>
                <w:p>
                  <w:pPr>
                    <w:pStyle w:val="003"/>
                    <w:spacing w:line="240" w:lineRule="auto"/>
                    <w:ind w:firstLine="0" w:firstLineChars="0"/>
                    <w:jc w:val="center"/>
                    <w:rPr>
                      <w:color w:val="auto"/>
                    </w:rPr>
                  </w:pPr>
                  <w:r>
                    <w:rPr>
                      <w:color w:val="auto"/>
                    </w:rPr>
                    <w:t>玄武岩</w:t>
                  </w:r>
                </w:p>
              </w:tc>
              <w:tc>
                <w:tcPr>
                  <w:tcW w:w="3812" w:type="pct"/>
                  <w:shd w:val="clear" w:color="auto" w:fill="auto"/>
                  <w:vAlign w:val="center"/>
                </w:tcPr>
                <w:p>
                  <w:pPr>
                    <w:pStyle w:val="003"/>
                    <w:spacing w:line="240" w:lineRule="auto"/>
                    <w:ind w:firstLine="420"/>
                    <w:jc w:val="left"/>
                    <w:rPr>
                      <w:color w:val="auto"/>
                    </w:rPr>
                  </w:pPr>
                  <w:r>
                    <w:rPr>
                      <w:color w:val="auto"/>
                    </w:rPr>
                    <w:t>XW－1玄武岩碎石用于路面面层。料场位于九里镇新场、林场村。岩体灰黑色柱状节理发育，呈紧密块状及杏仁构造，质地坚硬。矿物成分以玻璃质为主，含少量普通辉石、磁铁矿等。石料磨光值PSV为45，洛杉矶磨耗值12.6％，压碎值10.9％。料场可采层厚约30m米，位于公路内侧，开采方便。上路桩号K3+019.815，线外运距约125Km。</w:t>
                  </w:r>
                </w:p>
              </w:tc>
            </w:tr>
            <w:tr>
              <w:tblPrEx>
                <w:tblW w:w="5000" w:type="pct"/>
                <w:tblInd w:w="0" w:type="dxa"/>
                <w:tblCellMar>
                  <w:top w:w="0" w:type="dxa"/>
                  <w:left w:w="108" w:type="dxa"/>
                  <w:bottom w:w="0" w:type="dxa"/>
                  <w:right w:w="108" w:type="dxa"/>
                </w:tblCellMar>
              </w:tblPrEx>
              <w:tc>
                <w:tcPr>
                  <w:tcW w:w="1188" w:type="pct"/>
                  <w:shd w:val="clear" w:color="auto" w:fill="auto"/>
                  <w:vAlign w:val="center"/>
                </w:tcPr>
                <w:p>
                  <w:pPr>
                    <w:pStyle w:val="003"/>
                    <w:spacing w:line="240" w:lineRule="auto"/>
                    <w:ind w:firstLine="0" w:firstLineChars="0"/>
                    <w:jc w:val="center"/>
                    <w:rPr>
                      <w:color w:val="auto"/>
                    </w:rPr>
                  </w:pPr>
                  <w:r>
                    <w:rPr>
                      <w:color w:val="auto"/>
                    </w:rPr>
                    <w:t>路基填料</w:t>
                  </w:r>
                </w:p>
              </w:tc>
              <w:tc>
                <w:tcPr>
                  <w:tcW w:w="3812" w:type="pct"/>
                  <w:shd w:val="clear" w:color="auto" w:fill="auto"/>
                  <w:vAlign w:val="center"/>
                </w:tcPr>
                <w:p>
                  <w:pPr>
                    <w:pStyle w:val="003"/>
                    <w:spacing w:line="240" w:lineRule="auto"/>
                    <w:ind w:firstLine="420"/>
                    <w:jc w:val="left"/>
                    <w:rPr>
                      <w:color w:val="auto"/>
                    </w:rPr>
                  </w:pPr>
                  <w:r>
                    <w:rPr>
                      <w:color w:val="auto"/>
                    </w:rPr>
                    <w:t>本段路基填方所需填料可就近利用挖方来填筑路堤，除表层耕植土（即Ⅰ类土）外，挖方中上覆含水量满足要求的低液限粘土、低液限粉土与砂岩挖方都可作路基填料，高液限粘土、高液限粉土不能用作路基填料。其中V类石方和Ⅱ～Ⅳ类土石方中所含的大粒径硬质块石，采用常规爆破方式挖出的石方，其规格一般不能满足《规范》要求，须对其进行二次加工破碎，使其粒径大小规格符合规范要求，才能</w:t>
                  </w:r>
                  <w:r>
                    <w:rPr>
                      <w:rFonts w:hint="eastAsia"/>
                      <w:color w:val="auto"/>
                    </w:rPr>
                    <w:t>用作</w:t>
                  </w:r>
                  <w:r>
                    <w:rPr>
                      <w:color w:val="auto"/>
                    </w:rPr>
                    <w:t>路基填料。</w:t>
                  </w:r>
                </w:p>
              </w:tc>
            </w:tr>
          </w:tbl>
          <w:p>
            <w:pPr>
              <w:pStyle w:val="041"/>
            </w:pPr>
            <w:r>
              <w:t>八、给排水工程</w:t>
            </w:r>
            <w:bookmarkStart w:id="22" w:name="给排水工程"/>
            <w:bookmarkEnd w:id="22"/>
          </w:p>
          <w:p>
            <w:pPr>
              <w:pStyle w:val="031"/>
              <w:rPr>
                <w:color w:val="auto"/>
              </w:rPr>
            </w:pPr>
            <w:r>
              <w:rPr>
                <w:color w:val="auto"/>
              </w:rPr>
              <w:t>8.1给水工程</w:t>
            </w:r>
          </w:p>
          <w:p>
            <w:pPr>
              <w:pStyle w:val="003"/>
              <w:ind w:firstLine="420"/>
              <w:rPr>
                <w:color w:val="auto"/>
              </w:rPr>
            </w:pPr>
            <w:r>
              <w:rPr>
                <w:color w:val="auto"/>
              </w:rPr>
              <w:t>本道路配水管道随同道路建设同步实施。</w:t>
            </w:r>
            <w:r>
              <w:rPr>
                <w:rFonts w:hint="eastAsia"/>
                <w:color w:val="auto"/>
              </w:rPr>
              <w:t>本项目</w:t>
            </w:r>
            <w:r>
              <w:rPr>
                <w:color w:val="auto"/>
              </w:rPr>
              <w:t>设计</w:t>
            </w:r>
            <w:r>
              <w:rPr>
                <w:rFonts w:hint="eastAsia"/>
                <w:color w:val="auto"/>
              </w:rPr>
              <w:t>资料</w:t>
            </w:r>
            <w:r>
              <w:rPr>
                <w:color w:val="auto"/>
              </w:rPr>
              <w:t>根据《四川雅安经济开发区（芦天宝飞地园区）控制性详细规划》</w:t>
            </w:r>
            <w:r>
              <w:rPr>
                <w:rFonts w:hint="eastAsia"/>
                <w:color w:val="auto"/>
              </w:rPr>
              <w:t>，设计</w:t>
            </w:r>
            <w:r>
              <w:rPr>
                <w:color w:val="auto"/>
              </w:rPr>
              <w:t>给水管道为本片区配水支管，管径为DN200。起点与龙洲路现状DN500给水管相接，终点与永兴大道现状DN600给水管相接，其余相交道路均为规划给水管道。</w:t>
            </w:r>
          </w:p>
          <w:p>
            <w:pPr>
              <w:pStyle w:val="003"/>
              <w:ind w:firstLine="420"/>
              <w:rPr>
                <w:color w:val="auto"/>
              </w:rPr>
            </w:pPr>
            <w:r>
              <w:rPr>
                <w:color w:val="auto"/>
              </w:rPr>
              <w:t>本道路工程中配水管布置为单边敷设，位于右侧人行道下，距人行道内边线1.20m。管材选择PE管，连接采用热熔管件连接。</w:t>
            </w:r>
          </w:p>
          <w:p>
            <w:pPr>
              <w:pStyle w:val="031"/>
              <w:rPr>
                <w:color w:val="auto"/>
              </w:rPr>
            </w:pPr>
            <w:r>
              <w:rPr>
                <w:color w:val="auto"/>
              </w:rPr>
              <w:t>8.2排水工程</w:t>
            </w:r>
          </w:p>
          <w:p>
            <w:pPr>
              <w:pStyle w:val="003"/>
              <w:ind w:firstLine="420"/>
              <w:rPr>
                <w:color w:val="auto"/>
              </w:rPr>
            </w:pPr>
            <w:r>
              <w:rPr>
                <w:color w:val="auto"/>
              </w:rPr>
              <w:t>根据《四川雅安经济开发区（芦天宝飞地园区）控制性详细规划》，并结合城市发展需要，为保护水资源，美化城市环境，本区内实施严格的雨污分流制排水体系。</w:t>
            </w:r>
          </w:p>
          <w:p>
            <w:pPr>
              <w:pStyle w:val="003"/>
              <w:ind w:firstLine="420"/>
              <w:rPr>
                <w:color w:val="auto"/>
              </w:rPr>
            </w:pPr>
            <w:r>
              <w:rPr>
                <w:color w:val="auto"/>
              </w:rPr>
              <w:t>1、雨水方案设计</w:t>
            </w:r>
          </w:p>
          <w:p>
            <w:pPr>
              <w:pStyle w:val="003"/>
              <w:ind w:firstLine="420"/>
              <w:rPr>
                <w:color w:val="auto"/>
              </w:rPr>
            </w:pPr>
            <w:r>
              <w:rPr>
                <w:color w:val="auto"/>
              </w:rPr>
              <w:t>本</w:t>
            </w:r>
            <w:r>
              <w:rPr>
                <w:rFonts w:hint="eastAsia"/>
                <w:color w:val="auto"/>
              </w:rPr>
              <w:t>项目</w:t>
            </w:r>
            <w:r>
              <w:rPr>
                <w:color w:val="auto"/>
              </w:rPr>
              <w:t>设计</w:t>
            </w:r>
            <w:r>
              <w:rPr>
                <w:rFonts w:hint="eastAsia"/>
                <w:color w:val="auto"/>
              </w:rPr>
              <w:t>资料中</w:t>
            </w:r>
            <w:r>
              <w:rPr>
                <w:color w:val="auto"/>
              </w:rPr>
              <w:t>雨水管主要收集道路路面、南侧地块雨水，部分路段需要转输邻近道路、地块的雨水。</w:t>
            </w:r>
            <w:r>
              <w:rPr>
                <w:rFonts w:hint="eastAsia"/>
                <w:color w:val="auto"/>
              </w:rPr>
              <w:t>龙洲路、永兴大道排水管网已建成，本项目新建雨水管道与已建雨水管网相接，并为周边规划道路及地块预留接口。</w:t>
            </w:r>
          </w:p>
          <w:p>
            <w:pPr>
              <w:pStyle w:val="003"/>
              <w:ind w:firstLine="420"/>
              <w:rPr>
                <w:color w:val="auto"/>
              </w:rPr>
            </w:pPr>
            <w:r>
              <w:rPr>
                <w:color w:val="auto"/>
              </w:rPr>
              <w:t>根据控规及管线综合</w:t>
            </w:r>
            <w:r>
              <w:rPr>
                <w:rFonts w:hint="eastAsia"/>
                <w:color w:val="auto"/>
              </w:rPr>
              <w:t>设计资料</w:t>
            </w:r>
            <w:r>
              <w:rPr>
                <w:color w:val="auto"/>
              </w:rPr>
              <w:t>，本项目雨水管道单侧布置于道路北侧，距离道路中线距离为8.7m，全线雨水管道管径介于d600~d1000。其中</w:t>
            </w:r>
            <w:r>
              <w:rPr>
                <w:rFonts w:hint="eastAsia"/>
                <w:color w:val="auto"/>
              </w:rPr>
              <w:t>本项目</w:t>
            </w:r>
            <w:r>
              <w:rPr>
                <w:color w:val="auto"/>
              </w:rPr>
              <w:t>龙洲路</w:t>
            </w:r>
            <w:r>
              <w:rPr>
                <w:rFonts w:hint="eastAsia"/>
                <w:color w:val="auto"/>
              </w:rPr>
              <w:t>－</w:t>
            </w:r>
            <w:r>
              <w:rPr>
                <w:color w:val="auto"/>
              </w:rPr>
              <w:t>创业路</w:t>
            </w:r>
            <w:r>
              <w:rPr>
                <w:rFonts w:hint="eastAsia"/>
                <w:color w:val="auto"/>
              </w:rPr>
              <w:t>段</w:t>
            </w:r>
            <w:r>
              <w:rPr>
                <w:color w:val="auto"/>
              </w:rPr>
              <w:t>自东向西排至龙洲路现状d1000雨水管道。本项目创业路</w:t>
            </w:r>
            <w:r>
              <w:rPr>
                <w:rFonts w:hint="eastAsia"/>
                <w:color w:val="auto"/>
              </w:rPr>
              <w:t>－</w:t>
            </w:r>
            <w:r>
              <w:rPr>
                <w:color w:val="auto"/>
              </w:rPr>
              <w:t>草金路</w:t>
            </w:r>
            <w:r>
              <w:rPr>
                <w:rFonts w:hint="eastAsia"/>
                <w:color w:val="auto"/>
              </w:rPr>
              <w:t>段</w:t>
            </w:r>
            <w:r>
              <w:rPr>
                <w:color w:val="auto"/>
              </w:rPr>
              <w:t>自西向东排至K2+064处</w:t>
            </w:r>
            <w:r>
              <w:rPr>
                <w:rFonts w:hint="eastAsia"/>
                <w:color w:val="auto"/>
              </w:rPr>
              <w:t>无名河沟</w:t>
            </w:r>
            <w:r>
              <w:rPr>
                <w:color w:val="auto"/>
              </w:rPr>
              <w:t>。本项目草金路-K2+780</w:t>
            </w:r>
            <w:r>
              <w:rPr>
                <w:rFonts w:hint="eastAsia"/>
                <w:color w:val="auto"/>
              </w:rPr>
              <w:t>段</w:t>
            </w:r>
            <w:r>
              <w:rPr>
                <w:color w:val="auto"/>
              </w:rPr>
              <w:t>自西向东排至K2+787处宋家沟。本项目K2+780-永兴大道</w:t>
            </w:r>
            <w:r>
              <w:rPr>
                <w:rFonts w:hint="eastAsia"/>
                <w:color w:val="auto"/>
              </w:rPr>
              <w:t>段</w:t>
            </w:r>
            <w:r>
              <w:rPr>
                <w:color w:val="auto"/>
              </w:rPr>
              <w:t>自北向南排至永兴大道现状d1000雨水管道，本项目K2+780-永兴大道</w:t>
            </w:r>
            <w:r>
              <w:rPr>
                <w:rFonts w:hint="eastAsia"/>
                <w:color w:val="auto"/>
              </w:rPr>
              <w:t>段</w:t>
            </w:r>
            <w:r>
              <w:rPr>
                <w:color w:val="auto"/>
              </w:rPr>
              <w:t>自北向南排至永兴大道现状d1000雨水管道，永兴大道雨水管网就近排入宋家沟（详见附图6-1）。</w:t>
            </w:r>
          </w:p>
          <w:p>
            <w:pPr>
              <w:pStyle w:val="003"/>
              <w:ind w:firstLine="420"/>
              <w:rPr>
                <w:color w:val="auto"/>
              </w:rPr>
            </w:pPr>
            <w:r>
              <w:rPr>
                <w:color w:val="auto"/>
              </w:rPr>
              <w:t>雨水管管材采用钢筋混凝土管道，接口采用承插式橡胶圈柔性接口。雨水口连接管采用管径d300和d400的国标Ⅱ级钢筋混凝土承插管。</w:t>
            </w:r>
          </w:p>
          <w:p>
            <w:pPr>
              <w:pStyle w:val="003"/>
              <w:ind w:firstLine="420"/>
              <w:rPr>
                <w:color w:val="auto"/>
              </w:rPr>
            </w:pPr>
            <w:r>
              <w:rPr>
                <w:color w:val="auto"/>
              </w:rPr>
              <w:t>2、污水方案设计</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https://d.book118.com/475332043310011044</w:t>
        </w:r>
      </w:hyperlink>
    </w:p>
    <w:p/>
    <w:sectPr>
      <w:footerReference w:type="even" r:id="rId87"/>
      <w:footerReference w:type="default" r:id="rId88"/>
      <w:type w:val="nextPage"/>
      <w:pgSz w:w="11906" w:h="16838"/>
      <w:pgMar w:top="1440" w:right="1800" w:bottom="1440" w:left="1800" w:header="851" w:footer="1077" w:gutter="0"/>
      <w:pgNumType w:start="33"/>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TimesNewRomanPSMT">
    <w:altName w:val="Times New Roman"/>
    <w:panose1 w:val="00000000000000000000"/>
    <w:charset w:val="80"/>
    <w:family w:val="auto"/>
    <w:pitch w:val="default"/>
    <w:sig w:usb0="00000000" w:usb1="00000000" w:usb2="00000000" w:usb3="00000000" w:csb0="00020000"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TimesNewRomanPS-BoldMT">
    <w:altName w:val="宋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1 -</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2 -</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4 -</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4 -</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6 -</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6 -</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7 -</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8 -</w:t>
    </w:r>
    <w: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9 -</w:t>
    </w:r>
    <w: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11 -</w:t>
    </w:r>
    <w: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11 -</w:t>
    </w:r>
    <w: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13 -</w:t>
    </w:r>
    <w: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13 -</w:t>
    </w:r>
    <w: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w:t>
    </w:r>
    <w:r>
      <w:t xml:space="preserve"> 15 -</w:t>
    </w:r>
    <w: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16</w:t>
    </w:r>
    <w: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16</w:t>
    </w:r>
    <w: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18</w:t>
    </w:r>
    <w:r>
      <w:fldChar w:fldCharType="end"/>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19</w:t>
    </w:r>
    <w:r>
      <w:fldChar w:fldCharType="end"/>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19</w:t>
    </w:r>
    <w:r>
      <w:fldChar w:fldCharType="end"/>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21</w:t>
    </w:r>
    <w:r>
      <w:fldChar w:fldCharType="end"/>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22</w:t>
    </w:r>
    <w:r>
      <w:fldChar w:fldCharType="end"/>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22</w:t>
    </w:r>
    <w:r>
      <w:fldChar w:fldCharType="end"/>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24</w:t>
    </w:r>
    <w:r>
      <w:fldChar w:fldCharType="end"/>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24</w:t>
    </w:r>
    <w:r>
      <w:fldChar w:fldCharType="end"/>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25</w:t>
    </w:r>
    <w:r>
      <w:fldChar w:fldCharType="end"/>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26</w:t>
    </w:r>
    <w:r>
      <w:fldChar w:fldCharType="end"/>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28</w:t>
    </w:r>
    <w:r>
      <w:fldChar w:fldCharType="end"/>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29</w:t>
    </w:r>
    <w:r>
      <w:fldChar w:fldCharType="end"/>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29</w:t>
    </w:r>
    <w:r>
      <w:fldChar w:fldCharType="end"/>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30</w:t>
    </w:r>
    <w:r>
      <w:fldChar w:fldCharType="end"/>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32</w:t>
    </w:r>
    <w:r>
      <w:fldChar w:fldCharType="end"/>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33</w:t>
    </w:r>
    <w:r>
      <w:fldChar w:fldCharType="end"/>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rPr>
        <w:rStyle w:val="PageNumber"/>
      </w:rPr>
      <w:t>27</w:t>
    </w:r>
    <w:r>
      <w:fldChar w:fldCharType="end"/>
    </w:r>
  </w:p>
  <w:p>
    <w:pPr>
      <w:pStyle w:val="Footer"/>
      <w:ind w:right="360" w:firstLine="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34</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BC209A"/>
    <w:multiLevelType w:val="multilevel"/>
    <w:tmpl w:val="05BC209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9EA0BFC"/>
    <w:multiLevelType w:val="multilevel"/>
    <w:tmpl w:val="09EA0BFC"/>
    <w:lvl w:ilvl="0">
      <w:start w:val="1"/>
      <w:numFmt w:val="decimal"/>
      <w:pStyle w:val="-7"/>
      <w:lvlText w:val="表7-%1"/>
      <w:lvlJc w:val="left"/>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lang w:val="en-US"/>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5"/>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edit="trackedChanges" w:enforcement="0"/>
  <w:defaultTabStop w:val="420"/>
  <w:characterSpacingControl w:val="doNotCompress"/>
  <w:doNotEmbedSmartTag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947"/>
    <w:rsid w:val="000005BB"/>
    <w:rsid w:val="00001CED"/>
    <w:rsid w:val="00001E67"/>
    <w:rsid w:val="00001FBE"/>
    <w:rsid w:val="00003CD8"/>
    <w:rsid w:val="00004D66"/>
    <w:rsid w:val="00006172"/>
    <w:rsid w:val="00007799"/>
    <w:rsid w:val="00010373"/>
    <w:rsid w:val="0001097E"/>
    <w:rsid w:val="00010F53"/>
    <w:rsid w:val="000110F4"/>
    <w:rsid w:val="00012565"/>
    <w:rsid w:val="000137A3"/>
    <w:rsid w:val="00014965"/>
    <w:rsid w:val="00014F00"/>
    <w:rsid w:val="0001523A"/>
    <w:rsid w:val="00015D91"/>
    <w:rsid w:val="0001675C"/>
    <w:rsid w:val="00016ECB"/>
    <w:rsid w:val="00017023"/>
    <w:rsid w:val="00017BDF"/>
    <w:rsid w:val="00020CDB"/>
    <w:rsid w:val="0002111C"/>
    <w:rsid w:val="00021BBB"/>
    <w:rsid w:val="0002332A"/>
    <w:rsid w:val="00024236"/>
    <w:rsid w:val="00024D0B"/>
    <w:rsid w:val="0002554D"/>
    <w:rsid w:val="000269F6"/>
    <w:rsid w:val="00026D13"/>
    <w:rsid w:val="000273C9"/>
    <w:rsid w:val="000278A1"/>
    <w:rsid w:val="000301D3"/>
    <w:rsid w:val="00031939"/>
    <w:rsid w:val="000329EB"/>
    <w:rsid w:val="00032CAE"/>
    <w:rsid w:val="00032D25"/>
    <w:rsid w:val="000335D6"/>
    <w:rsid w:val="0003370C"/>
    <w:rsid w:val="00034055"/>
    <w:rsid w:val="000356B3"/>
    <w:rsid w:val="00035F4B"/>
    <w:rsid w:val="0003620A"/>
    <w:rsid w:val="00037D8A"/>
    <w:rsid w:val="00040BB7"/>
    <w:rsid w:val="00040EE0"/>
    <w:rsid w:val="0004235D"/>
    <w:rsid w:val="000426EA"/>
    <w:rsid w:val="00042E8B"/>
    <w:rsid w:val="000432B6"/>
    <w:rsid w:val="0004369F"/>
    <w:rsid w:val="00044BC9"/>
    <w:rsid w:val="00045419"/>
    <w:rsid w:val="00046A13"/>
    <w:rsid w:val="00046E8F"/>
    <w:rsid w:val="00047CEE"/>
    <w:rsid w:val="0005026A"/>
    <w:rsid w:val="0005219D"/>
    <w:rsid w:val="000522D2"/>
    <w:rsid w:val="00052F25"/>
    <w:rsid w:val="00053588"/>
    <w:rsid w:val="00053661"/>
    <w:rsid w:val="00054EC8"/>
    <w:rsid w:val="0005568F"/>
    <w:rsid w:val="00055856"/>
    <w:rsid w:val="00055E22"/>
    <w:rsid w:val="00056739"/>
    <w:rsid w:val="000568BA"/>
    <w:rsid w:val="00060240"/>
    <w:rsid w:val="00060B8B"/>
    <w:rsid w:val="0006153D"/>
    <w:rsid w:val="00061B1F"/>
    <w:rsid w:val="00062E93"/>
    <w:rsid w:val="000636B8"/>
    <w:rsid w:val="00063C98"/>
    <w:rsid w:val="00063F6A"/>
    <w:rsid w:val="00064021"/>
    <w:rsid w:val="00064A12"/>
    <w:rsid w:val="00064A1D"/>
    <w:rsid w:val="00064B20"/>
    <w:rsid w:val="000652C7"/>
    <w:rsid w:val="000656F7"/>
    <w:rsid w:val="000664DB"/>
    <w:rsid w:val="00066AAA"/>
    <w:rsid w:val="00067736"/>
    <w:rsid w:val="00070560"/>
    <w:rsid w:val="00070CED"/>
    <w:rsid w:val="0007127D"/>
    <w:rsid w:val="00071AE5"/>
    <w:rsid w:val="00072B32"/>
    <w:rsid w:val="000730E9"/>
    <w:rsid w:val="00073296"/>
    <w:rsid w:val="0007391B"/>
    <w:rsid w:val="00074783"/>
    <w:rsid w:val="00075AEE"/>
    <w:rsid w:val="00075DFB"/>
    <w:rsid w:val="00076DDE"/>
    <w:rsid w:val="00076DE8"/>
    <w:rsid w:val="00077051"/>
    <w:rsid w:val="00077E2B"/>
    <w:rsid w:val="000801E0"/>
    <w:rsid w:val="00080406"/>
    <w:rsid w:val="00080661"/>
    <w:rsid w:val="00080B2B"/>
    <w:rsid w:val="00080E28"/>
    <w:rsid w:val="000820B5"/>
    <w:rsid w:val="00082A29"/>
    <w:rsid w:val="00082AA8"/>
    <w:rsid w:val="00082E2A"/>
    <w:rsid w:val="0008331D"/>
    <w:rsid w:val="00083C18"/>
    <w:rsid w:val="000841D3"/>
    <w:rsid w:val="000842D4"/>
    <w:rsid w:val="00084953"/>
    <w:rsid w:val="00085168"/>
    <w:rsid w:val="000869D3"/>
    <w:rsid w:val="0008797B"/>
    <w:rsid w:val="00087C03"/>
    <w:rsid w:val="00090D44"/>
    <w:rsid w:val="00092899"/>
    <w:rsid w:val="00093407"/>
    <w:rsid w:val="00093683"/>
    <w:rsid w:val="00093CE7"/>
    <w:rsid w:val="000940FC"/>
    <w:rsid w:val="00096B6D"/>
    <w:rsid w:val="000A0FAB"/>
    <w:rsid w:val="000A1732"/>
    <w:rsid w:val="000A178E"/>
    <w:rsid w:val="000A20D2"/>
    <w:rsid w:val="000A2408"/>
    <w:rsid w:val="000A3558"/>
    <w:rsid w:val="000A39AE"/>
    <w:rsid w:val="000A4E8E"/>
    <w:rsid w:val="000A557E"/>
    <w:rsid w:val="000A55BC"/>
    <w:rsid w:val="000A62FA"/>
    <w:rsid w:val="000A7727"/>
    <w:rsid w:val="000A7A7D"/>
    <w:rsid w:val="000B058F"/>
    <w:rsid w:val="000B252A"/>
    <w:rsid w:val="000B2A6A"/>
    <w:rsid w:val="000B3137"/>
    <w:rsid w:val="000B314F"/>
    <w:rsid w:val="000B33D3"/>
    <w:rsid w:val="000B3BBB"/>
    <w:rsid w:val="000B4E11"/>
    <w:rsid w:val="000B59DB"/>
    <w:rsid w:val="000B622A"/>
    <w:rsid w:val="000B693F"/>
    <w:rsid w:val="000B7460"/>
    <w:rsid w:val="000C09AC"/>
    <w:rsid w:val="000C0A63"/>
    <w:rsid w:val="000C1E19"/>
    <w:rsid w:val="000C2354"/>
    <w:rsid w:val="000C3172"/>
    <w:rsid w:val="000C437E"/>
    <w:rsid w:val="000C6A6A"/>
    <w:rsid w:val="000D0FCF"/>
    <w:rsid w:val="000D2694"/>
    <w:rsid w:val="000D3D66"/>
    <w:rsid w:val="000E1066"/>
    <w:rsid w:val="000E19D0"/>
    <w:rsid w:val="000E1A64"/>
    <w:rsid w:val="000E2831"/>
    <w:rsid w:val="000E2D03"/>
    <w:rsid w:val="000E3990"/>
    <w:rsid w:val="000E41F7"/>
    <w:rsid w:val="000E59D0"/>
    <w:rsid w:val="000E5F16"/>
    <w:rsid w:val="000E6F0B"/>
    <w:rsid w:val="000F36D7"/>
    <w:rsid w:val="000F4452"/>
    <w:rsid w:val="000F445D"/>
    <w:rsid w:val="000F517E"/>
    <w:rsid w:val="000F5BCF"/>
    <w:rsid w:val="000F5F31"/>
    <w:rsid w:val="000F6DA1"/>
    <w:rsid w:val="000F701B"/>
    <w:rsid w:val="000F7C6D"/>
    <w:rsid w:val="00100F9D"/>
    <w:rsid w:val="00101AAF"/>
    <w:rsid w:val="00102276"/>
    <w:rsid w:val="00102855"/>
    <w:rsid w:val="00104468"/>
    <w:rsid w:val="00105662"/>
    <w:rsid w:val="001056A0"/>
    <w:rsid w:val="0010573C"/>
    <w:rsid w:val="00106D9F"/>
    <w:rsid w:val="00107A03"/>
    <w:rsid w:val="0011341E"/>
    <w:rsid w:val="001134ED"/>
    <w:rsid w:val="00113D9B"/>
    <w:rsid w:val="00114723"/>
    <w:rsid w:val="00115279"/>
    <w:rsid w:val="0011586B"/>
    <w:rsid w:val="001160CE"/>
    <w:rsid w:val="0011612A"/>
    <w:rsid w:val="00117459"/>
    <w:rsid w:val="0011749A"/>
    <w:rsid w:val="001176AF"/>
    <w:rsid w:val="001225B8"/>
    <w:rsid w:val="001228EF"/>
    <w:rsid w:val="00122FED"/>
    <w:rsid w:val="0012340A"/>
    <w:rsid w:val="00123575"/>
    <w:rsid w:val="0012436E"/>
    <w:rsid w:val="00124603"/>
    <w:rsid w:val="00124B53"/>
    <w:rsid w:val="0012736A"/>
    <w:rsid w:val="00127A68"/>
    <w:rsid w:val="00127D64"/>
    <w:rsid w:val="00131C6E"/>
    <w:rsid w:val="00132038"/>
    <w:rsid w:val="00133D5B"/>
    <w:rsid w:val="001350AB"/>
    <w:rsid w:val="00135BB4"/>
    <w:rsid w:val="001363F9"/>
    <w:rsid w:val="00137DAE"/>
    <w:rsid w:val="001408E6"/>
    <w:rsid w:val="00140B13"/>
    <w:rsid w:val="00141B68"/>
    <w:rsid w:val="00141BF2"/>
    <w:rsid w:val="001423EC"/>
    <w:rsid w:val="001428D7"/>
    <w:rsid w:val="001430D0"/>
    <w:rsid w:val="001433D9"/>
    <w:rsid w:val="00143E87"/>
    <w:rsid w:val="00145173"/>
    <w:rsid w:val="00145FB3"/>
    <w:rsid w:val="001460B2"/>
    <w:rsid w:val="001466DA"/>
    <w:rsid w:val="00150CD3"/>
    <w:rsid w:val="00152D5C"/>
    <w:rsid w:val="0015367A"/>
    <w:rsid w:val="00153AD5"/>
    <w:rsid w:val="0015466E"/>
    <w:rsid w:val="001547B9"/>
    <w:rsid w:val="00154DE1"/>
    <w:rsid w:val="00155B38"/>
    <w:rsid w:val="00155B40"/>
    <w:rsid w:val="001571F5"/>
    <w:rsid w:val="00157323"/>
    <w:rsid w:val="00157435"/>
    <w:rsid w:val="001575B1"/>
    <w:rsid w:val="00160BEE"/>
    <w:rsid w:val="00163EEA"/>
    <w:rsid w:val="001647A6"/>
    <w:rsid w:val="0016682F"/>
    <w:rsid w:val="00166F4E"/>
    <w:rsid w:val="001675A9"/>
    <w:rsid w:val="00167951"/>
    <w:rsid w:val="00167A07"/>
    <w:rsid w:val="0017046A"/>
    <w:rsid w:val="001704A3"/>
    <w:rsid w:val="00170C5B"/>
    <w:rsid w:val="00171D16"/>
    <w:rsid w:val="00172347"/>
    <w:rsid w:val="0017287F"/>
    <w:rsid w:val="00174603"/>
    <w:rsid w:val="00174E61"/>
    <w:rsid w:val="0017504D"/>
    <w:rsid w:val="001753B6"/>
    <w:rsid w:val="0017544A"/>
    <w:rsid w:val="00175B48"/>
    <w:rsid w:val="001762CE"/>
    <w:rsid w:val="0017684D"/>
    <w:rsid w:val="00177422"/>
    <w:rsid w:val="00180122"/>
    <w:rsid w:val="00180908"/>
    <w:rsid w:val="001835FE"/>
    <w:rsid w:val="00184F10"/>
    <w:rsid w:val="0018530D"/>
    <w:rsid w:val="00185480"/>
    <w:rsid w:val="00185546"/>
    <w:rsid w:val="00185656"/>
    <w:rsid w:val="00185676"/>
    <w:rsid w:val="0018627B"/>
    <w:rsid w:val="0018656E"/>
    <w:rsid w:val="001872F6"/>
    <w:rsid w:val="0018748F"/>
    <w:rsid w:val="00190308"/>
    <w:rsid w:val="0019146B"/>
    <w:rsid w:val="00194398"/>
    <w:rsid w:val="0019445B"/>
    <w:rsid w:val="0019694B"/>
    <w:rsid w:val="001A02F6"/>
    <w:rsid w:val="001A1727"/>
    <w:rsid w:val="001A1909"/>
    <w:rsid w:val="001A22AF"/>
    <w:rsid w:val="001A6024"/>
    <w:rsid w:val="001A68B9"/>
    <w:rsid w:val="001A733D"/>
    <w:rsid w:val="001A7C39"/>
    <w:rsid w:val="001A7D2A"/>
    <w:rsid w:val="001A7E45"/>
    <w:rsid w:val="001B2063"/>
    <w:rsid w:val="001B424A"/>
    <w:rsid w:val="001B4405"/>
    <w:rsid w:val="001B4838"/>
    <w:rsid w:val="001B4BC3"/>
    <w:rsid w:val="001B574C"/>
    <w:rsid w:val="001B5BC4"/>
    <w:rsid w:val="001B5BEA"/>
    <w:rsid w:val="001B5EFB"/>
    <w:rsid w:val="001B6669"/>
    <w:rsid w:val="001B7DCF"/>
    <w:rsid w:val="001C0760"/>
    <w:rsid w:val="001C0AF9"/>
    <w:rsid w:val="001C0E36"/>
    <w:rsid w:val="001C155A"/>
    <w:rsid w:val="001C48C0"/>
    <w:rsid w:val="001C5385"/>
    <w:rsid w:val="001D0503"/>
    <w:rsid w:val="001D1720"/>
    <w:rsid w:val="001D1754"/>
    <w:rsid w:val="001D2CCD"/>
    <w:rsid w:val="001D6726"/>
    <w:rsid w:val="001D6DCD"/>
    <w:rsid w:val="001D71E6"/>
    <w:rsid w:val="001D7C98"/>
    <w:rsid w:val="001E071A"/>
    <w:rsid w:val="001E0E55"/>
    <w:rsid w:val="001E2E04"/>
    <w:rsid w:val="001E3897"/>
    <w:rsid w:val="001E4CC0"/>
    <w:rsid w:val="001E61EC"/>
    <w:rsid w:val="001E7517"/>
    <w:rsid w:val="001E768C"/>
    <w:rsid w:val="001F051E"/>
    <w:rsid w:val="001F12FB"/>
    <w:rsid w:val="001F17F8"/>
    <w:rsid w:val="001F2CA4"/>
    <w:rsid w:val="001F3347"/>
    <w:rsid w:val="001F3B99"/>
    <w:rsid w:val="001F42BA"/>
    <w:rsid w:val="001F4440"/>
    <w:rsid w:val="001F4958"/>
    <w:rsid w:val="001F50DA"/>
    <w:rsid w:val="001F6122"/>
    <w:rsid w:val="001F69E4"/>
    <w:rsid w:val="001F6EB5"/>
    <w:rsid w:val="001F795E"/>
    <w:rsid w:val="0020081C"/>
    <w:rsid w:val="00200950"/>
    <w:rsid w:val="00200D94"/>
    <w:rsid w:val="00200ED3"/>
    <w:rsid w:val="0020256B"/>
    <w:rsid w:val="002043EA"/>
    <w:rsid w:val="00205323"/>
    <w:rsid w:val="0020655C"/>
    <w:rsid w:val="002069DC"/>
    <w:rsid w:val="00206A65"/>
    <w:rsid w:val="00206EFC"/>
    <w:rsid w:val="0021012D"/>
    <w:rsid w:val="0021162A"/>
    <w:rsid w:val="00211C7D"/>
    <w:rsid w:val="00212D31"/>
    <w:rsid w:val="002130C7"/>
    <w:rsid w:val="00215A19"/>
    <w:rsid w:val="00217E9E"/>
    <w:rsid w:val="00217F9B"/>
    <w:rsid w:val="00220C18"/>
    <w:rsid w:val="002218A8"/>
    <w:rsid w:val="0022306D"/>
    <w:rsid w:val="002231F3"/>
    <w:rsid w:val="00224215"/>
    <w:rsid w:val="00224886"/>
    <w:rsid w:val="0022502B"/>
    <w:rsid w:val="00225839"/>
    <w:rsid w:val="00226092"/>
    <w:rsid w:val="00226574"/>
    <w:rsid w:val="002278EC"/>
    <w:rsid w:val="002309C7"/>
    <w:rsid w:val="00230A12"/>
    <w:rsid w:val="002317CF"/>
    <w:rsid w:val="00232273"/>
    <w:rsid w:val="0023243C"/>
    <w:rsid w:val="00233443"/>
    <w:rsid w:val="002337DF"/>
    <w:rsid w:val="0023444C"/>
    <w:rsid w:val="00235502"/>
    <w:rsid w:val="002357C7"/>
    <w:rsid w:val="002367C4"/>
    <w:rsid w:val="002368D5"/>
    <w:rsid w:val="00236AAD"/>
    <w:rsid w:val="00236EC8"/>
    <w:rsid w:val="002373AF"/>
    <w:rsid w:val="0024028C"/>
    <w:rsid w:val="00241213"/>
    <w:rsid w:val="00242B84"/>
    <w:rsid w:val="0024320B"/>
    <w:rsid w:val="00243CB1"/>
    <w:rsid w:val="002442A6"/>
    <w:rsid w:val="00244F3F"/>
    <w:rsid w:val="002471D0"/>
    <w:rsid w:val="00247F9B"/>
    <w:rsid w:val="00251D0F"/>
    <w:rsid w:val="00251F34"/>
    <w:rsid w:val="002540F1"/>
    <w:rsid w:val="0025485B"/>
    <w:rsid w:val="00255AB8"/>
    <w:rsid w:val="0025679E"/>
    <w:rsid w:val="002575B3"/>
    <w:rsid w:val="00260C68"/>
    <w:rsid w:val="00260EDB"/>
    <w:rsid w:val="00262528"/>
    <w:rsid w:val="002648B0"/>
    <w:rsid w:val="00265EB0"/>
    <w:rsid w:val="002676AC"/>
    <w:rsid w:val="00270860"/>
    <w:rsid w:val="00271CF8"/>
    <w:rsid w:val="00272E0F"/>
    <w:rsid w:val="00273D99"/>
    <w:rsid w:val="00274B56"/>
    <w:rsid w:val="00274C73"/>
    <w:rsid w:val="00274EC7"/>
    <w:rsid w:val="00275271"/>
    <w:rsid w:val="0027535E"/>
    <w:rsid w:val="00275AA6"/>
    <w:rsid w:val="00277535"/>
    <w:rsid w:val="002807D5"/>
    <w:rsid w:val="00280DB1"/>
    <w:rsid w:val="00281B0A"/>
    <w:rsid w:val="002828C7"/>
    <w:rsid w:val="00282CCD"/>
    <w:rsid w:val="00283E94"/>
    <w:rsid w:val="00286B53"/>
    <w:rsid w:val="002872D2"/>
    <w:rsid w:val="00287A37"/>
    <w:rsid w:val="0029015C"/>
    <w:rsid w:val="002927DC"/>
    <w:rsid w:val="00293295"/>
    <w:rsid w:val="002936F8"/>
    <w:rsid w:val="00293CF3"/>
    <w:rsid w:val="00293D96"/>
    <w:rsid w:val="00293EFE"/>
    <w:rsid w:val="00294C0A"/>
    <w:rsid w:val="0029578D"/>
    <w:rsid w:val="00295D46"/>
    <w:rsid w:val="002A168C"/>
    <w:rsid w:val="002A23EF"/>
    <w:rsid w:val="002A2C48"/>
    <w:rsid w:val="002A3EED"/>
    <w:rsid w:val="002A4A39"/>
    <w:rsid w:val="002A53A6"/>
    <w:rsid w:val="002A56F5"/>
    <w:rsid w:val="002A5A17"/>
    <w:rsid w:val="002A6425"/>
    <w:rsid w:val="002A6701"/>
    <w:rsid w:val="002A791D"/>
    <w:rsid w:val="002A7DE8"/>
    <w:rsid w:val="002B170F"/>
    <w:rsid w:val="002B23F5"/>
    <w:rsid w:val="002B2896"/>
    <w:rsid w:val="002B2D96"/>
    <w:rsid w:val="002B3060"/>
    <w:rsid w:val="002B4490"/>
    <w:rsid w:val="002B49E2"/>
    <w:rsid w:val="002B63FE"/>
    <w:rsid w:val="002B7B00"/>
    <w:rsid w:val="002B7C44"/>
    <w:rsid w:val="002B7EC3"/>
    <w:rsid w:val="002C1388"/>
    <w:rsid w:val="002C2587"/>
    <w:rsid w:val="002C2C54"/>
    <w:rsid w:val="002C2F94"/>
    <w:rsid w:val="002C3C6A"/>
    <w:rsid w:val="002C44A1"/>
    <w:rsid w:val="002C70F7"/>
    <w:rsid w:val="002C73A5"/>
    <w:rsid w:val="002D101C"/>
    <w:rsid w:val="002D228E"/>
    <w:rsid w:val="002D30A6"/>
    <w:rsid w:val="002D3304"/>
    <w:rsid w:val="002D42CF"/>
    <w:rsid w:val="002D42DB"/>
    <w:rsid w:val="002D436B"/>
    <w:rsid w:val="002D510C"/>
    <w:rsid w:val="002D55D1"/>
    <w:rsid w:val="002D5888"/>
    <w:rsid w:val="002D5D6B"/>
    <w:rsid w:val="002D6059"/>
    <w:rsid w:val="002D62B9"/>
    <w:rsid w:val="002D64FD"/>
    <w:rsid w:val="002D6893"/>
    <w:rsid w:val="002E073E"/>
    <w:rsid w:val="002E1072"/>
    <w:rsid w:val="002E13A7"/>
    <w:rsid w:val="002E1917"/>
    <w:rsid w:val="002E1F3A"/>
    <w:rsid w:val="002E2138"/>
    <w:rsid w:val="002E2557"/>
    <w:rsid w:val="002E298A"/>
    <w:rsid w:val="002E3212"/>
    <w:rsid w:val="002E37E1"/>
    <w:rsid w:val="002E4D07"/>
    <w:rsid w:val="002E5387"/>
    <w:rsid w:val="002E5E82"/>
    <w:rsid w:val="002E7021"/>
    <w:rsid w:val="002F02A4"/>
    <w:rsid w:val="002F1D72"/>
    <w:rsid w:val="002F2290"/>
    <w:rsid w:val="002F272B"/>
    <w:rsid w:val="002F380E"/>
    <w:rsid w:val="002F38FD"/>
    <w:rsid w:val="002F3A41"/>
    <w:rsid w:val="002F647B"/>
    <w:rsid w:val="002F6690"/>
    <w:rsid w:val="002F671C"/>
    <w:rsid w:val="002F79D8"/>
    <w:rsid w:val="002F7A2A"/>
    <w:rsid w:val="002F7C6D"/>
    <w:rsid w:val="002F7C7E"/>
    <w:rsid w:val="003006A1"/>
    <w:rsid w:val="00300C15"/>
    <w:rsid w:val="00301784"/>
    <w:rsid w:val="00301E05"/>
    <w:rsid w:val="0030228A"/>
    <w:rsid w:val="003027E4"/>
    <w:rsid w:val="00302ED4"/>
    <w:rsid w:val="0030332C"/>
    <w:rsid w:val="00305A5E"/>
    <w:rsid w:val="00305C8D"/>
    <w:rsid w:val="00306A61"/>
    <w:rsid w:val="00310A9C"/>
    <w:rsid w:val="00312296"/>
    <w:rsid w:val="0031340E"/>
    <w:rsid w:val="00313975"/>
    <w:rsid w:val="003144DD"/>
    <w:rsid w:val="00316464"/>
    <w:rsid w:val="00316C2A"/>
    <w:rsid w:val="00317559"/>
    <w:rsid w:val="0032073A"/>
    <w:rsid w:val="00320D66"/>
    <w:rsid w:val="00320FFF"/>
    <w:rsid w:val="00321D8E"/>
    <w:rsid w:val="00323469"/>
    <w:rsid w:val="00323808"/>
    <w:rsid w:val="00325256"/>
    <w:rsid w:val="003267A3"/>
    <w:rsid w:val="00326F29"/>
    <w:rsid w:val="003304E2"/>
    <w:rsid w:val="00331277"/>
    <w:rsid w:val="0033160A"/>
    <w:rsid w:val="00331AB9"/>
    <w:rsid w:val="00331FBC"/>
    <w:rsid w:val="00333C12"/>
    <w:rsid w:val="00334996"/>
    <w:rsid w:val="00336969"/>
    <w:rsid w:val="00336C52"/>
    <w:rsid w:val="0033717D"/>
    <w:rsid w:val="003377CA"/>
    <w:rsid w:val="00337DF4"/>
    <w:rsid w:val="00340501"/>
    <w:rsid w:val="003407F0"/>
    <w:rsid w:val="00341B3E"/>
    <w:rsid w:val="00341B42"/>
    <w:rsid w:val="0034361E"/>
    <w:rsid w:val="00345154"/>
    <w:rsid w:val="0034560E"/>
    <w:rsid w:val="0034633D"/>
    <w:rsid w:val="00346611"/>
    <w:rsid w:val="0034695C"/>
    <w:rsid w:val="00347635"/>
    <w:rsid w:val="00347853"/>
    <w:rsid w:val="003478CE"/>
    <w:rsid w:val="00350523"/>
    <w:rsid w:val="00350BDD"/>
    <w:rsid w:val="0035126C"/>
    <w:rsid w:val="00352070"/>
    <w:rsid w:val="003523BF"/>
    <w:rsid w:val="00352904"/>
    <w:rsid w:val="00352975"/>
    <w:rsid w:val="00354399"/>
    <w:rsid w:val="00356868"/>
    <w:rsid w:val="003576A0"/>
    <w:rsid w:val="00360413"/>
    <w:rsid w:val="0036485B"/>
    <w:rsid w:val="00365167"/>
    <w:rsid w:val="0036582B"/>
    <w:rsid w:val="00366B3E"/>
    <w:rsid w:val="00366BDA"/>
    <w:rsid w:val="003707C2"/>
    <w:rsid w:val="00370CEC"/>
    <w:rsid w:val="00370EDB"/>
    <w:rsid w:val="0037201C"/>
    <w:rsid w:val="0037290B"/>
    <w:rsid w:val="003735DA"/>
    <w:rsid w:val="00373B0D"/>
    <w:rsid w:val="00374D90"/>
    <w:rsid w:val="003758E5"/>
    <w:rsid w:val="00375F5E"/>
    <w:rsid w:val="00376623"/>
    <w:rsid w:val="00376988"/>
    <w:rsid w:val="00376AFC"/>
    <w:rsid w:val="00381A72"/>
    <w:rsid w:val="00382D6B"/>
    <w:rsid w:val="0038358E"/>
    <w:rsid w:val="00383EB6"/>
    <w:rsid w:val="0038414C"/>
    <w:rsid w:val="00384CB3"/>
    <w:rsid w:val="003858F0"/>
    <w:rsid w:val="00385E43"/>
    <w:rsid w:val="00386045"/>
    <w:rsid w:val="003910A8"/>
    <w:rsid w:val="003910B2"/>
    <w:rsid w:val="00391213"/>
    <w:rsid w:val="003919C6"/>
    <w:rsid w:val="00391F9D"/>
    <w:rsid w:val="003921DF"/>
    <w:rsid w:val="00392678"/>
    <w:rsid w:val="003932FD"/>
    <w:rsid w:val="00395423"/>
    <w:rsid w:val="00395836"/>
    <w:rsid w:val="0039604B"/>
    <w:rsid w:val="003962B3"/>
    <w:rsid w:val="0039676F"/>
    <w:rsid w:val="00397835"/>
    <w:rsid w:val="00397AF5"/>
    <w:rsid w:val="003A0157"/>
    <w:rsid w:val="003A0503"/>
    <w:rsid w:val="003A1831"/>
    <w:rsid w:val="003A1948"/>
    <w:rsid w:val="003A236F"/>
    <w:rsid w:val="003A2DA1"/>
    <w:rsid w:val="003A335C"/>
    <w:rsid w:val="003A351E"/>
    <w:rsid w:val="003A3A1D"/>
    <w:rsid w:val="003A7551"/>
    <w:rsid w:val="003B152A"/>
    <w:rsid w:val="003B3AC0"/>
    <w:rsid w:val="003B4A05"/>
    <w:rsid w:val="003B505A"/>
    <w:rsid w:val="003B545B"/>
    <w:rsid w:val="003B7532"/>
    <w:rsid w:val="003C03CF"/>
    <w:rsid w:val="003C2898"/>
    <w:rsid w:val="003C2AF6"/>
    <w:rsid w:val="003C32C8"/>
    <w:rsid w:val="003C4647"/>
    <w:rsid w:val="003C4A63"/>
    <w:rsid w:val="003C4C12"/>
    <w:rsid w:val="003C6449"/>
    <w:rsid w:val="003C6A70"/>
    <w:rsid w:val="003C75FB"/>
    <w:rsid w:val="003D0A10"/>
    <w:rsid w:val="003D3EE9"/>
    <w:rsid w:val="003D3F30"/>
    <w:rsid w:val="003D50D9"/>
    <w:rsid w:val="003D5A11"/>
    <w:rsid w:val="003D7367"/>
    <w:rsid w:val="003D7A3F"/>
    <w:rsid w:val="003E1B4F"/>
    <w:rsid w:val="003E2C82"/>
    <w:rsid w:val="003E32E3"/>
    <w:rsid w:val="003E3569"/>
    <w:rsid w:val="003E38E5"/>
    <w:rsid w:val="003E5346"/>
    <w:rsid w:val="003E5FB7"/>
    <w:rsid w:val="003E6326"/>
    <w:rsid w:val="003E7681"/>
    <w:rsid w:val="003E772D"/>
    <w:rsid w:val="003E7EB0"/>
    <w:rsid w:val="003F02C4"/>
    <w:rsid w:val="003F0809"/>
    <w:rsid w:val="003F1AF2"/>
    <w:rsid w:val="003F2992"/>
    <w:rsid w:val="003F2A09"/>
    <w:rsid w:val="003F38FB"/>
    <w:rsid w:val="003F4950"/>
    <w:rsid w:val="003F611C"/>
    <w:rsid w:val="003F6DE4"/>
    <w:rsid w:val="003F6F3E"/>
    <w:rsid w:val="003F7361"/>
    <w:rsid w:val="003F755C"/>
    <w:rsid w:val="003F790D"/>
    <w:rsid w:val="004001B1"/>
    <w:rsid w:val="004027D0"/>
    <w:rsid w:val="004027DC"/>
    <w:rsid w:val="0040292C"/>
    <w:rsid w:val="0040383E"/>
    <w:rsid w:val="00406F01"/>
    <w:rsid w:val="00407A61"/>
    <w:rsid w:val="0041012D"/>
    <w:rsid w:val="004104B1"/>
    <w:rsid w:val="00411B36"/>
    <w:rsid w:val="00412148"/>
    <w:rsid w:val="004121D7"/>
    <w:rsid w:val="00412236"/>
    <w:rsid w:val="0041284C"/>
    <w:rsid w:val="004128F9"/>
    <w:rsid w:val="004130EA"/>
    <w:rsid w:val="00414C47"/>
    <w:rsid w:val="0041509C"/>
    <w:rsid w:val="00415114"/>
    <w:rsid w:val="004156DD"/>
    <w:rsid w:val="004162E0"/>
    <w:rsid w:val="00416D50"/>
    <w:rsid w:val="00416E2C"/>
    <w:rsid w:val="00417002"/>
    <w:rsid w:val="00417772"/>
    <w:rsid w:val="004179F6"/>
    <w:rsid w:val="00417BA9"/>
    <w:rsid w:val="00420A4A"/>
    <w:rsid w:val="00420CA5"/>
    <w:rsid w:val="00420E6A"/>
    <w:rsid w:val="004212F2"/>
    <w:rsid w:val="0042330A"/>
    <w:rsid w:val="00425F87"/>
    <w:rsid w:val="00426A71"/>
    <w:rsid w:val="00426F8E"/>
    <w:rsid w:val="00433035"/>
    <w:rsid w:val="00433CA9"/>
    <w:rsid w:val="00434978"/>
    <w:rsid w:val="00434E3F"/>
    <w:rsid w:val="0043521D"/>
    <w:rsid w:val="00437211"/>
    <w:rsid w:val="004402FF"/>
    <w:rsid w:val="00440D64"/>
    <w:rsid w:val="00442024"/>
    <w:rsid w:val="0044254C"/>
    <w:rsid w:val="00442A88"/>
    <w:rsid w:val="004436A6"/>
    <w:rsid w:val="00443F6A"/>
    <w:rsid w:val="004451DC"/>
    <w:rsid w:val="004452A8"/>
    <w:rsid w:val="004453DC"/>
    <w:rsid w:val="00447FA2"/>
    <w:rsid w:val="00450232"/>
    <w:rsid w:val="00450A17"/>
    <w:rsid w:val="00451D4A"/>
    <w:rsid w:val="0045249D"/>
    <w:rsid w:val="00452911"/>
    <w:rsid w:val="00453647"/>
    <w:rsid w:val="00453B06"/>
    <w:rsid w:val="00453E41"/>
    <w:rsid w:val="00453F13"/>
    <w:rsid w:val="00454EB8"/>
    <w:rsid w:val="00455B1C"/>
    <w:rsid w:val="004560E1"/>
    <w:rsid w:val="00457428"/>
    <w:rsid w:val="00461279"/>
    <w:rsid w:val="004614E5"/>
    <w:rsid w:val="00462178"/>
    <w:rsid w:val="004628C7"/>
    <w:rsid w:val="0046383F"/>
    <w:rsid w:val="00463EC9"/>
    <w:rsid w:val="0046534B"/>
    <w:rsid w:val="00466321"/>
    <w:rsid w:val="004672AF"/>
    <w:rsid w:val="00467CAE"/>
    <w:rsid w:val="00470177"/>
    <w:rsid w:val="0047042D"/>
    <w:rsid w:val="00471E9C"/>
    <w:rsid w:val="00472774"/>
    <w:rsid w:val="004727B0"/>
    <w:rsid w:val="0047283C"/>
    <w:rsid w:val="004733C6"/>
    <w:rsid w:val="004753C6"/>
    <w:rsid w:val="0047623F"/>
    <w:rsid w:val="004766AF"/>
    <w:rsid w:val="004771FA"/>
    <w:rsid w:val="00480247"/>
    <w:rsid w:val="004807B4"/>
    <w:rsid w:val="004807D3"/>
    <w:rsid w:val="0048081D"/>
    <w:rsid w:val="0048117E"/>
    <w:rsid w:val="00482AD3"/>
    <w:rsid w:val="00484227"/>
    <w:rsid w:val="004849FC"/>
    <w:rsid w:val="004855F6"/>
    <w:rsid w:val="00486F0C"/>
    <w:rsid w:val="00487DB8"/>
    <w:rsid w:val="00490219"/>
    <w:rsid w:val="0049054B"/>
    <w:rsid w:val="00490D08"/>
    <w:rsid w:val="00491503"/>
    <w:rsid w:val="00491E96"/>
    <w:rsid w:val="0049418A"/>
    <w:rsid w:val="00494670"/>
    <w:rsid w:val="00497B6D"/>
    <w:rsid w:val="004A0A36"/>
    <w:rsid w:val="004A0EB4"/>
    <w:rsid w:val="004A22FC"/>
    <w:rsid w:val="004A2869"/>
    <w:rsid w:val="004A3823"/>
    <w:rsid w:val="004A4276"/>
    <w:rsid w:val="004A4DB2"/>
    <w:rsid w:val="004A540D"/>
    <w:rsid w:val="004A58F7"/>
    <w:rsid w:val="004A59BB"/>
    <w:rsid w:val="004A5AA8"/>
    <w:rsid w:val="004A622B"/>
    <w:rsid w:val="004A6A5A"/>
    <w:rsid w:val="004B0773"/>
    <w:rsid w:val="004B189C"/>
    <w:rsid w:val="004B1DF5"/>
    <w:rsid w:val="004B1E71"/>
    <w:rsid w:val="004B397B"/>
    <w:rsid w:val="004B416C"/>
    <w:rsid w:val="004B43A3"/>
    <w:rsid w:val="004B4C49"/>
    <w:rsid w:val="004B4DAF"/>
    <w:rsid w:val="004B58A5"/>
    <w:rsid w:val="004B63D9"/>
    <w:rsid w:val="004B689B"/>
    <w:rsid w:val="004B7687"/>
    <w:rsid w:val="004B7F45"/>
    <w:rsid w:val="004C0882"/>
    <w:rsid w:val="004C0EF7"/>
    <w:rsid w:val="004C1DC0"/>
    <w:rsid w:val="004C302C"/>
    <w:rsid w:val="004C45E4"/>
    <w:rsid w:val="004C55BE"/>
    <w:rsid w:val="004C68BB"/>
    <w:rsid w:val="004C6B44"/>
    <w:rsid w:val="004C7094"/>
    <w:rsid w:val="004C7BD9"/>
    <w:rsid w:val="004D2B4B"/>
    <w:rsid w:val="004D3B5D"/>
    <w:rsid w:val="004D5C6B"/>
    <w:rsid w:val="004D5D93"/>
    <w:rsid w:val="004D7A23"/>
    <w:rsid w:val="004E02C2"/>
    <w:rsid w:val="004E1668"/>
    <w:rsid w:val="004E172E"/>
    <w:rsid w:val="004E221B"/>
    <w:rsid w:val="004E24D9"/>
    <w:rsid w:val="004E28A2"/>
    <w:rsid w:val="004E334E"/>
    <w:rsid w:val="004E4715"/>
    <w:rsid w:val="004E47AF"/>
    <w:rsid w:val="004E5B30"/>
    <w:rsid w:val="004E63E3"/>
    <w:rsid w:val="004E68BD"/>
    <w:rsid w:val="004E6C0D"/>
    <w:rsid w:val="004E7EDE"/>
    <w:rsid w:val="004F0779"/>
    <w:rsid w:val="004F0BA0"/>
    <w:rsid w:val="004F0C2A"/>
    <w:rsid w:val="004F0D6C"/>
    <w:rsid w:val="004F1230"/>
    <w:rsid w:val="004F1335"/>
    <w:rsid w:val="004F173F"/>
    <w:rsid w:val="004F177C"/>
    <w:rsid w:val="004F1F55"/>
    <w:rsid w:val="004F1FFD"/>
    <w:rsid w:val="004F22F4"/>
    <w:rsid w:val="004F2589"/>
    <w:rsid w:val="004F2DCE"/>
    <w:rsid w:val="004F2F8B"/>
    <w:rsid w:val="004F4832"/>
    <w:rsid w:val="004F5438"/>
    <w:rsid w:val="004F6A07"/>
    <w:rsid w:val="004F78C9"/>
    <w:rsid w:val="004F7A35"/>
    <w:rsid w:val="005005EB"/>
    <w:rsid w:val="00500F19"/>
    <w:rsid w:val="0050194E"/>
    <w:rsid w:val="00502E4D"/>
    <w:rsid w:val="00503143"/>
    <w:rsid w:val="005039CB"/>
    <w:rsid w:val="0050558F"/>
    <w:rsid w:val="005057E0"/>
    <w:rsid w:val="00505E3A"/>
    <w:rsid w:val="0050620E"/>
    <w:rsid w:val="00506286"/>
    <w:rsid w:val="005069D6"/>
    <w:rsid w:val="00507022"/>
    <w:rsid w:val="005071A9"/>
    <w:rsid w:val="00510813"/>
    <w:rsid w:val="0051097F"/>
    <w:rsid w:val="00511A52"/>
    <w:rsid w:val="00511DE0"/>
    <w:rsid w:val="00511F53"/>
    <w:rsid w:val="00512663"/>
    <w:rsid w:val="0051268C"/>
    <w:rsid w:val="005134EE"/>
    <w:rsid w:val="00513FA6"/>
    <w:rsid w:val="005149D1"/>
    <w:rsid w:val="00515C6A"/>
    <w:rsid w:val="00517D53"/>
    <w:rsid w:val="00517F02"/>
    <w:rsid w:val="00520959"/>
    <w:rsid w:val="005211CC"/>
    <w:rsid w:val="0052197B"/>
    <w:rsid w:val="0052217F"/>
    <w:rsid w:val="0052236D"/>
    <w:rsid w:val="00522AE8"/>
    <w:rsid w:val="005233F1"/>
    <w:rsid w:val="00523B2D"/>
    <w:rsid w:val="00523F4D"/>
    <w:rsid w:val="00523F87"/>
    <w:rsid w:val="005240E0"/>
    <w:rsid w:val="00524547"/>
    <w:rsid w:val="00524F07"/>
    <w:rsid w:val="00525038"/>
    <w:rsid w:val="005258A2"/>
    <w:rsid w:val="00525CFD"/>
    <w:rsid w:val="0053080B"/>
    <w:rsid w:val="00530E40"/>
    <w:rsid w:val="00530F7C"/>
    <w:rsid w:val="00531144"/>
    <w:rsid w:val="00531647"/>
    <w:rsid w:val="005322A4"/>
    <w:rsid w:val="00532564"/>
    <w:rsid w:val="00533C15"/>
    <w:rsid w:val="0053427E"/>
    <w:rsid w:val="00534567"/>
    <w:rsid w:val="00534F43"/>
    <w:rsid w:val="005352BB"/>
    <w:rsid w:val="005359F2"/>
    <w:rsid w:val="00535A84"/>
    <w:rsid w:val="0053601E"/>
    <w:rsid w:val="00536889"/>
    <w:rsid w:val="005416C8"/>
    <w:rsid w:val="00542E07"/>
    <w:rsid w:val="005433A1"/>
    <w:rsid w:val="0054353E"/>
    <w:rsid w:val="00543D0B"/>
    <w:rsid w:val="005448F8"/>
    <w:rsid w:val="00545DE0"/>
    <w:rsid w:val="0055097A"/>
    <w:rsid w:val="00551B22"/>
    <w:rsid w:val="00551CBE"/>
    <w:rsid w:val="005522AA"/>
    <w:rsid w:val="00552477"/>
    <w:rsid w:val="0055343C"/>
    <w:rsid w:val="00554914"/>
    <w:rsid w:val="00554A7B"/>
    <w:rsid w:val="005554FE"/>
    <w:rsid w:val="0055572C"/>
    <w:rsid w:val="0055587E"/>
    <w:rsid w:val="00555B2D"/>
    <w:rsid w:val="00557BFA"/>
    <w:rsid w:val="0056064F"/>
    <w:rsid w:val="00560AF4"/>
    <w:rsid w:val="00560B74"/>
    <w:rsid w:val="00561B84"/>
    <w:rsid w:val="005622DE"/>
    <w:rsid w:val="00562561"/>
    <w:rsid w:val="005639B2"/>
    <w:rsid w:val="00563CFC"/>
    <w:rsid w:val="00564CAB"/>
    <w:rsid w:val="005656AF"/>
    <w:rsid w:val="00566022"/>
    <w:rsid w:val="00571BDE"/>
    <w:rsid w:val="00571D98"/>
    <w:rsid w:val="005720AE"/>
    <w:rsid w:val="00572F2B"/>
    <w:rsid w:val="0057359E"/>
    <w:rsid w:val="005738D2"/>
    <w:rsid w:val="00573E32"/>
    <w:rsid w:val="00574DA0"/>
    <w:rsid w:val="005754E7"/>
    <w:rsid w:val="005773DA"/>
    <w:rsid w:val="0058030D"/>
    <w:rsid w:val="005803BB"/>
    <w:rsid w:val="00582045"/>
    <w:rsid w:val="0058246F"/>
    <w:rsid w:val="00583348"/>
    <w:rsid w:val="00584B56"/>
    <w:rsid w:val="00584CF2"/>
    <w:rsid w:val="0058642C"/>
    <w:rsid w:val="00586EE7"/>
    <w:rsid w:val="00587739"/>
    <w:rsid w:val="0059021A"/>
    <w:rsid w:val="00590AE3"/>
    <w:rsid w:val="0059122C"/>
    <w:rsid w:val="005913C4"/>
    <w:rsid w:val="005918F1"/>
    <w:rsid w:val="0059195B"/>
    <w:rsid w:val="00592493"/>
    <w:rsid w:val="00593C52"/>
    <w:rsid w:val="005947FB"/>
    <w:rsid w:val="00594B07"/>
    <w:rsid w:val="00594C85"/>
    <w:rsid w:val="00595262"/>
    <w:rsid w:val="0059562B"/>
    <w:rsid w:val="00596A74"/>
    <w:rsid w:val="0059766D"/>
    <w:rsid w:val="005A06B7"/>
    <w:rsid w:val="005A0CD7"/>
    <w:rsid w:val="005A1759"/>
    <w:rsid w:val="005A1F11"/>
    <w:rsid w:val="005A1F7A"/>
    <w:rsid w:val="005A2160"/>
    <w:rsid w:val="005A39C6"/>
    <w:rsid w:val="005A4914"/>
    <w:rsid w:val="005A53D2"/>
    <w:rsid w:val="005A66B2"/>
    <w:rsid w:val="005A7C75"/>
    <w:rsid w:val="005B239E"/>
    <w:rsid w:val="005B24D1"/>
    <w:rsid w:val="005B2C9C"/>
    <w:rsid w:val="005B41BA"/>
    <w:rsid w:val="005B4759"/>
    <w:rsid w:val="005B50AE"/>
    <w:rsid w:val="005B52C8"/>
    <w:rsid w:val="005B67C4"/>
    <w:rsid w:val="005B79E2"/>
    <w:rsid w:val="005B7A4B"/>
    <w:rsid w:val="005C0332"/>
    <w:rsid w:val="005C0650"/>
    <w:rsid w:val="005C1D66"/>
    <w:rsid w:val="005C22D6"/>
    <w:rsid w:val="005C255B"/>
    <w:rsid w:val="005C4014"/>
    <w:rsid w:val="005C44F8"/>
    <w:rsid w:val="005C4B82"/>
    <w:rsid w:val="005C4EEA"/>
    <w:rsid w:val="005C68D4"/>
    <w:rsid w:val="005D0369"/>
    <w:rsid w:val="005D0D9C"/>
    <w:rsid w:val="005D0E2D"/>
    <w:rsid w:val="005D12F6"/>
    <w:rsid w:val="005D2C90"/>
    <w:rsid w:val="005D309E"/>
    <w:rsid w:val="005D53FE"/>
    <w:rsid w:val="005D70E4"/>
    <w:rsid w:val="005D7350"/>
    <w:rsid w:val="005D7A0F"/>
    <w:rsid w:val="005E0028"/>
    <w:rsid w:val="005E0438"/>
    <w:rsid w:val="005E1791"/>
    <w:rsid w:val="005E2787"/>
    <w:rsid w:val="005E2CE6"/>
    <w:rsid w:val="005E386D"/>
    <w:rsid w:val="005E4036"/>
    <w:rsid w:val="005E4E61"/>
    <w:rsid w:val="005E5749"/>
    <w:rsid w:val="005E5D5F"/>
    <w:rsid w:val="005E6324"/>
    <w:rsid w:val="005E6A82"/>
    <w:rsid w:val="005E71A8"/>
    <w:rsid w:val="005E7489"/>
    <w:rsid w:val="005E7A4F"/>
    <w:rsid w:val="005F0218"/>
    <w:rsid w:val="005F0310"/>
    <w:rsid w:val="005F1423"/>
    <w:rsid w:val="005F228B"/>
    <w:rsid w:val="005F29CD"/>
    <w:rsid w:val="005F2C80"/>
    <w:rsid w:val="005F327B"/>
    <w:rsid w:val="005F400D"/>
    <w:rsid w:val="005F47E2"/>
    <w:rsid w:val="005F4DFB"/>
    <w:rsid w:val="005F5F68"/>
    <w:rsid w:val="005F6CC0"/>
    <w:rsid w:val="005F76B8"/>
    <w:rsid w:val="006003E0"/>
    <w:rsid w:val="006008E5"/>
    <w:rsid w:val="00601D2F"/>
    <w:rsid w:val="00602A92"/>
    <w:rsid w:val="006038E6"/>
    <w:rsid w:val="00603E5B"/>
    <w:rsid w:val="00604BC8"/>
    <w:rsid w:val="00606E38"/>
    <w:rsid w:val="0061014C"/>
    <w:rsid w:val="00610E8D"/>
    <w:rsid w:val="006113DC"/>
    <w:rsid w:val="00611B18"/>
    <w:rsid w:val="00615AF1"/>
    <w:rsid w:val="00615B4C"/>
    <w:rsid w:val="00615B5D"/>
    <w:rsid w:val="00615C39"/>
    <w:rsid w:val="006167BC"/>
    <w:rsid w:val="00617907"/>
    <w:rsid w:val="00620185"/>
    <w:rsid w:val="00620324"/>
    <w:rsid w:val="0062146F"/>
    <w:rsid w:val="00621AB9"/>
    <w:rsid w:val="00622600"/>
    <w:rsid w:val="00622C2A"/>
    <w:rsid w:val="006235C1"/>
    <w:rsid w:val="00624956"/>
    <w:rsid w:val="00625840"/>
    <w:rsid w:val="00626503"/>
    <w:rsid w:val="006267BD"/>
    <w:rsid w:val="006275AE"/>
    <w:rsid w:val="00632FCF"/>
    <w:rsid w:val="0063327B"/>
    <w:rsid w:val="006343AF"/>
    <w:rsid w:val="006348ED"/>
    <w:rsid w:val="00634BDD"/>
    <w:rsid w:val="00635F21"/>
    <w:rsid w:val="0063634A"/>
    <w:rsid w:val="0063638D"/>
    <w:rsid w:val="0063660A"/>
    <w:rsid w:val="00636E5A"/>
    <w:rsid w:val="0063761F"/>
    <w:rsid w:val="006401A4"/>
    <w:rsid w:val="00640E4C"/>
    <w:rsid w:val="006413FC"/>
    <w:rsid w:val="0064250D"/>
    <w:rsid w:val="0064364F"/>
    <w:rsid w:val="00644F72"/>
    <w:rsid w:val="00645919"/>
    <w:rsid w:val="00645FA6"/>
    <w:rsid w:val="00650697"/>
    <w:rsid w:val="00650FC8"/>
    <w:rsid w:val="006511F8"/>
    <w:rsid w:val="0065227F"/>
    <w:rsid w:val="00652CD9"/>
    <w:rsid w:val="006535EB"/>
    <w:rsid w:val="00654526"/>
    <w:rsid w:val="006545A4"/>
    <w:rsid w:val="006572A1"/>
    <w:rsid w:val="00657909"/>
    <w:rsid w:val="00660370"/>
    <w:rsid w:val="00660524"/>
    <w:rsid w:val="006607B8"/>
    <w:rsid w:val="006607DE"/>
    <w:rsid w:val="00660C56"/>
    <w:rsid w:val="006613D5"/>
    <w:rsid w:val="00663016"/>
    <w:rsid w:val="006638FB"/>
    <w:rsid w:val="006652C6"/>
    <w:rsid w:val="006669D9"/>
    <w:rsid w:val="006705D7"/>
    <w:rsid w:val="00670D61"/>
    <w:rsid w:val="00672CF5"/>
    <w:rsid w:val="00673B74"/>
    <w:rsid w:val="00674605"/>
    <w:rsid w:val="006748B8"/>
    <w:rsid w:val="00674987"/>
    <w:rsid w:val="00675748"/>
    <w:rsid w:val="00675D3E"/>
    <w:rsid w:val="00676799"/>
    <w:rsid w:val="006778F9"/>
    <w:rsid w:val="00677FB7"/>
    <w:rsid w:val="006806C0"/>
    <w:rsid w:val="00682486"/>
    <w:rsid w:val="00682CEF"/>
    <w:rsid w:val="00684889"/>
    <w:rsid w:val="0068535B"/>
    <w:rsid w:val="00685A2D"/>
    <w:rsid w:val="00686BBA"/>
    <w:rsid w:val="0068736E"/>
    <w:rsid w:val="006877E5"/>
    <w:rsid w:val="00691A15"/>
    <w:rsid w:val="0069290A"/>
    <w:rsid w:val="00693C27"/>
    <w:rsid w:val="006949F5"/>
    <w:rsid w:val="00694B27"/>
    <w:rsid w:val="00695F72"/>
    <w:rsid w:val="006967C0"/>
    <w:rsid w:val="00697032"/>
    <w:rsid w:val="006975AC"/>
    <w:rsid w:val="006A079D"/>
    <w:rsid w:val="006A1594"/>
    <w:rsid w:val="006A15FB"/>
    <w:rsid w:val="006A1DCE"/>
    <w:rsid w:val="006A3A80"/>
    <w:rsid w:val="006A44FA"/>
    <w:rsid w:val="006A72BF"/>
    <w:rsid w:val="006A7EC7"/>
    <w:rsid w:val="006B05A7"/>
    <w:rsid w:val="006B2043"/>
    <w:rsid w:val="006B2CFF"/>
    <w:rsid w:val="006B332A"/>
    <w:rsid w:val="006B33BD"/>
    <w:rsid w:val="006B4065"/>
    <w:rsid w:val="006B55F0"/>
    <w:rsid w:val="006B67C7"/>
    <w:rsid w:val="006B7CA8"/>
    <w:rsid w:val="006C0B1A"/>
    <w:rsid w:val="006C1230"/>
    <w:rsid w:val="006C371C"/>
    <w:rsid w:val="006C3F75"/>
    <w:rsid w:val="006C6087"/>
    <w:rsid w:val="006D162D"/>
    <w:rsid w:val="006D170E"/>
    <w:rsid w:val="006D2875"/>
    <w:rsid w:val="006D2BDD"/>
    <w:rsid w:val="006D2CD2"/>
    <w:rsid w:val="006D3052"/>
    <w:rsid w:val="006D31B0"/>
    <w:rsid w:val="006D399F"/>
    <w:rsid w:val="006D530B"/>
    <w:rsid w:val="006D5E9C"/>
    <w:rsid w:val="006D71EC"/>
    <w:rsid w:val="006E06AF"/>
    <w:rsid w:val="006E07C9"/>
    <w:rsid w:val="006E0F0E"/>
    <w:rsid w:val="006E1423"/>
    <w:rsid w:val="006E2030"/>
    <w:rsid w:val="006E234A"/>
    <w:rsid w:val="006E23BA"/>
    <w:rsid w:val="006E2ABC"/>
    <w:rsid w:val="006E325B"/>
    <w:rsid w:val="006E32F7"/>
    <w:rsid w:val="006E41A6"/>
    <w:rsid w:val="006E4684"/>
    <w:rsid w:val="006E5D68"/>
    <w:rsid w:val="006F0061"/>
    <w:rsid w:val="006F0136"/>
    <w:rsid w:val="006F05C1"/>
    <w:rsid w:val="006F1789"/>
    <w:rsid w:val="006F1871"/>
    <w:rsid w:val="006F1B70"/>
    <w:rsid w:val="006F1E35"/>
    <w:rsid w:val="006F2F29"/>
    <w:rsid w:val="006F3075"/>
    <w:rsid w:val="006F37B0"/>
    <w:rsid w:val="006F47A9"/>
    <w:rsid w:val="006F53EB"/>
    <w:rsid w:val="006F5781"/>
    <w:rsid w:val="006F579F"/>
    <w:rsid w:val="00700062"/>
    <w:rsid w:val="00701A21"/>
    <w:rsid w:val="007028F6"/>
    <w:rsid w:val="007029C2"/>
    <w:rsid w:val="0070564E"/>
    <w:rsid w:val="00706397"/>
    <w:rsid w:val="007066EB"/>
    <w:rsid w:val="00706C5D"/>
    <w:rsid w:val="00706E90"/>
    <w:rsid w:val="0071153E"/>
    <w:rsid w:val="007118E6"/>
    <w:rsid w:val="00711A3B"/>
    <w:rsid w:val="007123B9"/>
    <w:rsid w:val="007127C3"/>
    <w:rsid w:val="00714670"/>
    <w:rsid w:val="00714F02"/>
    <w:rsid w:val="00715350"/>
    <w:rsid w:val="00715404"/>
    <w:rsid w:val="007163A3"/>
    <w:rsid w:val="007201B1"/>
    <w:rsid w:val="007204BF"/>
    <w:rsid w:val="00720770"/>
    <w:rsid w:val="00720874"/>
    <w:rsid w:val="007225C9"/>
    <w:rsid w:val="00722B95"/>
    <w:rsid w:val="007230A1"/>
    <w:rsid w:val="00724A76"/>
    <w:rsid w:val="007259A4"/>
    <w:rsid w:val="007263E9"/>
    <w:rsid w:val="007271E8"/>
    <w:rsid w:val="00730292"/>
    <w:rsid w:val="00731051"/>
    <w:rsid w:val="007314D7"/>
    <w:rsid w:val="007327FE"/>
    <w:rsid w:val="0073282D"/>
    <w:rsid w:val="007331C6"/>
    <w:rsid w:val="00733432"/>
    <w:rsid w:val="00733470"/>
    <w:rsid w:val="00735CD7"/>
    <w:rsid w:val="00735ED8"/>
    <w:rsid w:val="00737CFE"/>
    <w:rsid w:val="00740532"/>
    <w:rsid w:val="00743D84"/>
    <w:rsid w:val="00745574"/>
    <w:rsid w:val="00745FA4"/>
    <w:rsid w:val="0074640E"/>
    <w:rsid w:val="0074672E"/>
    <w:rsid w:val="00746B2A"/>
    <w:rsid w:val="00746C8D"/>
    <w:rsid w:val="0074710E"/>
    <w:rsid w:val="00750C3E"/>
    <w:rsid w:val="00751421"/>
    <w:rsid w:val="00752082"/>
    <w:rsid w:val="00752AAD"/>
    <w:rsid w:val="00754034"/>
    <w:rsid w:val="00754BF1"/>
    <w:rsid w:val="0075586E"/>
    <w:rsid w:val="00755A30"/>
    <w:rsid w:val="00755A5A"/>
    <w:rsid w:val="00755E1C"/>
    <w:rsid w:val="00755F70"/>
    <w:rsid w:val="00756556"/>
    <w:rsid w:val="0075733B"/>
    <w:rsid w:val="00757BDE"/>
    <w:rsid w:val="00757CBB"/>
    <w:rsid w:val="0076132B"/>
    <w:rsid w:val="00761968"/>
    <w:rsid w:val="00761D66"/>
    <w:rsid w:val="007623AE"/>
    <w:rsid w:val="00763EA4"/>
    <w:rsid w:val="0076490F"/>
    <w:rsid w:val="00764B3E"/>
    <w:rsid w:val="00764FCE"/>
    <w:rsid w:val="00766022"/>
    <w:rsid w:val="00766A95"/>
    <w:rsid w:val="00766C11"/>
    <w:rsid w:val="00767D4E"/>
    <w:rsid w:val="0077070C"/>
    <w:rsid w:val="00770B19"/>
    <w:rsid w:val="00771254"/>
    <w:rsid w:val="0077204E"/>
    <w:rsid w:val="0077259B"/>
    <w:rsid w:val="00774AB5"/>
    <w:rsid w:val="00774F8A"/>
    <w:rsid w:val="00774FA0"/>
    <w:rsid w:val="00776620"/>
    <w:rsid w:val="00776CAA"/>
    <w:rsid w:val="00777A3A"/>
    <w:rsid w:val="00777B6D"/>
    <w:rsid w:val="00777C8E"/>
    <w:rsid w:val="00777F5D"/>
    <w:rsid w:val="0078038D"/>
    <w:rsid w:val="00780960"/>
    <w:rsid w:val="00782178"/>
    <w:rsid w:val="007821DE"/>
    <w:rsid w:val="00783D44"/>
    <w:rsid w:val="00783DAE"/>
    <w:rsid w:val="00783E16"/>
    <w:rsid w:val="00784855"/>
    <w:rsid w:val="00784F39"/>
    <w:rsid w:val="0078545C"/>
    <w:rsid w:val="00785EE8"/>
    <w:rsid w:val="00787F1C"/>
    <w:rsid w:val="00787F57"/>
    <w:rsid w:val="007906C4"/>
    <w:rsid w:val="00790A01"/>
    <w:rsid w:val="007912D2"/>
    <w:rsid w:val="00791AF6"/>
    <w:rsid w:val="00791F60"/>
    <w:rsid w:val="00792B26"/>
    <w:rsid w:val="00794090"/>
    <w:rsid w:val="007940EA"/>
    <w:rsid w:val="00794745"/>
    <w:rsid w:val="00794EA2"/>
    <w:rsid w:val="007951C4"/>
    <w:rsid w:val="007967E8"/>
    <w:rsid w:val="007979D7"/>
    <w:rsid w:val="00797A80"/>
    <w:rsid w:val="007A0125"/>
    <w:rsid w:val="007A0871"/>
    <w:rsid w:val="007A09C6"/>
    <w:rsid w:val="007A1C80"/>
    <w:rsid w:val="007A268D"/>
    <w:rsid w:val="007A27CF"/>
    <w:rsid w:val="007A3526"/>
    <w:rsid w:val="007A63F2"/>
    <w:rsid w:val="007A6507"/>
    <w:rsid w:val="007A68D4"/>
    <w:rsid w:val="007A6D96"/>
    <w:rsid w:val="007A7377"/>
    <w:rsid w:val="007B0067"/>
    <w:rsid w:val="007B3A99"/>
    <w:rsid w:val="007B4332"/>
    <w:rsid w:val="007B445A"/>
    <w:rsid w:val="007B521C"/>
    <w:rsid w:val="007B68DE"/>
    <w:rsid w:val="007B7EEE"/>
    <w:rsid w:val="007C0A4C"/>
    <w:rsid w:val="007C1857"/>
    <w:rsid w:val="007C2C3F"/>
    <w:rsid w:val="007C32ED"/>
    <w:rsid w:val="007C3CD9"/>
    <w:rsid w:val="007C514F"/>
    <w:rsid w:val="007C601E"/>
    <w:rsid w:val="007C6133"/>
    <w:rsid w:val="007C738C"/>
    <w:rsid w:val="007C7838"/>
    <w:rsid w:val="007C79DD"/>
    <w:rsid w:val="007D007B"/>
    <w:rsid w:val="007D0459"/>
    <w:rsid w:val="007D0F95"/>
    <w:rsid w:val="007D2070"/>
    <w:rsid w:val="007D2997"/>
    <w:rsid w:val="007D3770"/>
    <w:rsid w:val="007D43D1"/>
    <w:rsid w:val="007D655F"/>
    <w:rsid w:val="007D658A"/>
    <w:rsid w:val="007D68E4"/>
    <w:rsid w:val="007D6BD6"/>
    <w:rsid w:val="007D70D3"/>
    <w:rsid w:val="007D7ECB"/>
    <w:rsid w:val="007E1E4D"/>
    <w:rsid w:val="007E25A1"/>
    <w:rsid w:val="007E334E"/>
    <w:rsid w:val="007E3B1A"/>
    <w:rsid w:val="007E4BD2"/>
    <w:rsid w:val="007E506B"/>
    <w:rsid w:val="007E618B"/>
    <w:rsid w:val="007E6E2F"/>
    <w:rsid w:val="007E7145"/>
    <w:rsid w:val="007E7B85"/>
    <w:rsid w:val="007F055C"/>
    <w:rsid w:val="007F0743"/>
    <w:rsid w:val="007F0A2A"/>
    <w:rsid w:val="007F2434"/>
    <w:rsid w:val="007F293C"/>
    <w:rsid w:val="007F3916"/>
    <w:rsid w:val="007F51F8"/>
    <w:rsid w:val="00801179"/>
    <w:rsid w:val="008019DD"/>
    <w:rsid w:val="00801EBA"/>
    <w:rsid w:val="00802479"/>
    <w:rsid w:val="008037DA"/>
    <w:rsid w:val="00804D87"/>
    <w:rsid w:val="00805372"/>
    <w:rsid w:val="00805B7B"/>
    <w:rsid w:val="0081094C"/>
    <w:rsid w:val="0081121D"/>
    <w:rsid w:val="00811252"/>
    <w:rsid w:val="0081293E"/>
    <w:rsid w:val="00812BC4"/>
    <w:rsid w:val="00813E74"/>
    <w:rsid w:val="00814C5F"/>
    <w:rsid w:val="00814FFB"/>
    <w:rsid w:val="0081517A"/>
    <w:rsid w:val="0081662B"/>
    <w:rsid w:val="00820466"/>
    <w:rsid w:val="00820568"/>
    <w:rsid w:val="00820AF0"/>
    <w:rsid w:val="00820E66"/>
    <w:rsid w:val="00820E89"/>
    <w:rsid w:val="00820EFB"/>
    <w:rsid w:val="00821048"/>
    <w:rsid w:val="00821DDC"/>
    <w:rsid w:val="00823EB5"/>
    <w:rsid w:val="00827BD9"/>
    <w:rsid w:val="008313CC"/>
    <w:rsid w:val="00831A80"/>
    <w:rsid w:val="0083284E"/>
    <w:rsid w:val="008332C8"/>
    <w:rsid w:val="00833743"/>
    <w:rsid w:val="008339E9"/>
    <w:rsid w:val="00833D71"/>
    <w:rsid w:val="008340A4"/>
    <w:rsid w:val="00834322"/>
    <w:rsid w:val="008360E8"/>
    <w:rsid w:val="008364E3"/>
    <w:rsid w:val="00836799"/>
    <w:rsid w:val="00836D2F"/>
    <w:rsid w:val="00837028"/>
    <w:rsid w:val="00837131"/>
    <w:rsid w:val="00837476"/>
    <w:rsid w:val="008401CB"/>
    <w:rsid w:val="00840FB2"/>
    <w:rsid w:val="008437EA"/>
    <w:rsid w:val="00844385"/>
    <w:rsid w:val="008445BD"/>
    <w:rsid w:val="00845F57"/>
    <w:rsid w:val="00846CC1"/>
    <w:rsid w:val="00846E3D"/>
    <w:rsid w:val="0084727C"/>
    <w:rsid w:val="00847662"/>
    <w:rsid w:val="0084766E"/>
    <w:rsid w:val="00847FD6"/>
    <w:rsid w:val="008504EB"/>
    <w:rsid w:val="008517D0"/>
    <w:rsid w:val="00851844"/>
    <w:rsid w:val="008521E0"/>
    <w:rsid w:val="008522E2"/>
    <w:rsid w:val="008525B0"/>
    <w:rsid w:val="008539A3"/>
    <w:rsid w:val="008541D0"/>
    <w:rsid w:val="00854461"/>
    <w:rsid w:val="008557C5"/>
    <w:rsid w:val="00856E4E"/>
    <w:rsid w:val="0086187C"/>
    <w:rsid w:val="00861EF5"/>
    <w:rsid w:val="00863F7C"/>
    <w:rsid w:val="00864760"/>
    <w:rsid w:val="00866F44"/>
    <w:rsid w:val="00867CBC"/>
    <w:rsid w:val="008701BC"/>
    <w:rsid w:val="00870A41"/>
    <w:rsid w:val="00872265"/>
    <w:rsid w:val="00872848"/>
    <w:rsid w:val="00872ACE"/>
    <w:rsid w:val="008730B7"/>
    <w:rsid w:val="0087485D"/>
    <w:rsid w:val="00875AF7"/>
    <w:rsid w:val="00876C30"/>
    <w:rsid w:val="00877017"/>
    <w:rsid w:val="00877162"/>
    <w:rsid w:val="008773C0"/>
    <w:rsid w:val="00880294"/>
    <w:rsid w:val="00880364"/>
    <w:rsid w:val="00881617"/>
    <w:rsid w:val="008819F0"/>
    <w:rsid w:val="00881D42"/>
    <w:rsid w:val="008823EB"/>
    <w:rsid w:val="008829C5"/>
    <w:rsid w:val="00885DFA"/>
    <w:rsid w:val="008862BD"/>
    <w:rsid w:val="00886A47"/>
    <w:rsid w:val="00886AE1"/>
    <w:rsid w:val="00886C4C"/>
    <w:rsid w:val="0088711C"/>
    <w:rsid w:val="00887C72"/>
    <w:rsid w:val="00887D98"/>
    <w:rsid w:val="008916D6"/>
    <w:rsid w:val="00892144"/>
    <w:rsid w:val="00892CA4"/>
    <w:rsid w:val="00892ECF"/>
    <w:rsid w:val="00892F06"/>
    <w:rsid w:val="008930A1"/>
    <w:rsid w:val="00894285"/>
    <w:rsid w:val="00895309"/>
    <w:rsid w:val="008959F6"/>
    <w:rsid w:val="00895EFC"/>
    <w:rsid w:val="008972A8"/>
    <w:rsid w:val="008976A2"/>
    <w:rsid w:val="008A0238"/>
    <w:rsid w:val="008A2F8E"/>
    <w:rsid w:val="008A3BC9"/>
    <w:rsid w:val="008A3C25"/>
    <w:rsid w:val="008A40AE"/>
    <w:rsid w:val="008A4DF8"/>
    <w:rsid w:val="008A4E19"/>
    <w:rsid w:val="008A551D"/>
    <w:rsid w:val="008A67C5"/>
    <w:rsid w:val="008A7159"/>
    <w:rsid w:val="008A7CF0"/>
    <w:rsid w:val="008B0A6F"/>
    <w:rsid w:val="008B1831"/>
    <w:rsid w:val="008B21D7"/>
    <w:rsid w:val="008B22E1"/>
    <w:rsid w:val="008B2F33"/>
    <w:rsid w:val="008B3C78"/>
    <w:rsid w:val="008B4AE9"/>
    <w:rsid w:val="008B4BC0"/>
    <w:rsid w:val="008B6447"/>
    <w:rsid w:val="008B667B"/>
    <w:rsid w:val="008B7C74"/>
    <w:rsid w:val="008C0CEB"/>
    <w:rsid w:val="008C1805"/>
    <w:rsid w:val="008C248E"/>
    <w:rsid w:val="008C27C1"/>
    <w:rsid w:val="008C2C37"/>
    <w:rsid w:val="008C2DAC"/>
    <w:rsid w:val="008C30AD"/>
    <w:rsid w:val="008C3720"/>
    <w:rsid w:val="008C6656"/>
    <w:rsid w:val="008C76E9"/>
    <w:rsid w:val="008C792B"/>
    <w:rsid w:val="008C7EE2"/>
    <w:rsid w:val="008D068E"/>
    <w:rsid w:val="008D0F7A"/>
    <w:rsid w:val="008D163E"/>
    <w:rsid w:val="008D2D48"/>
    <w:rsid w:val="008D329E"/>
    <w:rsid w:val="008D38CF"/>
    <w:rsid w:val="008D4FCD"/>
    <w:rsid w:val="008D63BE"/>
    <w:rsid w:val="008D776A"/>
    <w:rsid w:val="008D7B31"/>
    <w:rsid w:val="008E0419"/>
    <w:rsid w:val="008E0CFF"/>
    <w:rsid w:val="008E154F"/>
    <w:rsid w:val="008E259F"/>
    <w:rsid w:val="008E27AD"/>
    <w:rsid w:val="008E2A38"/>
    <w:rsid w:val="008E4206"/>
    <w:rsid w:val="008E47B1"/>
    <w:rsid w:val="008E5CE6"/>
    <w:rsid w:val="008E5D6B"/>
    <w:rsid w:val="008E6119"/>
    <w:rsid w:val="008E67A1"/>
    <w:rsid w:val="008E689B"/>
    <w:rsid w:val="008E690E"/>
    <w:rsid w:val="008E76F0"/>
    <w:rsid w:val="008E7E84"/>
    <w:rsid w:val="008F073E"/>
    <w:rsid w:val="008F0E36"/>
    <w:rsid w:val="008F15FE"/>
    <w:rsid w:val="008F1DB9"/>
    <w:rsid w:val="008F2048"/>
    <w:rsid w:val="008F2A94"/>
    <w:rsid w:val="008F2C8E"/>
    <w:rsid w:val="008F2CA4"/>
    <w:rsid w:val="008F3C42"/>
    <w:rsid w:val="008F422D"/>
    <w:rsid w:val="008F49EF"/>
    <w:rsid w:val="008F4B7B"/>
    <w:rsid w:val="008F5187"/>
    <w:rsid w:val="008F54B3"/>
    <w:rsid w:val="008F576B"/>
    <w:rsid w:val="008F5B18"/>
    <w:rsid w:val="008F5D89"/>
    <w:rsid w:val="008F709C"/>
    <w:rsid w:val="008F71CB"/>
    <w:rsid w:val="009016C2"/>
    <w:rsid w:val="0090312B"/>
    <w:rsid w:val="00904551"/>
    <w:rsid w:val="00904961"/>
    <w:rsid w:val="00906070"/>
    <w:rsid w:val="00906693"/>
    <w:rsid w:val="00906AC8"/>
    <w:rsid w:val="00910A87"/>
    <w:rsid w:val="00911E73"/>
    <w:rsid w:val="009140A8"/>
    <w:rsid w:val="009147DE"/>
    <w:rsid w:val="00914ABF"/>
    <w:rsid w:val="009150A4"/>
    <w:rsid w:val="00916481"/>
    <w:rsid w:val="00917056"/>
    <w:rsid w:val="0091736D"/>
    <w:rsid w:val="00917E4A"/>
    <w:rsid w:val="009206DA"/>
    <w:rsid w:val="00921189"/>
    <w:rsid w:val="00921EE0"/>
    <w:rsid w:val="0092257B"/>
    <w:rsid w:val="009238DA"/>
    <w:rsid w:val="009309DB"/>
    <w:rsid w:val="00930F5D"/>
    <w:rsid w:val="00931001"/>
    <w:rsid w:val="00931863"/>
    <w:rsid w:val="0093216D"/>
    <w:rsid w:val="009330D6"/>
    <w:rsid w:val="00933524"/>
    <w:rsid w:val="0093444E"/>
    <w:rsid w:val="00934AF3"/>
    <w:rsid w:val="00934F07"/>
    <w:rsid w:val="00934F46"/>
    <w:rsid w:val="00935AAC"/>
    <w:rsid w:val="0093632A"/>
    <w:rsid w:val="00936864"/>
    <w:rsid w:val="00937BF7"/>
    <w:rsid w:val="00940C30"/>
    <w:rsid w:val="0094177F"/>
    <w:rsid w:val="0094216E"/>
    <w:rsid w:val="0094278D"/>
    <w:rsid w:val="009441D0"/>
    <w:rsid w:val="00945157"/>
    <w:rsid w:val="009464C5"/>
    <w:rsid w:val="00947AF3"/>
    <w:rsid w:val="00947E8F"/>
    <w:rsid w:val="00950BF1"/>
    <w:rsid w:val="00950ED7"/>
    <w:rsid w:val="00951EDA"/>
    <w:rsid w:val="0095212D"/>
    <w:rsid w:val="00952256"/>
    <w:rsid w:val="0095274D"/>
    <w:rsid w:val="0095308A"/>
    <w:rsid w:val="009557C9"/>
    <w:rsid w:val="00955AEE"/>
    <w:rsid w:val="00955EC6"/>
    <w:rsid w:val="00955FFB"/>
    <w:rsid w:val="00956BF0"/>
    <w:rsid w:val="00956F14"/>
    <w:rsid w:val="00956F8D"/>
    <w:rsid w:val="009573A2"/>
    <w:rsid w:val="00957858"/>
    <w:rsid w:val="00957B7B"/>
    <w:rsid w:val="00960F75"/>
    <w:rsid w:val="009619BA"/>
    <w:rsid w:val="009620FD"/>
    <w:rsid w:val="0096233C"/>
    <w:rsid w:val="0096247A"/>
    <w:rsid w:val="0096286D"/>
    <w:rsid w:val="00963A49"/>
    <w:rsid w:val="00964006"/>
    <w:rsid w:val="009645B8"/>
    <w:rsid w:val="00965F4B"/>
    <w:rsid w:val="00966CE9"/>
    <w:rsid w:val="00967314"/>
    <w:rsid w:val="009675B1"/>
    <w:rsid w:val="00970BCD"/>
    <w:rsid w:val="00970F8A"/>
    <w:rsid w:val="00971467"/>
    <w:rsid w:val="00971662"/>
    <w:rsid w:val="00971FB5"/>
    <w:rsid w:val="00972AA0"/>
    <w:rsid w:val="00972D2A"/>
    <w:rsid w:val="00972E8F"/>
    <w:rsid w:val="0097471A"/>
    <w:rsid w:val="009757EB"/>
    <w:rsid w:val="00975CC5"/>
    <w:rsid w:val="00976328"/>
    <w:rsid w:val="00976B4E"/>
    <w:rsid w:val="009778A1"/>
    <w:rsid w:val="00983E3C"/>
    <w:rsid w:val="00984458"/>
    <w:rsid w:val="00985283"/>
    <w:rsid w:val="00986A81"/>
    <w:rsid w:val="00987322"/>
    <w:rsid w:val="0098791F"/>
    <w:rsid w:val="00987924"/>
    <w:rsid w:val="00987C26"/>
    <w:rsid w:val="009904F9"/>
    <w:rsid w:val="009916B6"/>
    <w:rsid w:val="00991FDB"/>
    <w:rsid w:val="0099208D"/>
    <w:rsid w:val="00992475"/>
    <w:rsid w:val="00993927"/>
    <w:rsid w:val="00994C3B"/>
    <w:rsid w:val="00996815"/>
    <w:rsid w:val="0099688B"/>
    <w:rsid w:val="009977B4"/>
    <w:rsid w:val="009A010A"/>
    <w:rsid w:val="009A0F3B"/>
    <w:rsid w:val="009A10E9"/>
    <w:rsid w:val="009A1C04"/>
    <w:rsid w:val="009A3EAF"/>
    <w:rsid w:val="009A41F7"/>
    <w:rsid w:val="009A467E"/>
    <w:rsid w:val="009A4B1F"/>
    <w:rsid w:val="009A4E22"/>
    <w:rsid w:val="009A515B"/>
    <w:rsid w:val="009A6735"/>
    <w:rsid w:val="009A6D22"/>
    <w:rsid w:val="009A72C7"/>
    <w:rsid w:val="009B0897"/>
    <w:rsid w:val="009B1765"/>
    <w:rsid w:val="009B47D5"/>
    <w:rsid w:val="009C116A"/>
    <w:rsid w:val="009C2130"/>
    <w:rsid w:val="009C3451"/>
    <w:rsid w:val="009C5839"/>
    <w:rsid w:val="009C72ED"/>
    <w:rsid w:val="009D061F"/>
    <w:rsid w:val="009D0852"/>
    <w:rsid w:val="009D0887"/>
    <w:rsid w:val="009D0B8A"/>
    <w:rsid w:val="009D1A7E"/>
    <w:rsid w:val="009D1DC5"/>
    <w:rsid w:val="009D1FBF"/>
    <w:rsid w:val="009D226C"/>
    <w:rsid w:val="009D33DC"/>
    <w:rsid w:val="009E025E"/>
    <w:rsid w:val="009E0410"/>
    <w:rsid w:val="009E054E"/>
    <w:rsid w:val="009E0A56"/>
    <w:rsid w:val="009E2E51"/>
    <w:rsid w:val="009E399C"/>
    <w:rsid w:val="009E3A71"/>
    <w:rsid w:val="009E3D6E"/>
    <w:rsid w:val="009E43C1"/>
    <w:rsid w:val="009E44C2"/>
    <w:rsid w:val="009E4D65"/>
    <w:rsid w:val="009E5C12"/>
    <w:rsid w:val="009E73CA"/>
    <w:rsid w:val="009E7620"/>
    <w:rsid w:val="009E7842"/>
    <w:rsid w:val="009E7889"/>
    <w:rsid w:val="009E7B95"/>
    <w:rsid w:val="009E7E95"/>
    <w:rsid w:val="009F0E9B"/>
    <w:rsid w:val="009F116F"/>
    <w:rsid w:val="009F12FA"/>
    <w:rsid w:val="009F1D03"/>
    <w:rsid w:val="009F25DA"/>
    <w:rsid w:val="009F291A"/>
    <w:rsid w:val="009F329E"/>
    <w:rsid w:val="009F3D37"/>
    <w:rsid w:val="009F4373"/>
    <w:rsid w:val="009F52C5"/>
    <w:rsid w:val="009F5FAF"/>
    <w:rsid w:val="009F63D0"/>
    <w:rsid w:val="009F6488"/>
    <w:rsid w:val="009F755D"/>
    <w:rsid w:val="009F7A6F"/>
    <w:rsid w:val="009F7ED3"/>
    <w:rsid w:val="00A00D82"/>
    <w:rsid w:val="00A03607"/>
    <w:rsid w:val="00A03A51"/>
    <w:rsid w:val="00A047FF"/>
    <w:rsid w:val="00A04FEF"/>
    <w:rsid w:val="00A0505B"/>
    <w:rsid w:val="00A053BE"/>
    <w:rsid w:val="00A05950"/>
    <w:rsid w:val="00A05E37"/>
    <w:rsid w:val="00A10D1F"/>
    <w:rsid w:val="00A1191F"/>
    <w:rsid w:val="00A122CD"/>
    <w:rsid w:val="00A12A32"/>
    <w:rsid w:val="00A12FB3"/>
    <w:rsid w:val="00A14248"/>
    <w:rsid w:val="00A14947"/>
    <w:rsid w:val="00A166FD"/>
    <w:rsid w:val="00A1724B"/>
    <w:rsid w:val="00A17ED5"/>
    <w:rsid w:val="00A202BE"/>
    <w:rsid w:val="00A21848"/>
    <w:rsid w:val="00A23DC5"/>
    <w:rsid w:val="00A24FBB"/>
    <w:rsid w:val="00A25746"/>
    <w:rsid w:val="00A25D8D"/>
    <w:rsid w:val="00A26D57"/>
    <w:rsid w:val="00A303AE"/>
    <w:rsid w:val="00A307F3"/>
    <w:rsid w:val="00A30DD4"/>
    <w:rsid w:val="00A325A4"/>
    <w:rsid w:val="00A34028"/>
    <w:rsid w:val="00A340B9"/>
    <w:rsid w:val="00A343D1"/>
    <w:rsid w:val="00A35568"/>
    <w:rsid w:val="00A355C8"/>
    <w:rsid w:val="00A360A3"/>
    <w:rsid w:val="00A36631"/>
    <w:rsid w:val="00A36D0C"/>
    <w:rsid w:val="00A37056"/>
    <w:rsid w:val="00A37A90"/>
    <w:rsid w:val="00A37E8D"/>
    <w:rsid w:val="00A40962"/>
    <w:rsid w:val="00A41771"/>
    <w:rsid w:val="00A42B6D"/>
    <w:rsid w:val="00A43089"/>
    <w:rsid w:val="00A434E9"/>
    <w:rsid w:val="00A4358F"/>
    <w:rsid w:val="00A443FE"/>
    <w:rsid w:val="00A446EA"/>
    <w:rsid w:val="00A45364"/>
    <w:rsid w:val="00A45E89"/>
    <w:rsid w:val="00A4688D"/>
    <w:rsid w:val="00A46F67"/>
    <w:rsid w:val="00A515DD"/>
    <w:rsid w:val="00A51603"/>
    <w:rsid w:val="00A52578"/>
    <w:rsid w:val="00A52ECF"/>
    <w:rsid w:val="00A5334C"/>
    <w:rsid w:val="00A54AA1"/>
    <w:rsid w:val="00A568FF"/>
    <w:rsid w:val="00A57DCB"/>
    <w:rsid w:val="00A6069F"/>
    <w:rsid w:val="00A60A87"/>
    <w:rsid w:val="00A61366"/>
    <w:rsid w:val="00A61496"/>
    <w:rsid w:val="00A61833"/>
    <w:rsid w:val="00A62095"/>
    <w:rsid w:val="00A624C6"/>
    <w:rsid w:val="00A62540"/>
    <w:rsid w:val="00A626C7"/>
    <w:rsid w:val="00A62986"/>
    <w:rsid w:val="00A638C8"/>
    <w:rsid w:val="00A63CEC"/>
    <w:rsid w:val="00A64E36"/>
    <w:rsid w:val="00A66D44"/>
    <w:rsid w:val="00A66EEC"/>
    <w:rsid w:val="00A679AD"/>
    <w:rsid w:val="00A702E6"/>
    <w:rsid w:val="00A7031E"/>
    <w:rsid w:val="00A70435"/>
    <w:rsid w:val="00A70EBD"/>
    <w:rsid w:val="00A720A8"/>
    <w:rsid w:val="00A728B1"/>
    <w:rsid w:val="00A72FDC"/>
    <w:rsid w:val="00A73B8C"/>
    <w:rsid w:val="00A74365"/>
    <w:rsid w:val="00A7512A"/>
    <w:rsid w:val="00A75147"/>
    <w:rsid w:val="00A763DE"/>
    <w:rsid w:val="00A772FE"/>
    <w:rsid w:val="00A77521"/>
    <w:rsid w:val="00A802F0"/>
    <w:rsid w:val="00A803D6"/>
    <w:rsid w:val="00A81282"/>
    <w:rsid w:val="00A8157A"/>
    <w:rsid w:val="00A81CBF"/>
    <w:rsid w:val="00A8441E"/>
    <w:rsid w:val="00A85AC4"/>
    <w:rsid w:val="00A8713F"/>
    <w:rsid w:val="00A87936"/>
    <w:rsid w:val="00A903A4"/>
    <w:rsid w:val="00A90489"/>
    <w:rsid w:val="00A908FA"/>
    <w:rsid w:val="00A91167"/>
    <w:rsid w:val="00A9171C"/>
    <w:rsid w:val="00A92FFD"/>
    <w:rsid w:val="00A93B5E"/>
    <w:rsid w:val="00A93C4B"/>
    <w:rsid w:val="00A952DD"/>
    <w:rsid w:val="00A957C0"/>
    <w:rsid w:val="00A95975"/>
    <w:rsid w:val="00A96174"/>
    <w:rsid w:val="00A97041"/>
    <w:rsid w:val="00A9708D"/>
    <w:rsid w:val="00AA2C17"/>
    <w:rsid w:val="00AA34D5"/>
    <w:rsid w:val="00AA4172"/>
    <w:rsid w:val="00AA4DEC"/>
    <w:rsid w:val="00AA4E72"/>
    <w:rsid w:val="00AA5B9B"/>
    <w:rsid w:val="00AA75A3"/>
    <w:rsid w:val="00AB01E3"/>
    <w:rsid w:val="00AB0DB7"/>
    <w:rsid w:val="00AB1135"/>
    <w:rsid w:val="00AB1914"/>
    <w:rsid w:val="00AB25B4"/>
    <w:rsid w:val="00AB2608"/>
    <w:rsid w:val="00AB26D9"/>
    <w:rsid w:val="00AB3391"/>
    <w:rsid w:val="00AB3F02"/>
    <w:rsid w:val="00AB5330"/>
    <w:rsid w:val="00AB5624"/>
    <w:rsid w:val="00AB6384"/>
    <w:rsid w:val="00AB6DBC"/>
    <w:rsid w:val="00AB7747"/>
    <w:rsid w:val="00AC0675"/>
    <w:rsid w:val="00AC2532"/>
    <w:rsid w:val="00AC5DC4"/>
    <w:rsid w:val="00AC5E2F"/>
    <w:rsid w:val="00AC7419"/>
    <w:rsid w:val="00AC77AF"/>
    <w:rsid w:val="00AD0D87"/>
    <w:rsid w:val="00AD1507"/>
    <w:rsid w:val="00AD1A16"/>
    <w:rsid w:val="00AD46AB"/>
    <w:rsid w:val="00AD51B5"/>
    <w:rsid w:val="00AD5513"/>
    <w:rsid w:val="00AD555C"/>
    <w:rsid w:val="00AD5A70"/>
    <w:rsid w:val="00AD61B3"/>
    <w:rsid w:val="00AD6482"/>
    <w:rsid w:val="00AD661D"/>
    <w:rsid w:val="00AD738B"/>
    <w:rsid w:val="00AE062F"/>
    <w:rsid w:val="00AE0D22"/>
    <w:rsid w:val="00AE1BF4"/>
    <w:rsid w:val="00AE1E04"/>
    <w:rsid w:val="00AE2DFF"/>
    <w:rsid w:val="00AE49FB"/>
    <w:rsid w:val="00AE5D97"/>
    <w:rsid w:val="00AE6794"/>
    <w:rsid w:val="00AE683C"/>
    <w:rsid w:val="00AE7ED9"/>
    <w:rsid w:val="00AF00C2"/>
    <w:rsid w:val="00AF028C"/>
    <w:rsid w:val="00AF05CA"/>
    <w:rsid w:val="00AF1241"/>
    <w:rsid w:val="00AF19EA"/>
    <w:rsid w:val="00AF3077"/>
    <w:rsid w:val="00AF362D"/>
    <w:rsid w:val="00AF3F9E"/>
    <w:rsid w:val="00AF4807"/>
    <w:rsid w:val="00AF4B08"/>
    <w:rsid w:val="00AF4FD8"/>
    <w:rsid w:val="00AF5D16"/>
    <w:rsid w:val="00AF5DEC"/>
    <w:rsid w:val="00AF6D81"/>
    <w:rsid w:val="00B0016D"/>
    <w:rsid w:val="00B00B78"/>
    <w:rsid w:val="00B01110"/>
    <w:rsid w:val="00B0144D"/>
    <w:rsid w:val="00B02262"/>
    <w:rsid w:val="00B03CEC"/>
    <w:rsid w:val="00B06B7D"/>
    <w:rsid w:val="00B0755F"/>
    <w:rsid w:val="00B1209F"/>
    <w:rsid w:val="00B120B4"/>
    <w:rsid w:val="00B12AD0"/>
    <w:rsid w:val="00B14020"/>
    <w:rsid w:val="00B14529"/>
    <w:rsid w:val="00B1474C"/>
    <w:rsid w:val="00B17737"/>
    <w:rsid w:val="00B177FC"/>
    <w:rsid w:val="00B17B9E"/>
    <w:rsid w:val="00B20E01"/>
    <w:rsid w:val="00B21029"/>
    <w:rsid w:val="00B216B5"/>
    <w:rsid w:val="00B21D1E"/>
    <w:rsid w:val="00B2212F"/>
    <w:rsid w:val="00B23311"/>
    <w:rsid w:val="00B24F30"/>
    <w:rsid w:val="00B24F8B"/>
    <w:rsid w:val="00B25992"/>
    <w:rsid w:val="00B261E6"/>
    <w:rsid w:val="00B27344"/>
    <w:rsid w:val="00B27CD1"/>
    <w:rsid w:val="00B312C7"/>
    <w:rsid w:val="00B312CE"/>
    <w:rsid w:val="00B3130A"/>
    <w:rsid w:val="00B316EC"/>
    <w:rsid w:val="00B31ABF"/>
    <w:rsid w:val="00B328A1"/>
    <w:rsid w:val="00B331BA"/>
    <w:rsid w:val="00B335AE"/>
    <w:rsid w:val="00B338FD"/>
    <w:rsid w:val="00B34680"/>
    <w:rsid w:val="00B34949"/>
    <w:rsid w:val="00B34BD6"/>
    <w:rsid w:val="00B34EE8"/>
    <w:rsid w:val="00B351BC"/>
    <w:rsid w:val="00B35C82"/>
    <w:rsid w:val="00B36779"/>
    <w:rsid w:val="00B37CE1"/>
    <w:rsid w:val="00B40A34"/>
    <w:rsid w:val="00B40ACF"/>
    <w:rsid w:val="00B41D46"/>
    <w:rsid w:val="00B423B1"/>
    <w:rsid w:val="00B423F2"/>
    <w:rsid w:val="00B43C53"/>
    <w:rsid w:val="00B4477B"/>
    <w:rsid w:val="00B448B2"/>
    <w:rsid w:val="00B469FA"/>
    <w:rsid w:val="00B46BAA"/>
    <w:rsid w:val="00B47395"/>
    <w:rsid w:val="00B47542"/>
    <w:rsid w:val="00B47CA2"/>
    <w:rsid w:val="00B503CA"/>
    <w:rsid w:val="00B50B5F"/>
    <w:rsid w:val="00B52657"/>
    <w:rsid w:val="00B54128"/>
    <w:rsid w:val="00B55826"/>
    <w:rsid w:val="00B55DFC"/>
    <w:rsid w:val="00B5645F"/>
    <w:rsid w:val="00B56A9B"/>
    <w:rsid w:val="00B5717A"/>
    <w:rsid w:val="00B5740D"/>
    <w:rsid w:val="00B57ABC"/>
    <w:rsid w:val="00B57B7D"/>
    <w:rsid w:val="00B57E19"/>
    <w:rsid w:val="00B60426"/>
    <w:rsid w:val="00B613BE"/>
    <w:rsid w:val="00B616A5"/>
    <w:rsid w:val="00B61923"/>
    <w:rsid w:val="00B61EAD"/>
    <w:rsid w:val="00B62248"/>
    <w:rsid w:val="00B622DD"/>
    <w:rsid w:val="00B63522"/>
    <w:rsid w:val="00B64DD0"/>
    <w:rsid w:val="00B67007"/>
    <w:rsid w:val="00B67177"/>
    <w:rsid w:val="00B70005"/>
    <w:rsid w:val="00B7050A"/>
    <w:rsid w:val="00B72565"/>
    <w:rsid w:val="00B72FAB"/>
    <w:rsid w:val="00B73555"/>
    <w:rsid w:val="00B745A5"/>
    <w:rsid w:val="00B755E8"/>
    <w:rsid w:val="00B75BE0"/>
    <w:rsid w:val="00B762D5"/>
    <w:rsid w:val="00B76F1D"/>
    <w:rsid w:val="00B772EF"/>
    <w:rsid w:val="00B777FA"/>
    <w:rsid w:val="00B77D45"/>
    <w:rsid w:val="00B80522"/>
    <w:rsid w:val="00B816B3"/>
    <w:rsid w:val="00B81B91"/>
    <w:rsid w:val="00B83AB8"/>
    <w:rsid w:val="00B83D27"/>
    <w:rsid w:val="00B83E4A"/>
    <w:rsid w:val="00B84DDD"/>
    <w:rsid w:val="00B84F55"/>
    <w:rsid w:val="00B85A39"/>
    <w:rsid w:val="00B85AAC"/>
    <w:rsid w:val="00B8641D"/>
    <w:rsid w:val="00B86B38"/>
    <w:rsid w:val="00B90792"/>
    <w:rsid w:val="00B91869"/>
    <w:rsid w:val="00B91E60"/>
    <w:rsid w:val="00B92A19"/>
    <w:rsid w:val="00B9458D"/>
    <w:rsid w:val="00B9544C"/>
    <w:rsid w:val="00B956FA"/>
    <w:rsid w:val="00B96EF2"/>
    <w:rsid w:val="00B976D1"/>
    <w:rsid w:val="00B97BAA"/>
    <w:rsid w:val="00BA0054"/>
    <w:rsid w:val="00BA0843"/>
    <w:rsid w:val="00BA09ED"/>
    <w:rsid w:val="00BA1076"/>
    <w:rsid w:val="00BA1D26"/>
    <w:rsid w:val="00BA29E9"/>
    <w:rsid w:val="00BA2FD2"/>
    <w:rsid w:val="00BA30D6"/>
    <w:rsid w:val="00BA51B5"/>
    <w:rsid w:val="00BA5495"/>
    <w:rsid w:val="00BA6DA3"/>
    <w:rsid w:val="00BA762D"/>
    <w:rsid w:val="00BA7BAB"/>
    <w:rsid w:val="00BA7CDB"/>
    <w:rsid w:val="00BB1E56"/>
    <w:rsid w:val="00BB1E88"/>
    <w:rsid w:val="00BB2759"/>
    <w:rsid w:val="00BB2F10"/>
    <w:rsid w:val="00BB34DD"/>
    <w:rsid w:val="00BB3618"/>
    <w:rsid w:val="00BB4CA2"/>
    <w:rsid w:val="00BB5AEB"/>
    <w:rsid w:val="00BB6915"/>
    <w:rsid w:val="00BB71AB"/>
    <w:rsid w:val="00BC084A"/>
    <w:rsid w:val="00BC0C9E"/>
    <w:rsid w:val="00BC19D1"/>
    <w:rsid w:val="00BC2AFE"/>
    <w:rsid w:val="00BC30FC"/>
    <w:rsid w:val="00BC32DC"/>
    <w:rsid w:val="00BC69F8"/>
    <w:rsid w:val="00BC7A70"/>
    <w:rsid w:val="00BD0880"/>
    <w:rsid w:val="00BD0E11"/>
    <w:rsid w:val="00BD132E"/>
    <w:rsid w:val="00BD1B51"/>
    <w:rsid w:val="00BD204F"/>
    <w:rsid w:val="00BD2EB4"/>
    <w:rsid w:val="00BD2FE7"/>
    <w:rsid w:val="00BD317C"/>
    <w:rsid w:val="00BD34A7"/>
    <w:rsid w:val="00BD3DA3"/>
    <w:rsid w:val="00BD47F6"/>
    <w:rsid w:val="00BD57FA"/>
    <w:rsid w:val="00BD58D2"/>
    <w:rsid w:val="00BD61EE"/>
    <w:rsid w:val="00BD7F48"/>
    <w:rsid w:val="00BE1A41"/>
    <w:rsid w:val="00BE1A99"/>
    <w:rsid w:val="00BE1D18"/>
    <w:rsid w:val="00BE1D91"/>
    <w:rsid w:val="00BE227D"/>
    <w:rsid w:val="00BE2328"/>
    <w:rsid w:val="00BE312D"/>
    <w:rsid w:val="00BE396A"/>
    <w:rsid w:val="00BE3FCA"/>
    <w:rsid w:val="00BE7168"/>
    <w:rsid w:val="00BF0EA2"/>
    <w:rsid w:val="00BF1270"/>
    <w:rsid w:val="00BF3958"/>
    <w:rsid w:val="00BF3966"/>
    <w:rsid w:val="00BF3A31"/>
    <w:rsid w:val="00BF43F8"/>
    <w:rsid w:val="00BF44A7"/>
    <w:rsid w:val="00BF6561"/>
    <w:rsid w:val="00BF7512"/>
    <w:rsid w:val="00C0160E"/>
    <w:rsid w:val="00C01E2B"/>
    <w:rsid w:val="00C02AC9"/>
    <w:rsid w:val="00C02EF0"/>
    <w:rsid w:val="00C0315B"/>
    <w:rsid w:val="00C03836"/>
    <w:rsid w:val="00C04FE5"/>
    <w:rsid w:val="00C051A9"/>
    <w:rsid w:val="00C05719"/>
    <w:rsid w:val="00C066C0"/>
    <w:rsid w:val="00C06F16"/>
    <w:rsid w:val="00C078EB"/>
    <w:rsid w:val="00C10578"/>
    <w:rsid w:val="00C10A28"/>
    <w:rsid w:val="00C10AFD"/>
    <w:rsid w:val="00C11AEB"/>
    <w:rsid w:val="00C11B40"/>
    <w:rsid w:val="00C135E5"/>
    <w:rsid w:val="00C1709B"/>
    <w:rsid w:val="00C1735C"/>
    <w:rsid w:val="00C17D62"/>
    <w:rsid w:val="00C20F98"/>
    <w:rsid w:val="00C21455"/>
    <w:rsid w:val="00C21FDC"/>
    <w:rsid w:val="00C2352C"/>
    <w:rsid w:val="00C23CE4"/>
    <w:rsid w:val="00C24932"/>
    <w:rsid w:val="00C24EE7"/>
    <w:rsid w:val="00C24FE4"/>
    <w:rsid w:val="00C250C3"/>
    <w:rsid w:val="00C25249"/>
    <w:rsid w:val="00C25666"/>
    <w:rsid w:val="00C2596A"/>
    <w:rsid w:val="00C26DCF"/>
    <w:rsid w:val="00C26E19"/>
    <w:rsid w:val="00C2710F"/>
    <w:rsid w:val="00C271BE"/>
    <w:rsid w:val="00C27425"/>
    <w:rsid w:val="00C30931"/>
    <w:rsid w:val="00C315C6"/>
    <w:rsid w:val="00C328FE"/>
    <w:rsid w:val="00C32E44"/>
    <w:rsid w:val="00C33A05"/>
    <w:rsid w:val="00C33EC0"/>
    <w:rsid w:val="00C35489"/>
    <w:rsid w:val="00C356AA"/>
    <w:rsid w:val="00C359E9"/>
    <w:rsid w:val="00C401F4"/>
    <w:rsid w:val="00C41770"/>
    <w:rsid w:val="00C41AD8"/>
    <w:rsid w:val="00C42448"/>
    <w:rsid w:val="00C42500"/>
    <w:rsid w:val="00C42726"/>
    <w:rsid w:val="00C42F3B"/>
    <w:rsid w:val="00C437A9"/>
    <w:rsid w:val="00C4409D"/>
    <w:rsid w:val="00C4491B"/>
    <w:rsid w:val="00C44C5D"/>
    <w:rsid w:val="00C44E14"/>
    <w:rsid w:val="00C455BE"/>
    <w:rsid w:val="00C4669E"/>
    <w:rsid w:val="00C5009C"/>
    <w:rsid w:val="00C51955"/>
    <w:rsid w:val="00C51E5F"/>
    <w:rsid w:val="00C52BA8"/>
    <w:rsid w:val="00C53B73"/>
    <w:rsid w:val="00C54231"/>
    <w:rsid w:val="00C5579C"/>
    <w:rsid w:val="00C57398"/>
    <w:rsid w:val="00C57D4D"/>
    <w:rsid w:val="00C60B8E"/>
    <w:rsid w:val="00C61862"/>
    <w:rsid w:val="00C61E4B"/>
    <w:rsid w:val="00C624F2"/>
    <w:rsid w:val="00C62615"/>
    <w:rsid w:val="00C62E3A"/>
    <w:rsid w:val="00C6320E"/>
    <w:rsid w:val="00C638CC"/>
    <w:rsid w:val="00C642FE"/>
    <w:rsid w:val="00C64503"/>
    <w:rsid w:val="00C64A1F"/>
    <w:rsid w:val="00C64B63"/>
    <w:rsid w:val="00C64BFF"/>
    <w:rsid w:val="00C65F85"/>
    <w:rsid w:val="00C66EAA"/>
    <w:rsid w:val="00C67A5F"/>
    <w:rsid w:val="00C7372B"/>
    <w:rsid w:val="00C747E4"/>
    <w:rsid w:val="00C7600E"/>
    <w:rsid w:val="00C760FB"/>
    <w:rsid w:val="00C763C9"/>
    <w:rsid w:val="00C77295"/>
    <w:rsid w:val="00C77A27"/>
    <w:rsid w:val="00C80003"/>
    <w:rsid w:val="00C80057"/>
    <w:rsid w:val="00C80BE0"/>
    <w:rsid w:val="00C80BE8"/>
    <w:rsid w:val="00C8197B"/>
    <w:rsid w:val="00C819EA"/>
    <w:rsid w:val="00C81C3E"/>
    <w:rsid w:val="00C82AB5"/>
    <w:rsid w:val="00C82C79"/>
    <w:rsid w:val="00C82ECB"/>
    <w:rsid w:val="00C83046"/>
    <w:rsid w:val="00C83312"/>
    <w:rsid w:val="00C84753"/>
    <w:rsid w:val="00C85558"/>
    <w:rsid w:val="00C86A61"/>
    <w:rsid w:val="00C875FC"/>
    <w:rsid w:val="00C87E74"/>
    <w:rsid w:val="00C900A7"/>
    <w:rsid w:val="00C9026E"/>
    <w:rsid w:val="00C90FD0"/>
    <w:rsid w:val="00C90FD5"/>
    <w:rsid w:val="00C9158E"/>
    <w:rsid w:val="00C91611"/>
    <w:rsid w:val="00C91E22"/>
    <w:rsid w:val="00C9359A"/>
    <w:rsid w:val="00C9361A"/>
    <w:rsid w:val="00C93677"/>
    <w:rsid w:val="00C93960"/>
    <w:rsid w:val="00C93E03"/>
    <w:rsid w:val="00C9450C"/>
    <w:rsid w:val="00C9455B"/>
    <w:rsid w:val="00C946FB"/>
    <w:rsid w:val="00C950F8"/>
    <w:rsid w:val="00C9535A"/>
    <w:rsid w:val="00C95D8D"/>
    <w:rsid w:val="00C960EC"/>
    <w:rsid w:val="00C9632B"/>
    <w:rsid w:val="00C96D1C"/>
    <w:rsid w:val="00C979A1"/>
    <w:rsid w:val="00CA0ACB"/>
    <w:rsid w:val="00CA339E"/>
    <w:rsid w:val="00CA34D7"/>
    <w:rsid w:val="00CA3585"/>
    <w:rsid w:val="00CA3D5A"/>
    <w:rsid w:val="00CA3E54"/>
    <w:rsid w:val="00CA487E"/>
    <w:rsid w:val="00CA4C7C"/>
    <w:rsid w:val="00CA54F9"/>
    <w:rsid w:val="00CA5A0F"/>
    <w:rsid w:val="00CA6087"/>
    <w:rsid w:val="00CA635A"/>
    <w:rsid w:val="00CA7C59"/>
    <w:rsid w:val="00CB0183"/>
    <w:rsid w:val="00CB1EA3"/>
    <w:rsid w:val="00CB26DA"/>
    <w:rsid w:val="00CB32F9"/>
    <w:rsid w:val="00CB49E0"/>
    <w:rsid w:val="00CB4DC0"/>
    <w:rsid w:val="00CB5258"/>
    <w:rsid w:val="00CB552C"/>
    <w:rsid w:val="00CB6A9E"/>
    <w:rsid w:val="00CB7A4A"/>
    <w:rsid w:val="00CC024B"/>
    <w:rsid w:val="00CC14C4"/>
    <w:rsid w:val="00CC1BD7"/>
    <w:rsid w:val="00CC1E45"/>
    <w:rsid w:val="00CC2967"/>
    <w:rsid w:val="00CC51D3"/>
    <w:rsid w:val="00CC521E"/>
    <w:rsid w:val="00CC5505"/>
    <w:rsid w:val="00CC5C08"/>
    <w:rsid w:val="00CC5E44"/>
    <w:rsid w:val="00CC6181"/>
    <w:rsid w:val="00CC6263"/>
    <w:rsid w:val="00CC7268"/>
    <w:rsid w:val="00CD08C6"/>
    <w:rsid w:val="00CD19EE"/>
    <w:rsid w:val="00CD1D54"/>
    <w:rsid w:val="00CD2BCD"/>
    <w:rsid w:val="00CD36AA"/>
    <w:rsid w:val="00CD3791"/>
    <w:rsid w:val="00CD408B"/>
    <w:rsid w:val="00CD5A41"/>
    <w:rsid w:val="00CD65B0"/>
    <w:rsid w:val="00CD6C94"/>
    <w:rsid w:val="00CE002B"/>
    <w:rsid w:val="00CE02CD"/>
    <w:rsid w:val="00CE0415"/>
    <w:rsid w:val="00CE064B"/>
    <w:rsid w:val="00CE10E9"/>
    <w:rsid w:val="00CE17B6"/>
    <w:rsid w:val="00CE1B29"/>
    <w:rsid w:val="00CE25F5"/>
    <w:rsid w:val="00CE49B1"/>
    <w:rsid w:val="00CE4E15"/>
    <w:rsid w:val="00CE5504"/>
    <w:rsid w:val="00CE613A"/>
    <w:rsid w:val="00CE661B"/>
    <w:rsid w:val="00CE6884"/>
    <w:rsid w:val="00CE7457"/>
    <w:rsid w:val="00CF112A"/>
    <w:rsid w:val="00CF1AF7"/>
    <w:rsid w:val="00CF1CB8"/>
    <w:rsid w:val="00CF36A6"/>
    <w:rsid w:val="00CF4637"/>
    <w:rsid w:val="00CF4793"/>
    <w:rsid w:val="00CF4AC0"/>
    <w:rsid w:val="00CF4F93"/>
    <w:rsid w:val="00CF56F8"/>
    <w:rsid w:val="00CF5F97"/>
    <w:rsid w:val="00D0072E"/>
    <w:rsid w:val="00D00C7C"/>
    <w:rsid w:val="00D01360"/>
    <w:rsid w:val="00D021F5"/>
    <w:rsid w:val="00D030D4"/>
    <w:rsid w:val="00D0499B"/>
    <w:rsid w:val="00D049BD"/>
    <w:rsid w:val="00D0519D"/>
    <w:rsid w:val="00D055F4"/>
    <w:rsid w:val="00D05C2F"/>
    <w:rsid w:val="00D0694A"/>
    <w:rsid w:val="00D0737F"/>
    <w:rsid w:val="00D07E78"/>
    <w:rsid w:val="00D10295"/>
    <w:rsid w:val="00D108D5"/>
    <w:rsid w:val="00D109C2"/>
    <w:rsid w:val="00D10C03"/>
    <w:rsid w:val="00D11D2A"/>
    <w:rsid w:val="00D12AFA"/>
    <w:rsid w:val="00D12DA6"/>
    <w:rsid w:val="00D13D44"/>
    <w:rsid w:val="00D14B93"/>
    <w:rsid w:val="00D15727"/>
    <w:rsid w:val="00D15C9A"/>
    <w:rsid w:val="00D16332"/>
    <w:rsid w:val="00D16C20"/>
    <w:rsid w:val="00D20FD9"/>
    <w:rsid w:val="00D23356"/>
    <w:rsid w:val="00D234A6"/>
    <w:rsid w:val="00D24972"/>
    <w:rsid w:val="00D24FA9"/>
    <w:rsid w:val="00D2515E"/>
    <w:rsid w:val="00D2591D"/>
    <w:rsid w:val="00D2614F"/>
    <w:rsid w:val="00D27183"/>
    <w:rsid w:val="00D27375"/>
    <w:rsid w:val="00D2772E"/>
    <w:rsid w:val="00D277EF"/>
    <w:rsid w:val="00D27C3E"/>
    <w:rsid w:val="00D308ED"/>
    <w:rsid w:val="00D316E3"/>
    <w:rsid w:val="00D339E0"/>
    <w:rsid w:val="00D35270"/>
    <w:rsid w:val="00D353A5"/>
    <w:rsid w:val="00D35D67"/>
    <w:rsid w:val="00D37FD6"/>
    <w:rsid w:val="00D41E72"/>
    <w:rsid w:val="00D4475E"/>
    <w:rsid w:val="00D4483F"/>
    <w:rsid w:val="00D465AE"/>
    <w:rsid w:val="00D466DB"/>
    <w:rsid w:val="00D46826"/>
    <w:rsid w:val="00D47686"/>
    <w:rsid w:val="00D50B39"/>
    <w:rsid w:val="00D51096"/>
    <w:rsid w:val="00D51870"/>
    <w:rsid w:val="00D51994"/>
    <w:rsid w:val="00D51EB0"/>
    <w:rsid w:val="00D5341E"/>
    <w:rsid w:val="00D53D9E"/>
    <w:rsid w:val="00D54F3B"/>
    <w:rsid w:val="00D559F6"/>
    <w:rsid w:val="00D56178"/>
    <w:rsid w:val="00D568BE"/>
    <w:rsid w:val="00D56CF0"/>
    <w:rsid w:val="00D56F5C"/>
    <w:rsid w:val="00D61454"/>
    <w:rsid w:val="00D633C8"/>
    <w:rsid w:val="00D63611"/>
    <w:rsid w:val="00D63852"/>
    <w:rsid w:val="00D64E35"/>
    <w:rsid w:val="00D675AC"/>
    <w:rsid w:val="00D704B1"/>
    <w:rsid w:val="00D70B63"/>
    <w:rsid w:val="00D7102F"/>
    <w:rsid w:val="00D725CF"/>
    <w:rsid w:val="00D72B92"/>
    <w:rsid w:val="00D72ED4"/>
    <w:rsid w:val="00D73F61"/>
    <w:rsid w:val="00D74B3F"/>
    <w:rsid w:val="00D74B95"/>
    <w:rsid w:val="00D74F4B"/>
    <w:rsid w:val="00D74F59"/>
    <w:rsid w:val="00D754C0"/>
    <w:rsid w:val="00D759D0"/>
    <w:rsid w:val="00D7739E"/>
    <w:rsid w:val="00D776A2"/>
    <w:rsid w:val="00D77AD3"/>
    <w:rsid w:val="00D77BDC"/>
    <w:rsid w:val="00D80058"/>
    <w:rsid w:val="00D801C4"/>
    <w:rsid w:val="00D80658"/>
    <w:rsid w:val="00D80AAE"/>
    <w:rsid w:val="00D81530"/>
    <w:rsid w:val="00D8582B"/>
    <w:rsid w:val="00D86091"/>
    <w:rsid w:val="00D86C44"/>
    <w:rsid w:val="00D877FD"/>
    <w:rsid w:val="00D9020A"/>
    <w:rsid w:val="00D90836"/>
    <w:rsid w:val="00D9092F"/>
    <w:rsid w:val="00D91512"/>
    <w:rsid w:val="00D91854"/>
    <w:rsid w:val="00D91E6F"/>
    <w:rsid w:val="00D92C07"/>
    <w:rsid w:val="00D92EEC"/>
    <w:rsid w:val="00D93242"/>
    <w:rsid w:val="00D94CCB"/>
    <w:rsid w:val="00D95406"/>
    <w:rsid w:val="00D95896"/>
    <w:rsid w:val="00D95B45"/>
    <w:rsid w:val="00D95CC6"/>
    <w:rsid w:val="00D95D7F"/>
    <w:rsid w:val="00DA0E22"/>
    <w:rsid w:val="00DA29C0"/>
    <w:rsid w:val="00DA2DA3"/>
    <w:rsid w:val="00DA3220"/>
    <w:rsid w:val="00DA3EA4"/>
    <w:rsid w:val="00DA45A2"/>
    <w:rsid w:val="00DA636E"/>
    <w:rsid w:val="00DA6615"/>
    <w:rsid w:val="00DA6913"/>
    <w:rsid w:val="00DA76AE"/>
    <w:rsid w:val="00DB01DA"/>
    <w:rsid w:val="00DB095C"/>
    <w:rsid w:val="00DB1737"/>
    <w:rsid w:val="00DB181E"/>
    <w:rsid w:val="00DB1C7A"/>
    <w:rsid w:val="00DB2976"/>
    <w:rsid w:val="00DB2983"/>
    <w:rsid w:val="00DB2F67"/>
    <w:rsid w:val="00DB3058"/>
    <w:rsid w:val="00DB343D"/>
    <w:rsid w:val="00DB36BE"/>
    <w:rsid w:val="00DB38F1"/>
    <w:rsid w:val="00DB4173"/>
    <w:rsid w:val="00DB4FEE"/>
    <w:rsid w:val="00DB5579"/>
    <w:rsid w:val="00DB5931"/>
    <w:rsid w:val="00DB5CFE"/>
    <w:rsid w:val="00DB5D90"/>
    <w:rsid w:val="00DC33AF"/>
    <w:rsid w:val="00DC4A4C"/>
    <w:rsid w:val="00DC5EDC"/>
    <w:rsid w:val="00DC72A6"/>
    <w:rsid w:val="00DC792B"/>
    <w:rsid w:val="00DC7E0B"/>
    <w:rsid w:val="00DD059B"/>
    <w:rsid w:val="00DD19B9"/>
    <w:rsid w:val="00DD2113"/>
    <w:rsid w:val="00DD265E"/>
    <w:rsid w:val="00DD2CD3"/>
    <w:rsid w:val="00DD2D60"/>
    <w:rsid w:val="00DD43CC"/>
    <w:rsid w:val="00DD5FEB"/>
    <w:rsid w:val="00DD71B9"/>
    <w:rsid w:val="00DD7212"/>
    <w:rsid w:val="00DE1844"/>
    <w:rsid w:val="00DE2F79"/>
    <w:rsid w:val="00DE3A00"/>
    <w:rsid w:val="00DE5790"/>
    <w:rsid w:val="00DE68AE"/>
    <w:rsid w:val="00DE79E0"/>
    <w:rsid w:val="00DE7EA0"/>
    <w:rsid w:val="00DF0EFD"/>
    <w:rsid w:val="00DF1163"/>
    <w:rsid w:val="00DF1246"/>
    <w:rsid w:val="00DF1930"/>
    <w:rsid w:val="00DF2155"/>
    <w:rsid w:val="00DF514A"/>
    <w:rsid w:val="00DF70A7"/>
    <w:rsid w:val="00DF748D"/>
    <w:rsid w:val="00DF7E4D"/>
    <w:rsid w:val="00E0070C"/>
    <w:rsid w:val="00E008E7"/>
    <w:rsid w:val="00E01393"/>
    <w:rsid w:val="00E01EF0"/>
    <w:rsid w:val="00E02FE6"/>
    <w:rsid w:val="00E0358D"/>
    <w:rsid w:val="00E03968"/>
    <w:rsid w:val="00E042B0"/>
    <w:rsid w:val="00E0471F"/>
    <w:rsid w:val="00E0527F"/>
    <w:rsid w:val="00E06327"/>
    <w:rsid w:val="00E069AD"/>
    <w:rsid w:val="00E06F98"/>
    <w:rsid w:val="00E07668"/>
    <w:rsid w:val="00E07B7A"/>
    <w:rsid w:val="00E105F6"/>
    <w:rsid w:val="00E13094"/>
    <w:rsid w:val="00E14828"/>
    <w:rsid w:val="00E1654B"/>
    <w:rsid w:val="00E169B8"/>
    <w:rsid w:val="00E16DE6"/>
    <w:rsid w:val="00E172BC"/>
    <w:rsid w:val="00E17BF7"/>
    <w:rsid w:val="00E2064B"/>
    <w:rsid w:val="00E20AE1"/>
    <w:rsid w:val="00E2137F"/>
    <w:rsid w:val="00E2171C"/>
    <w:rsid w:val="00E21A6F"/>
    <w:rsid w:val="00E229FE"/>
    <w:rsid w:val="00E22B7E"/>
    <w:rsid w:val="00E2376F"/>
    <w:rsid w:val="00E24D16"/>
    <w:rsid w:val="00E25239"/>
    <w:rsid w:val="00E260DB"/>
    <w:rsid w:val="00E265B1"/>
    <w:rsid w:val="00E26909"/>
    <w:rsid w:val="00E26EC1"/>
    <w:rsid w:val="00E275B0"/>
    <w:rsid w:val="00E30E4D"/>
    <w:rsid w:val="00E31556"/>
    <w:rsid w:val="00E326E3"/>
    <w:rsid w:val="00E32EBD"/>
    <w:rsid w:val="00E330B6"/>
    <w:rsid w:val="00E33CC1"/>
    <w:rsid w:val="00E35962"/>
    <w:rsid w:val="00E362BE"/>
    <w:rsid w:val="00E37009"/>
    <w:rsid w:val="00E3716E"/>
    <w:rsid w:val="00E37FD6"/>
    <w:rsid w:val="00E412D0"/>
    <w:rsid w:val="00E430E4"/>
    <w:rsid w:val="00E4356C"/>
    <w:rsid w:val="00E4382A"/>
    <w:rsid w:val="00E43A94"/>
    <w:rsid w:val="00E46FBB"/>
    <w:rsid w:val="00E472E7"/>
    <w:rsid w:val="00E47CDB"/>
    <w:rsid w:val="00E5084E"/>
    <w:rsid w:val="00E552AE"/>
    <w:rsid w:val="00E56147"/>
    <w:rsid w:val="00E56270"/>
    <w:rsid w:val="00E566AB"/>
    <w:rsid w:val="00E566BC"/>
    <w:rsid w:val="00E56CB6"/>
    <w:rsid w:val="00E56F94"/>
    <w:rsid w:val="00E57206"/>
    <w:rsid w:val="00E5753E"/>
    <w:rsid w:val="00E57B31"/>
    <w:rsid w:val="00E60982"/>
    <w:rsid w:val="00E60C8D"/>
    <w:rsid w:val="00E6162F"/>
    <w:rsid w:val="00E61894"/>
    <w:rsid w:val="00E6311B"/>
    <w:rsid w:val="00E63F20"/>
    <w:rsid w:val="00E64AA6"/>
    <w:rsid w:val="00E6507C"/>
    <w:rsid w:val="00E65D02"/>
    <w:rsid w:val="00E65D97"/>
    <w:rsid w:val="00E66BF2"/>
    <w:rsid w:val="00E66DBB"/>
    <w:rsid w:val="00E67595"/>
    <w:rsid w:val="00E67EFD"/>
    <w:rsid w:val="00E702DC"/>
    <w:rsid w:val="00E70392"/>
    <w:rsid w:val="00E703E9"/>
    <w:rsid w:val="00E70566"/>
    <w:rsid w:val="00E71177"/>
    <w:rsid w:val="00E71C5A"/>
    <w:rsid w:val="00E71FFB"/>
    <w:rsid w:val="00E72682"/>
    <w:rsid w:val="00E73065"/>
    <w:rsid w:val="00E7426B"/>
    <w:rsid w:val="00E747E5"/>
    <w:rsid w:val="00E75C91"/>
    <w:rsid w:val="00E75CA0"/>
    <w:rsid w:val="00E761BF"/>
    <w:rsid w:val="00E76D1D"/>
    <w:rsid w:val="00E77B7D"/>
    <w:rsid w:val="00E80625"/>
    <w:rsid w:val="00E806F8"/>
    <w:rsid w:val="00E807F3"/>
    <w:rsid w:val="00E808F3"/>
    <w:rsid w:val="00E81549"/>
    <w:rsid w:val="00E81B69"/>
    <w:rsid w:val="00E83A58"/>
    <w:rsid w:val="00E84265"/>
    <w:rsid w:val="00E85CA3"/>
    <w:rsid w:val="00E86452"/>
    <w:rsid w:val="00E87752"/>
    <w:rsid w:val="00E8793B"/>
    <w:rsid w:val="00E901B9"/>
    <w:rsid w:val="00E90F24"/>
    <w:rsid w:val="00E90F81"/>
    <w:rsid w:val="00E91A6D"/>
    <w:rsid w:val="00E91F12"/>
    <w:rsid w:val="00E9242D"/>
    <w:rsid w:val="00E946E8"/>
    <w:rsid w:val="00E95EDB"/>
    <w:rsid w:val="00E96DC1"/>
    <w:rsid w:val="00E96F2B"/>
    <w:rsid w:val="00E972BE"/>
    <w:rsid w:val="00E97644"/>
    <w:rsid w:val="00EA1116"/>
    <w:rsid w:val="00EA1129"/>
    <w:rsid w:val="00EA1CDC"/>
    <w:rsid w:val="00EA28BB"/>
    <w:rsid w:val="00EA327E"/>
    <w:rsid w:val="00EA4931"/>
    <w:rsid w:val="00EA4B38"/>
    <w:rsid w:val="00EA61CC"/>
    <w:rsid w:val="00EA6506"/>
    <w:rsid w:val="00EA6D81"/>
    <w:rsid w:val="00EA715E"/>
    <w:rsid w:val="00EB0339"/>
    <w:rsid w:val="00EB041C"/>
    <w:rsid w:val="00EB0C7F"/>
    <w:rsid w:val="00EB242E"/>
    <w:rsid w:val="00EB536F"/>
    <w:rsid w:val="00EB66BC"/>
    <w:rsid w:val="00EB7B56"/>
    <w:rsid w:val="00EC04EA"/>
    <w:rsid w:val="00EC05B3"/>
    <w:rsid w:val="00EC084C"/>
    <w:rsid w:val="00EC3214"/>
    <w:rsid w:val="00EC38B5"/>
    <w:rsid w:val="00EC49D6"/>
    <w:rsid w:val="00EC4EEB"/>
    <w:rsid w:val="00EC566E"/>
    <w:rsid w:val="00EC5874"/>
    <w:rsid w:val="00EC58CB"/>
    <w:rsid w:val="00ED1382"/>
    <w:rsid w:val="00ED13A2"/>
    <w:rsid w:val="00ED1729"/>
    <w:rsid w:val="00ED192D"/>
    <w:rsid w:val="00ED1DBD"/>
    <w:rsid w:val="00ED2328"/>
    <w:rsid w:val="00ED30B4"/>
    <w:rsid w:val="00ED31F5"/>
    <w:rsid w:val="00ED4F14"/>
    <w:rsid w:val="00ED4F49"/>
    <w:rsid w:val="00ED5DB2"/>
    <w:rsid w:val="00ED69F9"/>
    <w:rsid w:val="00EE0813"/>
    <w:rsid w:val="00EE0BF8"/>
    <w:rsid w:val="00EE2443"/>
    <w:rsid w:val="00EE2623"/>
    <w:rsid w:val="00EE4277"/>
    <w:rsid w:val="00EE7315"/>
    <w:rsid w:val="00EE7967"/>
    <w:rsid w:val="00EF0051"/>
    <w:rsid w:val="00EF2759"/>
    <w:rsid w:val="00EF297F"/>
    <w:rsid w:val="00EF3827"/>
    <w:rsid w:val="00EF3C5F"/>
    <w:rsid w:val="00EF45EB"/>
    <w:rsid w:val="00EF5099"/>
    <w:rsid w:val="00EF545A"/>
    <w:rsid w:val="00EF5C5A"/>
    <w:rsid w:val="00EF5E33"/>
    <w:rsid w:val="00F00075"/>
    <w:rsid w:val="00F002F7"/>
    <w:rsid w:val="00F02957"/>
    <w:rsid w:val="00F035FF"/>
    <w:rsid w:val="00F03818"/>
    <w:rsid w:val="00F04AC3"/>
    <w:rsid w:val="00F0507B"/>
    <w:rsid w:val="00F05301"/>
    <w:rsid w:val="00F065B4"/>
    <w:rsid w:val="00F07822"/>
    <w:rsid w:val="00F10094"/>
    <w:rsid w:val="00F11FD3"/>
    <w:rsid w:val="00F1211E"/>
    <w:rsid w:val="00F12558"/>
    <w:rsid w:val="00F13E58"/>
    <w:rsid w:val="00F13FCA"/>
    <w:rsid w:val="00F154D1"/>
    <w:rsid w:val="00F15B99"/>
    <w:rsid w:val="00F15C95"/>
    <w:rsid w:val="00F1671E"/>
    <w:rsid w:val="00F16A52"/>
    <w:rsid w:val="00F16F94"/>
    <w:rsid w:val="00F20273"/>
    <w:rsid w:val="00F22985"/>
    <w:rsid w:val="00F22F21"/>
    <w:rsid w:val="00F241A9"/>
    <w:rsid w:val="00F241AB"/>
    <w:rsid w:val="00F24A05"/>
    <w:rsid w:val="00F26E69"/>
    <w:rsid w:val="00F26F06"/>
    <w:rsid w:val="00F27C28"/>
    <w:rsid w:val="00F303CC"/>
    <w:rsid w:val="00F30B0D"/>
    <w:rsid w:val="00F31382"/>
    <w:rsid w:val="00F32B22"/>
    <w:rsid w:val="00F334DC"/>
    <w:rsid w:val="00F35829"/>
    <w:rsid w:val="00F3723C"/>
    <w:rsid w:val="00F372EF"/>
    <w:rsid w:val="00F375AE"/>
    <w:rsid w:val="00F40DF4"/>
    <w:rsid w:val="00F42868"/>
    <w:rsid w:val="00F42BCE"/>
    <w:rsid w:val="00F455EE"/>
    <w:rsid w:val="00F45A93"/>
    <w:rsid w:val="00F465A7"/>
    <w:rsid w:val="00F46D73"/>
    <w:rsid w:val="00F46E99"/>
    <w:rsid w:val="00F4780B"/>
    <w:rsid w:val="00F47AFB"/>
    <w:rsid w:val="00F47C77"/>
    <w:rsid w:val="00F50402"/>
    <w:rsid w:val="00F50560"/>
    <w:rsid w:val="00F50B7C"/>
    <w:rsid w:val="00F50D02"/>
    <w:rsid w:val="00F51685"/>
    <w:rsid w:val="00F5202D"/>
    <w:rsid w:val="00F52CF6"/>
    <w:rsid w:val="00F54323"/>
    <w:rsid w:val="00F54496"/>
    <w:rsid w:val="00F553CD"/>
    <w:rsid w:val="00F55AF1"/>
    <w:rsid w:val="00F57C99"/>
    <w:rsid w:val="00F606A8"/>
    <w:rsid w:val="00F60A8D"/>
    <w:rsid w:val="00F61032"/>
    <w:rsid w:val="00F61097"/>
    <w:rsid w:val="00F61744"/>
    <w:rsid w:val="00F629CA"/>
    <w:rsid w:val="00F646C5"/>
    <w:rsid w:val="00F65128"/>
    <w:rsid w:val="00F6550B"/>
    <w:rsid w:val="00F65FB3"/>
    <w:rsid w:val="00F67F0C"/>
    <w:rsid w:val="00F71555"/>
    <w:rsid w:val="00F72337"/>
    <w:rsid w:val="00F74042"/>
    <w:rsid w:val="00F74345"/>
    <w:rsid w:val="00F74441"/>
    <w:rsid w:val="00F7484F"/>
    <w:rsid w:val="00F74B6A"/>
    <w:rsid w:val="00F75301"/>
    <w:rsid w:val="00F75757"/>
    <w:rsid w:val="00F75A40"/>
    <w:rsid w:val="00F76E8A"/>
    <w:rsid w:val="00F77D60"/>
    <w:rsid w:val="00F77F30"/>
    <w:rsid w:val="00F8083A"/>
    <w:rsid w:val="00F815D8"/>
    <w:rsid w:val="00F815DB"/>
    <w:rsid w:val="00F82349"/>
    <w:rsid w:val="00F82589"/>
    <w:rsid w:val="00F82B19"/>
    <w:rsid w:val="00F84DE9"/>
    <w:rsid w:val="00F86949"/>
    <w:rsid w:val="00F90AA7"/>
    <w:rsid w:val="00F90EED"/>
    <w:rsid w:val="00F9178E"/>
    <w:rsid w:val="00F9212D"/>
    <w:rsid w:val="00F92C18"/>
    <w:rsid w:val="00F959AF"/>
    <w:rsid w:val="00F95FED"/>
    <w:rsid w:val="00F9670D"/>
    <w:rsid w:val="00F96A43"/>
    <w:rsid w:val="00F97BFB"/>
    <w:rsid w:val="00FA121D"/>
    <w:rsid w:val="00FA1C3B"/>
    <w:rsid w:val="00FA301A"/>
    <w:rsid w:val="00FA406A"/>
    <w:rsid w:val="00FA4CF4"/>
    <w:rsid w:val="00FA4E63"/>
    <w:rsid w:val="00FA4F98"/>
    <w:rsid w:val="00FA5CB6"/>
    <w:rsid w:val="00FA5E2B"/>
    <w:rsid w:val="00FA617A"/>
    <w:rsid w:val="00FA7333"/>
    <w:rsid w:val="00FA74DD"/>
    <w:rsid w:val="00FB0104"/>
    <w:rsid w:val="00FB042C"/>
    <w:rsid w:val="00FB109E"/>
    <w:rsid w:val="00FB23B4"/>
    <w:rsid w:val="00FB2442"/>
    <w:rsid w:val="00FB290A"/>
    <w:rsid w:val="00FB2C31"/>
    <w:rsid w:val="00FB4F51"/>
    <w:rsid w:val="00FB6858"/>
    <w:rsid w:val="00FB6BD3"/>
    <w:rsid w:val="00FB6C97"/>
    <w:rsid w:val="00FB77FD"/>
    <w:rsid w:val="00FB7CC7"/>
    <w:rsid w:val="00FB7FD5"/>
    <w:rsid w:val="00FC0218"/>
    <w:rsid w:val="00FC14D3"/>
    <w:rsid w:val="00FC1600"/>
    <w:rsid w:val="00FC172E"/>
    <w:rsid w:val="00FC2B74"/>
    <w:rsid w:val="00FC66AA"/>
    <w:rsid w:val="00FC66AC"/>
    <w:rsid w:val="00FD18F4"/>
    <w:rsid w:val="00FD215E"/>
    <w:rsid w:val="00FD2A29"/>
    <w:rsid w:val="00FD32B2"/>
    <w:rsid w:val="00FD33A4"/>
    <w:rsid w:val="00FD4120"/>
    <w:rsid w:val="00FD5206"/>
    <w:rsid w:val="00FD5E8A"/>
    <w:rsid w:val="00FD6331"/>
    <w:rsid w:val="00FD6CC8"/>
    <w:rsid w:val="00FD6F22"/>
    <w:rsid w:val="00FD70F4"/>
    <w:rsid w:val="00FD74B4"/>
    <w:rsid w:val="00FE1BDD"/>
    <w:rsid w:val="00FE1EB4"/>
    <w:rsid w:val="00FE1EEA"/>
    <w:rsid w:val="00FE2DF3"/>
    <w:rsid w:val="00FE385E"/>
    <w:rsid w:val="00FE4F5E"/>
    <w:rsid w:val="00FE56DE"/>
    <w:rsid w:val="00FE7A1F"/>
    <w:rsid w:val="00FF0A62"/>
    <w:rsid w:val="00FF193A"/>
    <w:rsid w:val="00FF3E9C"/>
    <w:rsid w:val="00FF47E5"/>
    <w:rsid w:val="00FF6FCE"/>
    <w:rsid w:val="00FF725C"/>
    <w:rsid w:val="00FF7518"/>
    <w:rsid w:val="00FF7FD8"/>
    <w:rsid w:val="05742AC8"/>
    <w:rsid w:val="05B525F0"/>
    <w:rsid w:val="06352F05"/>
    <w:rsid w:val="063E7D85"/>
    <w:rsid w:val="070875E0"/>
    <w:rsid w:val="07293586"/>
    <w:rsid w:val="07295285"/>
    <w:rsid w:val="07770C56"/>
    <w:rsid w:val="092217DD"/>
    <w:rsid w:val="093A7294"/>
    <w:rsid w:val="0BD27BF6"/>
    <w:rsid w:val="0E110D06"/>
    <w:rsid w:val="0F13775A"/>
    <w:rsid w:val="0F9A112B"/>
    <w:rsid w:val="106D2F64"/>
    <w:rsid w:val="10B63710"/>
    <w:rsid w:val="111C2F7A"/>
    <w:rsid w:val="113013DE"/>
    <w:rsid w:val="113300C1"/>
    <w:rsid w:val="11D540C4"/>
    <w:rsid w:val="122B06C2"/>
    <w:rsid w:val="12474C6A"/>
    <w:rsid w:val="13951726"/>
    <w:rsid w:val="14396509"/>
    <w:rsid w:val="1447165C"/>
    <w:rsid w:val="15090C9C"/>
    <w:rsid w:val="17735226"/>
    <w:rsid w:val="1A1C66C0"/>
    <w:rsid w:val="1A42393B"/>
    <w:rsid w:val="1B046F80"/>
    <w:rsid w:val="1B3267B5"/>
    <w:rsid w:val="1BC25DC8"/>
    <w:rsid w:val="1C5E7925"/>
    <w:rsid w:val="1C887FC8"/>
    <w:rsid w:val="1D5F6196"/>
    <w:rsid w:val="1D6132A5"/>
    <w:rsid w:val="1D8E56D5"/>
    <w:rsid w:val="1E7A43DA"/>
    <w:rsid w:val="1EB277FE"/>
    <w:rsid w:val="1FE7539E"/>
    <w:rsid w:val="20963CB8"/>
    <w:rsid w:val="20B07FB6"/>
    <w:rsid w:val="213B74B1"/>
    <w:rsid w:val="215A2310"/>
    <w:rsid w:val="21DE318A"/>
    <w:rsid w:val="21EF5B80"/>
    <w:rsid w:val="22576990"/>
    <w:rsid w:val="229C4EAB"/>
    <w:rsid w:val="22F34B5D"/>
    <w:rsid w:val="252D53FE"/>
    <w:rsid w:val="25EC2D81"/>
    <w:rsid w:val="264528BD"/>
    <w:rsid w:val="27D15DD1"/>
    <w:rsid w:val="28A76295"/>
    <w:rsid w:val="29206EB8"/>
    <w:rsid w:val="29E325E0"/>
    <w:rsid w:val="2A452503"/>
    <w:rsid w:val="2BA936A8"/>
    <w:rsid w:val="2C315A5A"/>
    <w:rsid w:val="2D9E56F5"/>
    <w:rsid w:val="2E667F96"/>
    <w:rsid w:val="2E8226AB"/>
    <w:rsid w:val="2F832C79"/>
    <w:rsid w:val="2FEF2D58"/>
    <w:rsid w:val="30580BC9"/>
    <w:rsid w:val="311E2ED7"/>
    <w:rsid w:val="315C449C"/>
    <w:rsid w:val="31B82709"/>
    <w:rsid w:val="32400B34"/>
    <w:rsid w:val="329E6876"/>
    <w:rsid w:val="33D934D4"/>
    <w:rsid w:val="33FE2F6A"/>
    <w:rsid w:val="36074A7F"/>
    <w:rsid w:val="36923549"/>
    <w:rsid w:val="36B75FBF"/>
    <w:rsid w:val="36FB4891"/>
    <w:rsid w:val="38F12CD3"/>
    <w:rsid w:val="38F94775"/>
    <w:rsid w:val="392971ED"/>
    <w:rsid w:val="3B3763D1"/>
    <w:rsid w:val="3C746980"/>
    <w:rsid w:val="3CDA245A"/>
    <w:rsid w:val="3CEE0A37"/>
    <w:rsid w:val="3F660E74"/>
    <w:rsid w:val="407A6407"/>
    <w:rsid w:val="423A3BCC"/>
    <w:rsid w:val="433A6FE6"/>
    <w:rsid w:val="4350713C"/>
    <w:rsid w:val="436653E0"/>
    <w:rsid w:val="44CD14E0"/>
    <w:rsid w:val="458946E9"/>
    <w:rsid w:val="46D955A7"/>
    <w:rsid w:val="47133957"/>
    <w:rsid w:val="4779329E"/>
    <w:rsid w:val="47A07E0C"/>
    <w:rsid w:val="4870272E"/>
    <w:rsid w:val="49DC7715"/>
    <w:rsid w:val="4A023139"/>
    <w:rsid w:val="4A7B576F"/>
    <w:rsid w:val="4C4A0649"/>
    <w:rsid w:val="4CE470D3"/>
    <w:rsid w:val="4DEC4FB0"/>
    <w:rsid w:val="4E075D8A"/>
    <w:rsid w:val="4FC62A8C"/>
    <w:rsid w:val="4FE20F0D"/>
    <w:rsid w:val="50504C4B"/>
    <w:rsid w:val="509C6E7C"/>
    <w:rsid w:val="5162104E"/>
    <w:rsid w:val="538B54BE"/>
    <w:rsid w:val="53A039CC"/>
    <w:rsid w:val="53A1505A"/>
    <w:rsid w:val="54063E08"/>
    <w:rsid w:val="543437E8"/>
    <w:rsid w:val="559B174B"/>
    <w:rsid w:val="55CE0CF4"/>
    <w:rsid w:val="56B22A9C"/>
    <w:rsid w:val="57B72A76"/>
    <w:rsid w:val="5A3C747D"/>
    <w:rsid w:val="5ABE2233"/>
    <w:rsid w:val="5B276D18"/>
    <w:rsid w:val="5BDF5D95"/>
    <w:rsid w:val="5DF87A0F"/>
    <w:rsid w:val="5F1A2B43"/>
    <w:rsid w:val="5FB837BB"/>
    <w:rsid w:val="60AB18A8"/>
    <w:rsid w:val="62364782"/>
    <w:rsid w:val="63D40BE9"/>
    <w:rsid w:val="63E0211F"/>
    <w:rsid w:val="65373578"/>
    <w:rsid w:val="673F2C7A"/>
    <w:rsid w:val="681F6961"/>
    <w:rsid w:val="68610A2F"/>
    <w:rsid w:val="68805514"/>
    <w:rsid w:val="694E2071"/>
    <w:rsid w:val="697A3B33"/>
    <w:rsid w:val="699E2456"/>
    <w:rsid w:val="6B322639"/>
    <w:rsid w:val="6C636C38"/>
    <w:rsid w:val="6DB34098"/>
    <w:rsid w:val="6DB545B6"/>
    <w:rsid w:val="6E4375A0"/>
    <w:rsid w:val="6E514CED"/>
    <w:rsid w:val="6E79491A"/>
    <w:rsid w:val="6EB563D5"/>
    <w:rsid w:val="6F225983"/>
    <w:rsid w:val="6FFC5590"/>
    <w:rsid w:val="70301DA3"/>
    <w:rsid w:val="706D1DD0"/>
    <w:rsid w:val="70856B87"/>
    <w:rsid w:val="70D527EE"/>
    <w:rsid w:val="715B5300"/>
    <w:rsid w:val="715F4BD7"/>
    <w:rsid w:val="71D27F8A"/>
    <w:rsid w:val="71F744C6"/>
    <w:rsid w:val="71F960CF"/>
    <w:rsid w:val="731F5D5E"/>
    <w:rsid w:val="741E793C"/>
    <w:rsid w:val="758D75E2"/>
    <w:rsid w:val="77762421"/>
    <w:rsid w:val="780F09F4"/>
    <w:rsid w:val="789C4F47"/>
    <w:rsid w:val="78A90480"/>
    <w:rsid w:val="79811327"/>
    <w:rsid w:val="7A364017"/>
    <w:rsid w:val="7A8265E1"/>
    <w:rsid w:val="7B686D42"/>
    <w:rsid w:val="7B841746"/>
    <w:rsid w:val="7D0239FF"/>
    <w:rsid w:val="7D5E40CD"/>
    <w:rsid w:val="7D693BED"/>
    <w:rsid w:val="7FE47E50"/>
  </w:rsids>
  <w:docVars>
    <w:docVar w:name="commondata" w:val="eyJoZGlkIjoiNTI2MzQ5MjdiMGQ0MzA2YmM4ODgzNDVmZjcwNjM1N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semiHidden="0" w:uiPriority="0" w:qFormat="1"/>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locked="1" w:semiHidden="0"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locked="1"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locked="1"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locked="1" w:semiHidden="0" w:uiPriority="0" w:unhideWhenUsed="0" w:qFormat="1"/>
    <w:lsdException w:name="Emphasis" w:locked="1" w:semiHidden="0" w:uiPriority="0" w:unhideWhenUsed="0" w:qFormat="1"/>
    <w:lsdException w:name="Document Map" w:semiHidden="0" w:uiPriority="0" w:unhideWhenUsed="0"/>
    <w:lsdException w:name="Plain Text" w:semiHidden="0" w:uiPriority="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3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qFormat/>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Heading3">
    <w:name w:val="heading 3"/>
    <w:basedOn w:val="Normal"/>
    <w:next w:val="Normal"/>
    <w:link w:val="3"/>
    <w:autoRedefine/>
    <w:qFormat/>
    <w:locked/>
    <w:pPr>
      <w:keepNext/>
      <w:keepLines/>
      <w:spacing w:before="260" w:after="260" w:line="416" w:lineRule="auto"/>
      <w:outlineLvl w:val="2"/>
    </w:pPr>
    <w:rPr>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NormalIndent">
    <w:name w:val="Normal Indent"/>
    <w:basedOn w:val="Normal"/>
    <w:link w:val="a3"/>
    <w:autoRedefine/>
    <w:unhideWhenUsed/>
    <w:qFormat/>
    <w:pPr>
      <w:ind w:firstLine="420" w:firstLineChars="200"/>
    </w:pPr>
    <w:rPr>
      <w:kern w:val="0"/>
      <w:sz w:val="20"/>
    </w:rPr>
  </w:style>
  <w:style w:type="paragraph" w:styleId="Caption">
    <w:name w:val="caption"/>
    <w:basedOn w:val="Normal"/>
    <w:next w:val="Normal"/>
    <w:autoRedefine/>
    <w:unhideWhenUsed/>
    <w:qFormat/>
    <w:locked/>
    <w:rPr>
      <w:rFonts w:ascii="等线 Light" w:eastAsia="黑体" w:hAnsi="等线 Light"/>
      <w:sz w:val="20"/>
      <w:szCs w:val="20"/>
    </w:rPr>
  </w:style>
  <w:style w:type="paragraph" w:styleId="CommentText">
    <w:name w:val="annotation text"/>
    <w:basedOn w:val="Normal"/>
    <w:link w:val="a9"/>
    <w:autoRedefine/>
    <w:qFormat/>
    <w:pPr>
      <w:jc w:val="left"/>
    </w:pPr>
    <w:rPr>
      <w:kern w:val="0"/>
      <w:sz w:val="20"/>
    </w:rPr>
  </w:style>
  <w:style w:type="paragraph" w:styleId="BodyText">
    <w:name w:val="Body Text"/>
    <w:basedOn w:val="Normal"/>
    <w:link w:val="a2"/>
    <w:autoRedefine/>
    <w:qFormat/>
    <w:pPr>
      <w:widowControl/>
      <w:snapToGrid w:val="0"/>
      <w:spacing w:before="60" w:after="160" w:line="259" w:lineRule="auto"/>
      <w:ind w:right="113"/>
    </w:pPr>
    <w:rPr>
      <w:kern w:val="0"/>
      <w:sz w:val="18"/>
      <w:szCs w:val="18"/>
    </w:rPr>
  </w:style>
  <w:style w:type="paragraph" w:styleId="BodyTextIndent">
    <w:name w:val="Body Text Indent"/>
    <w:basedOn w:val="Normal"/>
    <w:link w:val="a6"/>
    <w:autoRedefine/>
    <w:semiHidden/>
    <w:qFormat/>
    <w:pPr>
      <w:spacing w:after="120"/>
      <w:ind w:left="420" w:leftChars="200"/>
    </w:pPr>
  </w:style>
  <w:style w:type="paragraph" w:styleId="PlainText">
    <w:name w:val="Plain Text"/>
    <w:basedOn w:val="Normal"/>
    <w:link w:val="a"/>
    <w:autoRedefine/>
    <w:unhideWhenUsed/>
    <w:qFormat/>
    <w:rPr>
      <w:rFonts w:ascii="宋体" w:hAnsi="Courier New"/>
      <w:szCs w:val="20"/>
    </w:rPr>
  </w:style>
  <w:style w:type="paragraph" w:styleId="Date">
    <w:name w:val="Date"/>
    <w:basedOn w:val="Normal"/>
    <w:next w:val="Normal"/>
    <w:link w:val="10"/>
    <w:autoRedefine/>
    <w:qFormat/>
    <w:pPr>
      <w:ind w:left="100" w:leftChars="2500"/>
    </w:pPr>
    <w:rPr>
      <w:kern w:val="0"/>
      <w:sz w:val="20"/>
    </w:rPr>
  </w:style>
  <w:style w:type="paragraph" w:styleId="BalloonText">
    <w:name w:val="Balloon Text"/>
    <w:basedOn w:val="Normal"/>
    <w:link w:val="a0"/>
    <w:autoRedefine/>
    <w:semiHidden/>
    <w:qFormat/>
    <w:rPr>
      <w:sz w:val="18"/>
      <w:szCs w:val="18"/>
    </w:rPr>
  </w:style>
  <w:style w:type="paragraph" w:styleId="Footer">
    <w:name w:val="footer"/>
    <w:basedOn w:val="Normal"/>
    <w:link w:val="a4"/>
    <w:autoRedefine/>
    <w:uiPriority w:val="99"/>
    <w:qFormat/>
    <w:pPr>
      <w:tabs>
        <w:tab w:val="center" w:pos="4153"/>
        <w:tab w:val="right" w:pos="8306"/>
      </w:tabs>
      <w:snapToGrid w:val="0"/>
      <w:jc w:val="left"/>
    </w:pPr>
    <w:rPr>
      <w:sz w:val="18"/>
      <w:szCs w:val="18"/>
    </w:rPr>
  </w:style>
  <w:style w:type="paragraph" w:styleId="Header">
    <w:name w:val="header"/>
    <w:basedOn w:val="Normal"/>
    <w:link w:val="a8"/>
    <w:autoRedefine/>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a7"/>
    <w:autoRedefine/>
    <w:qFormat/>
    <w:pPr>
      <w:widowControl/>
      <w:spacing w:before="100" w:beforeAutospacing="1" w:after="100" w:afterAutospacing="1"/>
      <w:jc w:val="left"/>
    </w:pPr>
    <w:rPr>
      <w:rFonts w:ascii="宋体" w:hAnsi="宋体"/>
      <w:kern w:val="0"/>
      <w:sz w:val="24"/>
    </w:rPr>
  </w:style>
  <w:style w:type="paragraph" w:styleId="CommentSubject">
    <w:name w:val="annotation subject"/>
    <w:basedOn w:val="CommentText"/>
    <w:next w:val="CommentText"/>
    <w:link w:val="a5"/>
    <w:autoRedefine/>
    <w:semiHidden/>
    <w:qFormat/>
    <w:rPr>
      <w:b/>
      <w:bCs/>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autoRedefine/>
    <w:qFormat/>
  </w:style>
  <w:style w:type="character" w:styleId="CommentReference">
    <w:name w:val="annotation reference"/>
    <w:autoRedefine/>
    <w:uiPriority w:val="99"/>
    <w:qFormat/>
    <w:rPr>
      <w:sz w:val="21"/>
    </w:rPr>
  </w:style>
  <w:style w:type="character" w:customStyle="1" w:styleId="a">
    <w:name w:val="纯文本 字符"/>
    <w:link w:val="PlainText"/>
    <w:autoRedefine/>
    <w:qFormat/>
    <w:rPr>
      <w:rFonts w:ascii="宋体" w:hAnsi="Courier New"/>
      <w:kern w:val="2"/>
      <w:sz w:val="21"/>
    </w:rPr>
  </w:style>
  <w:style w:type="character" w:customStyle="1" w:styleId="a0">
    <w:name w:val="批注框文本 字符"/>
    <w:link w:val="BalloonText"/>
    <w:autoRedefine/>
    <w:semiHidden/>
    <w:qFormat/>
    <w:locked/>
    <w:rPr>
      <w:rFonts w:ascii="Times New Roman" w:eastAsia="宋体" w:hAnsi="Times New Roman" w:cs="Times New Roman"/>
      <w:sz w:val="18"/>
      <w:szCs w:val="18"/>
    </w:rPr>
  </w:style>
  <w:style w:type="character" w:customStyle="1" w:styleId="a1">
    <w:name w:val="日期 字符"/>
    <w:autoRedefine/>
    <w:semiHidden/>
    <w:qFormat/>
    <w:rPr>
      <w:rFonts w:ascii="Times New Roman" w:eastAsia="宋体" w:hAnsi="Times New Roman" w:cs="Times New Roman"/>
      <w:sz w:val="24"/>
      <w:szCs w:val="24"/>
    </w:rPr>
  </w:style>
  <w:style w:type="character" w:customStyle="1" w:styleId="a2">
    <w:name w:val="正文文本 字符"/>
    <w:link w:val="BodyText"/>
    <w:autoRedefine/>
    <w:qFormat/>
    <w:locked/>
    <w:rPr>
      <w:sz w:val="18"/>
    </w:rPr>
  </w:style>
  <w:style w:type="character" w:customStyle="1" w:styleId="001">
    <w:name w:val="001图名 字符"/>
    <w:link w:val="0010"/>
    <w:autoRedefine/>
    <w:qFormat/>
    <w:rPr>
      <w:b/>
      <w:color w:val="000000"/>
      <w:kern w:val="2"/>
      <w:sz w:val="21"/>
      <w:szCs w:val="21"/>
    </w:rPr>
  </w:style>
  <w:style w:type="paragraph" w:customStyle="1" w:styleId="0010">
    <w:name w:val="001图名"/>
    <w:basedOn w:val="Normal"/>
    <w:link w:val="001"/>
    <w:autoRedefine/>
    <w:qFormat/>
    <w:pPr>
      <w:spacing w:line="360" w:lineRule="auto"/>
      <w:jc w:val="center"/>
    </w:pPr>
    <w:rPr>
      <w:b/>
      <w:color w:val="000000"/>
      <w:szCs w:val="21"/>
    </w:rPr>
  </w:style>
  <w:style w:type="character" w:customStyle="1" w:styleId="a3">
    <w:name w:val="正文缩进 字符"/>
    <w:link w:val="NormalIndent"/>
    <w:autoRedefine/>
    <w:qFormat/>
    <w:rPr>
      <w:szCs w:val="24"/>
    </w:rPr>
  </w:style>
  <w:style w:type="character" w:customStyle="1" w:styleId="a4">
    <w:name w:val="页脚 字符"/>
    <w:link w:val="Footer"/>
    <w:autoRedefine/>
    <w:uiPriority w:val="99"/>
    <w:qFormat/>
    <w:locked/>
    <w:rPr>
      <w:rFonts w:cs="Times New Roman"/>
      <w:sz w:val="18"/>
      <w:szCs w:val="18"/>
    </w:rPr>
  </w:style>
  <w:style w:type="character" w:customStyle="1" w:styleId="1">
    <w:name w:val="批注文字 字符1"/>
    <w:autoRedefine/>
    <w:semiHidden/>
    <w:qFormat/>
    <w:rPr>
      <w:rFonts w:ascii="Times New Roman" w:eastAsia="宋体" w:hAnsi="Times New Roman" w:cs="Times New Roman"/>
      <w:sz w:val="24"/>
      <w:szCs w:val="24"/>
    </w:rPr>
  </w:style>
  <w:style w:type="character" w:customStyle="1" w:styleId="04">
    <w:name w:val="04小标题 字符"/>
    <w:link w:val="040"/>
    <w:autoRedefine/>
    <w:qFormat/>
    <w:rPr>
      <w:b/>
      <w:kern w:val="2"/>
      <w:sz w:val="24"/>
      <w:szCs w:val="24"/>
      <w:lang w:val="zh-CN"/>
    </w:rPr>
  </w:style>
  <w:style w:type="paragraph" w:customStyle="1" w:styleId="040">
    <w:name w:val="04小标题"/>
    <w:basedOn w:val="Normal"/>
    <w:link w:val="04"/>
    <w:autoRedefine/>
    <w:qFormat/>
    <w:pPr>
      <w:autoSpaceDE w:val="0"/>
      <w:autoSpaceDN w:val="0"/>
      <w:adjustRightInd w:val="0"/>
      <w:spacing w:line="360" w:lineRule="auto"/>
    </w:pPr>
    <w:rPr>
      <w:b/>
      <w:sz w:val="24"/>
      <w:lang w:val="zh-CN"/>
    </w:rPr>
  </w:style>
  <w:style w:type="character" w:customStyle="1" w:styleId="02">
    <w:name w:val="02加粗小标题 字符"/>
    <w:link w:val="020"/>
    <w:autoRedefine/>
    <w:qFormat/>
    <w:rPr>
      <w:rFonts w:eastAsia="黑体"/>
      <w:b/>
      <w:kern w:val="2"/>
      <w:sz w:val="21"/>
      <w:szCs w:val="24"/>
    </w:rPr>
  </w:style>
  <w:style w:type="paragraph" w:customStyle="1" w:styleId="020">
    <w:name w:val="02加粗小标题"/>
    <w:basedOn w:val="Normal"/>
    <w:link w:val="02"/>
    <w:autoRedefine/>
    <w:qFormat/>
    <w:pPr>
      <w:snapToGrid w:val="0"/>
      <w:spacing w:before="50" w:beforeLines="50" w:line="360" w:lineRule="auto"/>
      <w:ind w:firstLine="200" w:firstLineChars="200"/>
    </w:pPr>
    <w:rPr>
      <w:rFonts w:eastAsia="黑体"/>
      <w:b/>
    </w:rPr>
  </w:style>
  <w:style w:type="character" w:customStyle="1" w:styleId="a5">
    <w:name w:val="批注主题 字符"/>
    <w:link w:val="CommentSubject"/>
    <w:autoRedefine/>
    <w:semiHidden/>
    <w:qFormat/>
    <w:locked/>
    <w:rPr>
      <w:rFonts w:ascii="Times New Roman" w:eastAsia="宋体" w:hAnsi="Times New Roman" w:cs="Times New Roman"/>
      <w:b/>
      <w:bCs/>
      <w:kern w:val="2"/>
      <w:sz w:val="24"/>
      <w:szCs w:val="24"/>
    </w:rPr>
  </w:style>
  <w:style w:type="character" w:customStyle="1" w:styleId="10">
    <w:name w:val="日期 字符1"/>
    <w:link w:val="Date"/>
    <w:autoRedefine/>
    <w:qFormat/>
    <w:locked/>
    <w:rPr>
      <w:rFonts w:ascii="Times New Roman" w:eastAsia="宋体" w:hAnsi="Times New Roman"/>
      <w:sz w:val="24"/>
    </w:rPr>
  </w:style>
  <w:style w:type="character" w:customStyle="1" w:styleId="3">
    <w:name w:val="标题 3 字符"/>
    <w:link w:val="Heading3"/>
    <w:autoRedefine/>
    <w:semiHidden/>
    <w:qFormat/>
    <w:rPr>
      <w:b/>
      <w:bCs/>
      <w:kern w:val="2"/>
      <w:sz w:val="32"/>
      <w:szCs w:val="32"/>
    </w:rPr>
  </w:style>
  <w:style w:type="character" w:customStyle="1" w:styleId="Char">
    <w:name w:val="普通(网站) Char"/>
    <w:autoRedefine/>
    <w:qFormat/>
    <w:locked/>
    <w:rPr>
      <w:rFonts w:ascii="宋体" w:eastAsia="宋体" w:hAnsi="宋体"/>
      <w:sz w:val="24"/>
    </w:rPr>
  </w:style>
  <w:style w:type="character" w:customStyle="1" w:styleId="a6">
    <w:name w:val="正文文本缩进 字符"/>
    <w:link w:val="BodyTextIndent"/>
    <w:autoRedefine/>
    <w:semiHidden/>
    <w:qFormat/>
    <w:locked/>
    <w:rPr>
      <w:rFonts w:ascii="Times New Roman" w:eastAsia="宋体" w:hAnsi="Times New Roman" w:cs="Times New Roman"/>
      <w:sz w:val="24"/>
      <w:szCs w:val="24"/>
    </w:rPr>
  </w:style>
  <w:style w:type="character" w:customStyle="1" w:styleId="11">
    <w:name w:val="正文文本 字符1"/>
    <w:autoRedefine/>
    <w:semiHidden/>
    <w:qFormat/>
    <w:rPr>
      <w:rFonts w:ascii="Times New Roman" w:eastAsia="宋体" w:hAnsi="Times New Roman" w:cs="Times New Roman"/>
      <w:sz w:val="24"/>
      <w:szCs w:val="24"/>
    </w:rPr>
  </w:style>
  <w:style w:type="character" w:customStyle="1" w:styleId="a7">
    <w:name w:val="普通(网站) 字符"/>
    <w:link w:val="NormalWeb"/>
    <w:autoRedefine/>
    <w:qFormat/>
    <w:locked/>
    <w:rPr>
      <w:rFonts w:ascii="宋体" w:eastAsia="宋体" w:hAnsi="宋体"/>
      <w:sz w:val="24"/>
    </w:rPr>
  </w:style>
  <w:style w:type="character" w:customStyle="1" w:styleId="a8">
    <w:name w:val="页眉 字符"/>
    <w:link w:val="Header"/>
    <w:autoRedefine/>
    <w:qFormat/>
    <w:locked/>
    <w:rPr>
      <w:rFonts w:cs="Times New Roman"/>
      <w:sz w:val="18"/>
      <w:szCs w:val="18"/>
    </w:rPr>
  </w:style>
  <w:style w:type="character" w:customStyle="1" w:styleId="00Char">
    <w:name w:val="正文00 Char"/>
    <w:link w:val="00"/>
    <w:autoRedefine/>
    <w:qFormat/>
    <w:rPr>
      <w:color w:val="0000FF"/>
      <w:kern w:val="2"/>
      <w:sz w:val="24"/>
      <w:szCs w:val="24"/>
    </w:rPr>
  </w:style>
  <w:style w:type="paragraph" w:customStyle="1" w:styleId="00">
    <w:name w:val="正文00"/>
    <w:link w:val="00Char"/>
    <w:autoRedefine/>
    <w:qFormat/>
    <w:pPr>
      <w:overflowPunct w:val="0"/>
      <w:topLinePunct/>
      <w:adjustRightInd w:val="0"/>
      <w:snapToGrid w:val="0"/>
      <w:spacing w:line="460" w:lineRule="exact"/>
      <w:ind w:firstLine="200" w:firstLineChars="200"/>
      <w:jc w:val="both"/>
    </w:pPr>
    <w:rPr>
      <w:rFonts w:ascii="Times New Roman" w:eastAsia="宋体" w:hAnsi="Times New Roman" w:cs="Times New Roman"/>
      <w:color w:val="0000FF"/>
      <w:kern w:val="2"/>
      <w:sz w:val="24"/>
      <w:szCs w:val="24"/>
      <w:lang w:val="en-US" w:eastAsia="zh-CN" w:bidi="ar-SA"/>
    </w:rPr>
  </w:style>
  <w:style w:type="character" w:customStyle="1" w:styleId="a9">
    <w:name w:val="批注文字 字符"/>
    <w:link w:val="CommentText"/>
    <w:autoRedefine/>
    <w:qFormat/>
    <w:locked/>
    <w:rPr>
      <w:rFonts w:ascii="Times New Roman" w:eastAsia="宋体" w:hAnsi="Times New Roman"/>
      <w:sz w:val="24"/>
    </w:rPr>
  </w:style>
  <w:style w:type="character" w:customStyle="1" w:styleId="fontstyle01">
    <w:name w:val="fontstyle01"/>
    <w:autoRedefine/>
    <w:qFormat/>
    <w:rPr>
      <w:rFonts w:ascii="宋体" w:eastAsia="宋体" w:hAnsi="宋体" w:hint="eastAsia"/>
      <w:color w:val="000000"/>
      <w:sz w:val="22"/>
      <w:szCs w:val="22"/>
    </w:rPr>
  </w:style>
  <w:style w:type="character" w:customStyle="1" w:styleId="Char0">
    <w:name w:val="表格内容 Char"/>
    <w:link w:val="a10"/>
    <w:autoRedefine/>
    <w:qFormat/>
    <w:rPr>
      <w:kern w:val="2"/>
      <w:sz w:val="21"/>
      <w:szCs w:val="21"/>
    </w:rPr>
  </w:style>
  <w:style w:type="paragraph" w:customStyle="1" w:styleId="a10">
    <w:name w:val="表格内容"/>
    <w:basedOn w:val="Normal"/>
    <w:next w:val="Normal"/>
    <w:link w:val="Char0"/>
    <w:autoRedefine/>
    <w:qFormat/>
    <w:pPr>
      <w:adjustRightInd w:val="0"/>
      <w:spacing w:line="360" w:lineRule="auto"/>
      <w:ind w:firstLine="200" w:firstLineChars="200"/>
      <w:jc w:val="center"/>
    </w:pPr>
    <w:rPr>
      <w:szCs w:val="21"/>
    </w:rPr>
  </w:style>
  <w:style w:type="character" w:customStyle="1" w:styleId="002">
    <w:name w:val="002表格名称 字符"/>
    <w:link w:val="0020"/>
    <w:autoRedefine/>
    <w:qFormat/>
    <w:rPr>
      <w:b/>
      <w:color w:val="000000"/>
      <w:sz w:val="21"/>
      <w:szCs w:val="21"/>
    </w:rPr>
  </w:style>
  <w:style w:type="paragraph" w:customStyle="1" w:styleId="0020">
    <w:name w:val="002表格名称"/>
    <w:basedOn w:val="Normal"/>
    <w:link w:val="002"/>
    <w:autoRedefine/>
    <w:qFormat/>
    <w:pPr>
      <w:jc w:val="center"/>
    </w:pPr>
    <w:rPr>
      <w:b/>
      <w:color w:val="000000"/>
      <w:kern w:val="0"/>
      <w:szCs w:val="21"/>
    </w:rPr>
  </w:style>
  <w:style w:type="character" w:customStyle="1" w:styleId="000">
    <w:name w:val="00正文 字符"/>
    <w:link w:val="003"/>
    <w:autoRedefine/>
    <w:qFormat/>
    <w:rPr>
      <w:color w:val="000000"/>
      <w:kern w:val="2"/>
      <w:sz w:val="21"/>
      <w:szCs w:val="24"/>
    </w:rPr>
  </w:style>
  <w:style w:type="paragraph" w:customStyle="1" w:styleId="003">
    <w:name w:val="00正文"/>
    <w:basedOn w:val="Normal"/>
    <w:link w:val="000"/>
    <w:autoRedefine/>
    <w:qFormat/>
    <w:pPr>
      <w:snapToGrid w:val="0"/>
      <w:spacing w:line="360" w:lineRule="auto"/>
      <w:ind w:firstLine="480" w:firstLineChars="200"/>
    </w:pPr>
    <w:rPr>
      <w:color w:val="000000"/>
    </w:rPr>
  </w:style>
  <w:style w:type="character" w:customStyle="1" w:styleId="Char1">
    <w:name w:val="表格 Char"/>
    <w:link w:val="a11"/>
    <w:autoRedefine/>
    <w:qFormat/>
    <w:locked/>
    <w:rPr>
      <w:rFonts w:ascii="宋体"/>
      <w:sz w:val="21"/>
    </w:rPr>
  </w:style>
  <w:style w:type="paragraph" w:customStyle="1" w:styleId="a11">
    <w:name w:val="表格"/>
    <w:basedOn w:val="Normal"/>
    <w:next w:val="Normal"/>
    <w:link w:val="Char1"/>
    <w:autoRedefine/>
    <w:qFormat/>
    <w:pPr>
      <w:adjustRightInd w:val="0"/>
      <w:snapToGrid w:val="0"/>
      <w:spacing w:beforeLines="10" w:afterLines="10" w:line="259" w:lineRule="auto"/>
      <w:jc w:val="center"/>
    </w:pPr>
    <w:rPr>
      <w:rFonts w:ascii="宋体"/>
      <w:kern w:val="0"/>
      <w:sz w:val="20"/>
      <w:szCs w:val="21"/>
    </w:rPr>
  </w:style>
  <w:style w:type="character" w:customStyle="1" w:styleId="Char2">
    <w:name w:val="报告书 Char"/>
    <w:link w:val="a12"/>
    <w:autoRedefine/>
    <w:qFormat/>
    <w:rPr>
      <w:rFonts w:ascii="宋体" w:hAnsi="宋体"/>
      <w:kern w:val="2"/>
      <w:sz w:val="24"/>
      <w:szCs w:val="24"/>
    </w:rPr>
  </w:style>
  <w:style w:type="paragraph" w:customStyle="1" w:styleId="a12">
    <w:name w:val="报告书"/>
    <w:basedOn w:val="Normal"/>
    <w:link w:val="Char2"/>
    <w:autoRedefine/>
    <w:qFormat/>
    <w:pPr>
      <w:autoSpaceDE w:val="0"/>
      <w:autoSpaceDN w:val="0"/>
      <w:adjustRightInd w:val="0"/>
      <w:snapToGrid w:val="0"/>
      <w:spacing w:line="360" w:lineRule="auto"/>
      <w:ind w:firstLine="480" w:firstLineChars="200"/>
      <w:textAlignment w:val="bottom"/>
    </w:pPr>
    <w:rPr>
      <w:rFonts w:ascii="宋体" w:hAnsi="宋体"/>
      <w:sz w:val="24"/>
    </w:rPr>
  </w:style>
  <w:style w:type="character" w:customStyle="1" w:styleId="03">
    <w:name w:val="03大标题 字符"/>
    <w:link w:val="030"/>
    <w:autoRedefine/>
    <w:qFormat/>
    <w:rPr>
      <w:b/>
      <w:kern w:val="2"/>
      <w:sz w:val="28"/>
      <w:szCs w:val="28"/>
      <w:lang w:val="zh-CN"/>
    </w:rPr>
  </w:style>
  <w:style w:type="paragraph" w:customStyle="1" w:styleId="030">
    <w:name w:val="03大标题"/>
    <w:basedOn w:val="Normal"/>
    <w:link w:val="03"/>
    <w:autoRedefine/>
    <w:qFormat/>
    <w:pPr>
      <w:autoSpaceDE w:val="0"/>
      <w:autoSpaceDN w:val="0"/>
      <w:adjustRightInd w:val="0"/>
      <w:spacing w:line="360" w:lineRule="auto"/>
    </w:pPr>
    <w:rPr>
      <w:b/>
      <w:sz w:val="28"/>
      <w:szCs w:val="28"/>
      <w:lang w:val="zh-CN"/>
    </w:rPr>
  </w:style>
  <w:style w:type="character" w:customStyle="1" w:styleId="fontstyle11">
    <w:name w:val="fontstyle11"/>
    <w:autoRedefine/>
    <w:qFormat/>
    <w:rPr>
      <w:rFonts w:ascii="TimesNewRomanPSMT" w:eastAsia="TimesNewRomanPSMT" w:hint="eastAsia"/>
      <w:color w:val="000000"/>
      <w:sz w:val="22"/>
      <w:szCs w:val="22"/>
    </w:rPr>
  </w:style>
  <w:style w:type="character" w:customStyle="1" w:styleId="01">
    <w:name w:val="01表格 字符"/>
    <w:link w:val="010"/>
    <w:autoRedefine/>
    <w:qFormat/>
    <w:rPr>
      <w:b/>
      <w:bCs/>
      <w:kern w:val="44"/>
      <w:sz w:val="21"/>
      <w:szCs w:val="44"/>
    </w:rPr>
  </w:style>
  <w:style w:type="paragraph" w:customStyle="1" w:styleId="010">
    <w:name w:val="01表格"/>
    <w:basedOn w:val="Normal"/>
    <w:link w:val="01"/>
    <w:autoRedefine/>
    <w:qFormat/>
    <w:pPr>
      <w:widowControl/>
      <w:spacing w:line="300" w:lineRule="auto"/>
      <w:jc w:val="center"/>
    </w:pPr>
    <w:rPr>
      <w:b/>
      <w:bCs/>
      <w:kern w:val="44"/>
      <w:szCs w:val="44"/>
    </w:rPr>
  </w:style>
  <w:style w:type="paragraph" w:customStyle="1" w:styleId="2">
    <w:name w:val="普通(网站)2"/>
    <w:basedOn w:val="Normal"/>
    <w:autoRedefine/>
    <w:qFormat/>
    <w:pPr>
      <w:widowControl/>
      <w:spacing w:before="100" w:beforeAutospacing="1" w:after="100" w:afterAutospacing="1"/>
      <w:jc w:val="left"/>
    </w:pPr>
    <w:rPr>
      <w:rFonts w:ascii="宋体" w:hAnsi="宋体"/>
      <w:sz w:val="24"/>
      <w:szCs w:val="20"/>
    </w:rPr>
  </w:style>
  <w:style w:type="paragraph" w:customStyle="1" w:styleId="a13">
    <w:name w:val="正正"/>
    <w:basedOn w:val="Normal"/>
    <w:autoRedefine/>
    <w:qFormat/>
    <w:pPr>
      <w:spacing w:line="360" w:lineRule="auto"/>
      <w:ind w:firstLine="200" w:firstLineChars="200"/>
    </w:pPr>
    <w:rPr>
      <w:sz w:val="24"/>
    </w:rPr>
  </w:style>
  <w:style w:type="paragraph" w:customStyle="1" w:styleId="9">
    <w:name w:val="样式9"/>
    <w:basedOn w:val="Normal"/>
    <w:autoRedefine/>
    <w:qFormat/>
    <w:pPr>
      <w:adjustRightInd w:val="0"/>
      <w:snapToGrid w:val="0"/>
      <w:spacing w:line="360" w:lineRule="exact"/>
      <w:jc w:val="center"/>
    </w:pPr>
    <w:rPr>
      <w:rFonts w:hAnsi="宋体"/>
      <w:kern w:val="0"/>
      <w:szCs w:val="21"/>
    </w:rPr>
  </w:style>
  <w:style w:type="paragraph" w:customStyle="1" w:styleId="Style19">
    <w:name w:val="_Style 19"/>
    <w:basedOn w:val="Normal"/>
    <w:next w:val="ListParagraph"/>
    <w:autoRedefine/>
    <w:uiPriority w:val="34"/>
    <w:qFormat/>
    <w:pPr>
      <w:ind w:firstLine="420" w:firstLineChars="200"/>
    </w:pPr>
    <w:rPr>
      <w:rFonts w:ascii="Calibri" w:hAnsi="Calibri"/>
      <w:szCs w:val="22"/>
    </w:rPr>
  </w:style>
  <w:style w:type="paragraph" w:styleId="ListParagraph">
    <w:name w:val="List Paragraph"/>
    <w:basedOn w:val="Normal"/>
    <w:autoRedefine/>
    <w:uiPriority w:val="34"/>
    <w:qFormat/>
    <w:pPr>
      <w:ind w:firstLine="420" w:firstLineChars="200"/>
    </w:pPr>
  </w:style>
  <w:style w:type="paragraph" w:customStyle="1" w:styleId="12">
    <w:name w:val="标题1"/>
    <w:basedOn w:val="Normal"/>
    <w:next w:val="Normal"/>
    <w:autoRedefine/>
    <w:qFormat/>
    <w:pPr>
      <w:tabs>
        <w:tab w:val="left" w:pos="720"/>
      </w:tabs>
      <w:spacing w:line="440" w:lineRule="atLeast"/>
      <w:ind w:left="720" w:hanging="240"/>
    </w:pPr>
    <w:rPr>
      <w:sz w:val="24"/>
      <w:szCs w:val="20"/>
    </w:rPr>
  </w:style>
  <w:style w:type="paragraph" w:customStyle="1" w:styleId="a14">
    <w:name w:val="表格首行"/>
    <w:basedOn w:val="Normal"/>
    <w:next w:val="Normal"/>
    <w:autoRedefine/>
    <w:qFormat/>
    <w:pPr>
      <w:adjustRightInd w:val="0"/>
      <w:spacing w:line="360" w:lineRule="auto"/>
      <w:ind w:firstLine="200" w:firstLineChars="200"/>
      <w:jc w:val="center"/>
    </w:pPr>
    <w:rPr>
      <w:rFonts w:cs="宋体"/>
      <w:b/>
      <w:sz w:val="24"/>
      <w:szCs w:val="20"/>
    </w:rPr>
  </w:style>
  <w:style w:type="paragraph" w:customStyle="1" w:styleId="20">
    <w:name w:val="样式2"/>
    <w:basedOn w:val="Normal"/>
    <w:qFormat/>
    <w:pPr>
      <w:adjustRightInd w:val="0"/>
      <w:ind w:left="170"/>
      <w:jc w:val="left"/>
      <w:textAlignment w:val="baseline"/>
    </w:pPr>
    <w:rPr>
      <w:b/>
      <w:kern w:val="0"/>
      <w:sz w:val="24"/>
      <w:szCs w:val="20"/>
    </w:rPr>
  </w:style>
  <w:style w:type="paragraph" w:customStyle="1" w:styleId="-">
    <w:name w:val="正文-欣欣"/>
    <w:basedOn w:val="Normal"/>
    <w:next w:val="Normal"/>
    <w:autoRedefine/>
    <w:qFormat/>
    <w:pPr>
      <w:spacing w:line="360" w:lineRule="auto"/>
      <w:ind w:firstLine="480" w:firstLineChars="200"/>
    </w:pPr>
    <w:rPr>
      <w:bCs/>
      <w:sz w:val="24"/>
    </w:rPr>
  </w:style>
  <w:style w:type="paragraph" w:customStyle="1" w:styleId="TableParagraph">
    <w:name w:val="Table Paragraph"/>
    <w:basedOn w:val="Normal"/>
    <w:autoRedefine/>
    <w:uiPriority w:val="1"/>
    <w:qFormat/>
    <w:pPr>
      <w:autoSpaceDE w:val="0"/>
      <w:autoSpaceDN w:val="0"/>
      <w:adjustRightInd w:val="0"/>
      <w:jc w:val="left"/>
    </w:pPr>
    <w:rPr>
      <w:rFonts w:eastAsia="等线"/>
      <w:kern w:val="0"/>
      <w:sz w:val="24"/>
    </w:rPr>
  </w:style>
  <w:style w:type="paragraph" w:customStyle="1" w:styleId="CharCharChar">
    <w:name w:val="我的正文 Char Char Char"/>
    <w:basedOn w:val="Normal"/>
    <w:autoRedefine/>
    <w:qFormat/>
    <w:pPr>
      <w:spacing w:line="360" w:lineRule="auto"/>
      <w:ind w:firstLine="200" w:firstLineChars="200"/>
    </w:pPr>
    <w:rPr>
      <w:sz w:val="24"/>
    </w:rPr>
  </w:style>
  <w:style w:type="paragraph" w:customStyle="1" w:styleId="-7">
    <w:name w:val="表格标题-7"/>
    <w:basedOn w:val="Normal"/>
    <w:next w:val="Normal"/>
    <w:autoRedefine/>
    <w:qFormat/>
    <w:pPr>
      <w:numPr>
        <w:ilvl w:val="0"/>
        <w:numId w:val="1"/>
      </w:numPr>
      <w:tabs>
        <w:tab w:val="left" w:pos="851"/>
      </w:tabs>
      <w:adjustRightInd w:val="0"/>
      <w:snapToGrid w:val="0"/>
      <w:spacing w:line="360" w:lineRule="auto"/>
      <w:ind w:firstLine="200" w:firstLineChars="200"/>
      <w:jc w:val="center"/>
    </w:pPr>
    <w:rPr>
      <w:b/>
      <w:sz w:val="24"/>
    </w:rPr>
  </w:style>
  <w:style w:type="paragraph" w:customStyle="1" w:styleId="Default">
    <w:name w:val="Default"/>
    <w:autoRedefine/>
    <w:qFormat/>
    <w:pPr>
      <w:widowControl w:val="0"/>
      <w:autoSpaceDE w:val="0"/>
      <w:autoSpaceDN w:val="0"/>
      <w:adjustRightInd w:val="0"/>
    </w:pPr>
    <w:rPr>
      <w:rFonts w:ascii="仿宋_GB2312" w:eastAsia="仿宋_GB2312" w:hAnsi="Times New Roman" w:cs="仿宋_GB2312"/>
      <w:color w:val="000000"/>
      <w:sz w:val="24"/>
      <w:szCs w:val="24"/>
      <w:lang w:val="en-US" w:eastAsia="zh-CN" w:bidi="ar-SA"/>
    </w:rPr>
  </w:style>
  <w:style w:type="paragraph" w:customStyle="1" w:styleId="font7">
    <w:name w:val="font7"/>
    <w:basedOn w:val="Normal"/>
    <w:autoRedefine/>
    <w:qFormat/>
    <w:pPr>
      <w:widowControl/>
      <w:spacing w:before="100" w:beforeAutospacing="1" w:after="100" w:afterAutospacing="1"/>
      <w:jc w:val="left"/>
    </w:pPr>
    <w:rPr>
      <w:rFonts w:ascii="宋体" w:hAnsi="宋体" w:hint="eastAsia"/>
      <w:kern w:val="0"/>
      <w:sz w:val="20"/>
      <w:szCs w:val="20"/>
    </w:rPr>
  </w:style>
  <w:style w:type="paragraph" w:customStyle="1" w:styleId="031">
    <w:name w:val="03括号不顶格"/>
    <w:basedOn w:val="003"/>
    <w:link w:val="032"/>
    <w:autoRedefine/>
    <w:qFormat/>
    <w:pPr>
      <w:ind w:firstLine="422"/>
    </w:pPr>
    <w:rPr>
      <w:b/>
      <w:bCs/>
    </w:rPr>
  </w:style>
  <w:style w:type="paragraph" w:customStyle="1" w:styleId="041">
    <w:name w:val="04加粗顶格"/>
    <w:basedOn w:val="040"/>
    <w:link w:val="042"/>
    <w:autoRedefine/>
    <w:qFormat/>
  </w:style>
  <w:style w:type="character" w:customStyle="1" w:styleId="032">
    <w:name w:val="03括号不顶格 字符"/>
    <w:link w:val="031"/>
    <w:autoRedefine/>
    <w:qFormat/>
    <w:rPr>
      <w:b/>
      <w:bCs/>
      <w:color w:val="000000"/>
      <w:kern w:val="2"/>
      <w:sz w:val="21"/>
      <w:szCs w:val="24"/>
    </w:rPr>
  </w:style>
  <w:style w:type="paragraph" w:customStyle="1" w:styleId="Normal0">
    <w:name w:val="Normal_0"/>
    <w:autoRedefine/>
    <w:qFormat/>
    <w:pPr>
      <w:widowControl w:val="0"/>
      <w:spacing w:line="360" w:lineRule="auto"/>
      <w:ind w:firstLine="200" w:firstLineChars="200"/>
      <w:jc w:val="both"/>
    </w:pPr>
    <w:rPr>
      <w:rFonts w:ascii="Times New Roman" w:eastAsia="仿宋" w:hAnsi="Times New Roman" w:cs="Times New Roman"/>
      <w:kern w:val="2"/>
      <w:sz w:val="28"/>
      <w:szCs w:val="21"/>
      <w:lang w:val="en-US" w:eastAsia="zh-CN" w:bidi="ar-SA"/>
    </w:rPr>
  </w:style>
  <w:style w:type="character" w:customStyle="1" w:styleId="042">
    <w:name w:val="04加粗顶格 字符"/>
    <w:link w:val="041"/>
    <w:autoRedefine/>
    <w:qFormat/>
    <w:rPr>
      <w:b/>
      <w:kern w:val="2"/>
      <w:sz w:val="24"/>
      <w:szCs w:val="24"/>
      <w:lang w:val="zh-CN"/>
    </w:rPr>
  </w:style>
  <w:style w:type="paragraph" w:customStyle="1" w:styleId="05">
    <w:name w:val="05表格图名"/>
    <w:basedOn w:val="Normal"/>
    <w:link w:val="050"/>
    <w:autoRedefine/>
    <w:qFormat/>
    <w:pPr>
      <w:spacing w:line="360" w:lineRule="auto"/>
      <w:jc w:val="center"/>
    </w:pPr>
    <w:rPr>
      <w:b/>
      <w:bCs/>
      <w:sz w:val="24"/>
      <w:szCs w:val="21"/>
    </w:rPr>
  </w:style>
  <w:style w:type="character" w:customStyle="1" w:styleId="050">
    <w:name w:val="05表格图名 字符"/>
    <w:link w:val="05"/>
    <w:autoRedefine/>
    <w:qFormat/>
    <w:rPr>
      <w:b/>
      <w:bCs/>
      <w:kern w:val="2"/>
      <w:sz w:val="24"/>
      <w:szCs w:val="21"/>
    </w:rPr>
  </w:style>
  <w:style w:type="paragraph" w:customStyle="1" w:styleId="13">
    <w:name w:val="修订1"/>
    <w:autoRedefine/>
    <w:hidden/>
    <w:uiPriority w:val="99"/>
    <w:unhideWhenUsed/>
    <w:qFormat/>
    <w:rPr>
      <w:rFonts w:ascii="Times New Roman" w:eastAsia="宋体" w:hAnsi="Times New Roman" w:cs="Times New Roman"/>
      <w:kern w:val="2"/>
      <w:sz w:val="21"/>
      <w:szCs w:val="24"/>
      <w:lang w:val="en-US" w:eastAsia="zh-CN" w:bidi="ar-SA"/>
    </w:rPr>
  </w:style>
  <w:style w:type="character" w:customStyle="1" w:styleId="fontstyle21">
    <w:name w:val="fontstyle21"/>
    <w:autoRedefine/>
    <w:qFormat/>
    <w:rPr>
      <w:rFonts w:ascii="TimesNewRomanPSMT" w:hAnsi="TimesNewRomanPSMT" w:hint="default"/>
      <w:color w:val="000000"/>
      <w:sz w:val="22"/>
      <w:szCs w:val="22"/>
    </w:rPr>
  </w:style>
  <w:style w:type="paragraph" w:customStyle="1" w:styleId="045">
    <w:name w:val="04加粗顶格字号5"/>
    <w:basedOn w:val="Normal"/>
    <w:link w:val="0450"/>
    <w:autoRedefine/>
    <w:qFormat/>
    <w:pPr>
      <w:spacing w:line="360" w:lineRule="auto"/>
    </w:pPr>
    <w:rPr>
      <w:b/>
      <w:szCs w:val="22"/>
    </w:rPr>
  </w:style>
  <w:style w:type="character" w:customStyle="1" w:styleId="0450">
    <w:name w:val="04加粗顶格字号5 字符"/>
    <w:link w:val="045"/>
    <w:autoRedefine/>
    <w:qFormat/>
    <w:rPr>
      <w:b/>
      <w:kern w:val="2"/>
      <w:sz w:val="21"/>
      <w:szCs w:val="22"/>
    </w:rPr>
  </w:style>
  <w:style w:type="paragraph" w:customStyle="1" w:styleId="051">
    <w:name w:val="05表格名称"/>
    <w:basedOn w:val="0020"/>
    <w:link w:val="052"/>
    <w:autoRedefine/>
    <w:qFormat/>
  </w:style>
  <w:style w:type="paragraph" w:customStyle="1" w:styleId="006">
    <w:name w:val="006表文字"/>
    <w:basedOn w:val="003"/>
    <w:link w:val="0060"/>
    <w:autoRedefine/>
    <w:qFormat/>
    <w:pPr>
      <w:spacing w:line="240" w:lineRule="auto"/>
      <w:ind w:firstLine="420"/>
    </w:pPr>
  </w:style>
  <w:style w:type="character" w:customStyle="1" w:styleId="052">
    <w:name w:val="05表格名称 字符"/>
    <w:link w:val="051"/>
    <w:autoRedefine/>
    <w:qFormat/>
    <w:rPr>
      <w:b/>
      <w:color w:val="000000"/>
      <w:sz w:val="21"/>
      <w:szCs w:val="21"/>
    </w:rPr>
  </w:style>
  <w:style w:type="paragraph" w:customStyle="1" w:styleId="20505205">
    <w:name w:val="样式 样式 首行缩进:  2 字符 段前: 0.5 行 段后: 0.5 行 + 首行缩进:  2 字符 段前: 0.5 行 ..."/>
    <w:basedOn w:val="Normal"/>
    <w:autoRedefine/>
    <w:qFormat/>
    <w:pPr>
      <w:adjustRightInd w:val="0"/>
      <w:snapToGrid w:val="0"/>
      <w:spacing w:line="360" w:lineRule="auto"/>
      <w:ind w:firstLine="880" w:firstLineChars="200"/>
    </w:pPr>
    <w:rPr>
      <w:rFonts w:cs="宋体"/>
      <w:sz w:val="24"/>
      <w:szCs w:val="20"/>
    </w:rPr>
  </w:style>
  <w:style w:type="character" w:customStyle="1" w:styleId="0060">
    <w:name w:val="006表文字 字符"/>
    <w:link w:val="006"/>
    <w:autoRedefine/>
    <w:qFormat/>
    <w:rPr>
      <w:color w:val="000000"/>
      <w:kern w:val="2"/>
      <w:sz w:val="21"/>
      <w:szCs w:val="24"/>
    </w:rPr>
  </w:style>
  <w:style w:type="paragraph" w:customStyle="1" w:styleId="a15">
    <w:name w:val="首行缩进正文"/>
    <w:basedOn w:val="Normal"/>
    <w:autoRedefine/>
    <w:qFormat/>
    <w:pPr>
      <w:adjustRightInd w:val="0"/>
      <w:snapToGrid w:val="0"/>
      <w:spacing w:line="360" w:lineRule="auto"/>
      <w:ind w:firstLine="200" w:firstLineChars="200"/>
    </w:pPr>
    <w:rPr>
      <w:rFonts w:cs="宋体"/>
      <w:sz w:val="28"/>
      <w:szCs w:val="20"/>
      <w:lang w:bidi="he-IL"/>
    </w:rPr>
  </w:style>
  <w:style w:type="paragraph" w:customStyle="1" w:styleId="021">
    <w:name w:val="02表格名"/>
    <w:basedOn w:val="003"/>
    <w:link w:val="022"/>
    <w:autoRedefine/>
    <w:qFormat/>
    <w:pPr>
      <w:snapToGrid/>
      <w:spacing w:line="240" w:lineRule="auto"/>
      <w:ind w:firstLine="0" w:firstLineChars="0"/>
      <w:jc w:val="center"/>
    </w:pPr>
    <w:rPr>
      <w:b/>
      <w:bCs/>
      <w:color w:val="auto"/>
    </w:rPr>
  </w:style>
  <w:style w:type="character" w:customStyle="1" w:styleId="022">
    <w:name w:val="02表格名 字符"/>
    <w:link w:val="021"/>
    <w:autoRedefine/>
    <w:qFormat/>
    <w:rPr>
      <w:b/>
      <w:bCs/>
      <w:kern w:val="2"/>
      <w:sz w:val="21"/>
      <w:szCs w:val="24"/>
    </w:rPr>
  </w:style>
  <w:style w:type="character" w:customStyle="1" w:styleId="rptChar">
    <w:name w:val="rpt_表项 Char"/>
    <w:link w:val="rpt"/>
    <w:autoRedefine/>
    <w:qFormat/>
    <w:rPr>
      <w:rFonts w:cs="宋体"/>
      <w:sz w:val="22"/>
    </w:rPr>
  </w:style>
  <w:style w:type="paragraph" w:customStyle="1" w:styleId="rpt">
    <w:name w:val="rpt_表项"/>
    <w:basedOn w:val="Normal"/>
    <w:link w:val="rptChar"/>
    <w:autoRedefine/>
    <w:qFormat/>
    <w:pPr>
      <w:spacing w:before="60" w:after="60"/>
      <w:jc w:val="center"/>
    </w:pPr>
    <w:rPr>
      <w:rFonts w:cs="宋体"/>
      <w:kern w:val="0"/>
      <w:sz w:val="22"/>
      <w:szCs w:val="20"/>
    </w:rPr>
  </w:style>
  <w:style w:type="paragraph" w:customStyle="1" w:styleId="Normal00">
    <w:name w:val="Normal_0_0"/>
    <w:autoRedefine/>
    <w:qFormat/>
    <w:pPr>
      <w:widowControl w:val="0"/>
      <w:spacing w:line="360" w:lineRule="auto"/>
      <w:ind w:firstLine="200" w:firstLineChars="200"/>
      <w:jc w:val="both"/>
    </w:pPr>
    <w:rPr>
      <w:rFonts w:ascii="Times New Roman" w:eastAsia="仿宋" w:hAnsi="Times New Roman" w:cs="Times New Roman"/>
      <w:kern w:val="2"/>
      <w:sz w:val="28"/>
      <w:szCs w:val="21"/>
      <w:lang w:val="en-US" w:eastAsia="zh-CN" w:bidi="ar-SA"/>
    </w:rPr>
  </w:style>
  <w:style w:type="paragraph" w:customStyle="1" w:styleId="043">
    <w:name w:val="04正文"/>
    <w:basedOn w:val="Normal"/>
    <w:link w:val="044"/>
    <w:autoRedefine/>
    <w:qFormat/>
    <w:pPr>
      <w:spacing w:line="360" w:lineRule="auto"/>
      <w:ind w:firstLine="200" w:firstLineChars="200"/>
    </w:pPr>
    <w:rPr>
      <w:szCs w:val="22"/>
    </w:rPr>
  </w:style>
  <w:style w:type="character" w:customStyle="1" w:styleId="044">
    <w:name w:val="04正文 字符"/>
    <w:link w:val="043"/>
    <w:autoRedefine/>
    <w:qFormat/>
    <w:rPr>
      <w:kern w:val="2"/>
      <w:sz w:val="21"/>
      <w:szCs w:val="22"/>
    </w:rPr>
  </w:style>
  <w:style w:type="paragraph" w:customStyle="1" w:styleId="TOC11">
    <w:name w:val="TOC 11"/>
    <w:basedOn w:val="Normal"/>
    <w:next w:val="Normal"/>
    <w:autoRedefine/>
    <w:uiPriority w:val="39"/>
    <w:unhideWhenUsed/>
    <w:qFormat/>
    <w:pPr>
      <w:spacing w:line="360" w:lineRule="auto"/>
      <w:ind w:firstLine="1040" w:firstLineChars="200"/>
    </w:pPr>
    <w:rPr>
      <w:kern w:val="0"/>
      <w:sz w:val="24"/>
      <w:lang w:eastAsia="en-US"/>
    </w:rPr>
  </w:style>
  <w:style w:type="paragraph" w:customStyle="1" w:styleId="06">
    <w:name w:val="06表格内文本"/>
    <w:basedOn w:val="043"/>
    <w:link w:val="060"/>
    <w:autoRedefine/>
    <w:qFormat/>
    <w:pPr>
      <w:spacing w:line="240" w:lineRule="auto"/>
      <w:ind w:firstLine="0" w:firstLineChars="0"/>
      <w:jc w:val="center"/>
    </w:pPr>
    <w:rPr>
      <w:szCs w:val="21"/>
    </w:rPr>
  </w:style>
  <w:style w:type="character" w:customStyle="1" w:styleId="060">
    <w:name w:val="06表格内文本 字符"/>
    <w:link w:val="06"/>
    <w:autoRedefine/>
    <w:qFormat/>
    <w:rPr>
      <w:kern w:val="2"/>
      <w:sz w:val="21"/>
      <w:szCs w:val="21"/>
    </w:rPr>
  </w:style>
  <w:style w:type="table" w:customStyle="1" w:styleId="TableGrid0">
    <w:name w:val="Table Grid_0"/>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image" Target="media/image1.jpeg"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image" Target="media/image2.jpeg" /><Relationship Id="rId22" Type="http://schemas.openxmlformats.org/officeDocument/2006/relationships/image" Target="media/image3.jpeg"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image" Target="media/image4.jpeg"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image" Target="media/image5.jpeg" /><Relationship Id="rId29" Type="http://schemas.openxmlformats.org/officeDocument/2006/relationships/image" Target="media/image6.jpeg" /><Relationship Id="rId3" Type="http://schemas.openxmlformats.org/officeDocument/2006/relationships/fontTable" Target="fontTable.xml" /><Relationship Id="rId30" Type="http://schemas.openxmlformats.org/officeDocument/2006/relationships/footer" Target="footer19.xml" /><Relationship Id="rId31" Type="http://schemas.openxmlformats.org/officeDocument/2006/relationships/footer" Target="footer20.xml" /><Relationship Id="rId32" Type="http://schemas.openxmlformats.org/officeDocument/2006/relationships/footer" Target="footer21.xml" /><Relationship Id="rId33" Type="http://schemas.openxmlformats.org/officeDocument/2006/relationships/footer" Target="footer22.xml" /><Relationship Id="rId34" Type="http://schemas.openxmlformats.org/officeDocument/2006/relationships/footer" Target="footer23.xml" /><Relationship Id="rId35" Type="http://schemas.openxmlformats.org/officeDocument/2006/relationships/footer" Target="footer24.xml" /><Relationship Id="rId36" Type="http://schemas.openxmlformats.org/officeDocument/2006/relationships/footer" Target="footer25.xml" /><Relationship Id="rId37" Type="http://schemas.openxmlformats.org/officeDocument/2006/relationships/footer" Target="footer26.xml" /><Relationship Id="rId38" Type="http://schemas.openxmlformats.org/officeDocument/2006/relationships/footer" Target="footer27.xml" /><Relationship Id="rId39" Type="http://schemas.openxmlformats.org/officeDocument/2006/relationships/footer" Target="footer28.xml" /><Relationship Id="rId4" Type="http://schemas.openxmlformats.org/officeDocument/2006/relationships/customXml" Target="../customXml/item1.xml" /><Relationship Id="rId40" Type="http://schemas.openxmlformats.org/officeDocument/2006/relationships/footer" Target="footer29.xml" /><Relationship Id="rId41" Type="http://schemas.openxmlformats.org/officeDocument/2006/relationships/footer" Target="footer30.xml" /><Relationship Id="rId42" Type="http://schemas.openxmlformats.org/officeDocument/2006/relationships/footer" Target="footer31.xml" /><Relationship Id="rId43" Type="http://schemas.openxmlformats.org/officeDocument/2006/relationships/footer" Target="footer32.xml" /><Relationship Id="rId44" Type="http://schemas.openxmlformats.org/officeDocument/2006/relationships/footer" Target="footer33.xml" /><Relationship Id="rId45" Type="http://schemas.openxmlformats.org/officeDocument/2006/relationships/footer" Target="footer34.xml" /><Relationship Id="rId46" Type="http://schemas.openxmlformats.org/officeDocument/2006/relationships/footer" Target="footer35.xml" /><Relationship Id="rId47" Type="http://schemas.openxmlformats.org/officeDocument/2006/relationships/footer" Target="footer36.xml" /><Relationship Id="rId48" Type="http://schemas.openxmlformats.org/officeDocument/2006/relationships/footer" Target="footer37.xml" /><Relationship Id="rId49" Type="http://schemas.openxmlformats.org/officeDocument/2006/relationships/footer" Target="footer38.xml" /><Relationship Id="rId5" Type="http://schemas.openxmlformats.org/officeDocument/2006/relationships/customXml" Target="../customXml/item2.xml" /><Relationship Id="rId50" Type="http://schemas.openxmlformats.org/officeDocument/2006/relationships/footer" Target="footer39.xml" /><Relationship Id="rId51" Type="http://schemas.openxmlformats.org/officeDocument/2006/relationships/footer" Target="footer40.xml" /><Relationship Id="rId52" Type="http://schemas.openxmlformats.org/officeDocument/2006/relationships/image" Target="media/image7.jpeg" /><Relationship Id="rId53" Type="http://schemas.openxmlformats.org/officeDocument/2006/relationships/footer" Target="footer41.xml" /><Relationship Id="rId54" Type="http://schemas.openxmlformats.org/officeDocument/2006/relationships/footer" Target="footer42.xml" /><Relationship Id="rId55" Type="http://schemas.openxmlformats.org/officeDocument/2006/relationships/image" Target="media/image8.png" /><Relationship Id="rId56" Type="http://schemas.openxmlformats.org/officeDocument/2006/relationships/footer" Target="footer43.xml" /><Relationship Id="rId57" Type="http://schemas.openxmlformats.org/officeDocument/2006/relationships/footer" Target="footer44.xml" /><Relationship Id="rId58" Type="http://schemas.openxmlformats.org/officeDocument/2006/relationships/footer" Target="footer45.xml" /><Relationship Id="rId59" Type="http://schemas.openxmlformats.org/officeDocument/2006/relationships/footer" Target="footer46.xml" /><Relationship Id="rId6" Type="http://schemas.openxmlformats.org/officeDocument/2006/relationships/footer" Target="footer1.xml" /><Relationship Id="rId60" Type="http://schemas.openxmlformats.org/officeDocument/2006/relationships/footer" Target="footer47.xml" /><Relationship Id="rId61" Type="http://schemas.openxmlformats.org/officeDocument/2006/relationships/footer" Target="footer48.xml" /><Relationship Id="rId62" Type="http://schemas.openxmlformats.org/officeDocument/2006/relationships/footer" Target="footer49.xml" /><Relationship Id="rId63" Type="http://schemas.openxmlformats.org/officeDocument/2006/relationships/footer" Target="footer50.xml" /><Relationship Id="rId64" Type="http://schemas.openxmlformats.org/officeDocument/2006/relationships/image" Target="media/image9.jpeg" /><Relationship Id="rId65" Type="http://schemas.openxmlformats.org/officeDocument/2006/relationships/image" Target="media/image10.png" /><Relationship Id="rId66" Type="http://schemas.openxmlformats.org/officeDocument/2006/relationships/footer" Target="footer51.xml" /><Relationship Id="rId67" Type="http://schemas.openxmlformats.org/officeDocument/2006/relationships/footer" Target="footer52.xml" /><Relationship Id="rId68" Type="http://schemas.openxmlformats.org/officeDocument/2006/relationships/image" Target="media/image11.jpeg" /><Relationship Id="rId69" Type="http://schemas.openxmlformats.org/officeDocument/2006/relationships/image" Target="media/image12.png" /><Relationship Id="rId7" Type="http://schemas.openxmlformats.org/officeDocument/2006/relationships/footer" Target="footer2.xml" /><Relationship Id="rId70" Type="http://schemas.openxmlformats.org/officeDocument/2006/relationships/footer" Target="footer53.xml" /><Relationship Id="rId71" Type="http://schemas.openxmlformats.org/officeDocument/2006/relationships/footer" Target="footer54.xml" /><Relationship Id="rId72" Type="http://schemas.openxmlformats.org/officeDocument/2006/relationships/footer" Target="footer55.xml" /><Relationship Id="rId73" Type="http://schemas.openxmlformats.org/officeDocument/2006/relationships/footer" Target="footer56.xml" /><Relationship Id="rId74" Type="http://schemas.openxmlformats.org/officeDocument/2006/relationships/footer" Target="footer57.xml" /><Relationship Id="rId75" Type="http://schemas.openxmlformats.org/officeDocument/2006/relationships/footer" Target="footer58.xml" /><Relationship Id="rId76" Type="http://schemas.openxmlformats.org/officeDocument/2006/relationships/footer" Target="footer59.xml" /><Relationship Id="rId77" Type="http://schemas.openxmlformats.org/officeDocument/2006/relationships/footer" Target="footer60.xml" /><Relationship Id="rId78" Type="http://schemas.openxmlformats.org/officeDocument/2006/relationships/image" Target="media/image13.jpeg" /><Relationship Id="rId79" Type="http://schemas.openxmlformats.org/officeDocument/2006/relationships/footer" Target="footer61.xml" /><Relationship Id="rId8" Type="http://schemas.openxmlformats.org/officeDocument/2006/relationships/footer" Target="footer3.xml" /><Relationship Id="rId80" Type="http://schemas.openxmlformats.org/officeDocument/2006/relationships/footer" Target="footer62.xml" /><Relationship Id="rId81" Type="http://schemas.openxmlformats.org/officeDocument/2006/relationships/image" Target="media/image14.png" /><Relationship Id="rId82" Type="http://schemas.openxmlformats.org/officeDocument/2006/relationships/footer" Target="footer63.xml" /><Relationship Id="rId83" Type="http://schemas.openxmlformats.org/officeDocument/2006/relationships/footer" Target="footer64.xml" /><Relationship Id="rId84" Type="http://schemas.openxmlformats.org/officeDocument/2006/relationships/footer" Target="footer65.xml" /><Relationship Id="rId85" Type="http://schemas.openxmlformats.org/officeDocument/2006/relationships/footer" Target="footer66.xml" /><Relationship Id="rId86" Type="http://schemas.openxmlformats.org/officeDocument/2006/relationships/hyperlink" Target="https://d.book118.com/475332043310011044" TargetMode="External" /><Relationship Id="rId87" Type="http://schemas.openxmlformats.org/officeDocument/2006/relationships/footer" Target="footer67.xml" /><Relationship Id="rId88" Type="http://schemas.openxmlformats.org/officeDocument/2006/relationships/footer" Target="footer68.xml" /><Relationship Id="rId89" Type="http://schemas.openxmlformats.org/officeDocument/2006/relationships/theme" Target="theme/theme1.xml" /><Relationship Id="rId9" Type="http://schemas.openxmlformats.org/officeDocument/2006/relationships/footer" Target="footer4.xml" /><Relationship Id="rId90" Type="http://schemas.openxmlformats.org/officeDocument/2006/relationships/numbering" Target="numbering.xml" /><Relationship Id="rId91"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880F5D-CAB1-4641-AFBA-F24C4EFC4E3D}">
  <ds:schemaRefs/>
</ds:datastoreItem>
</file>

<file path=docProps/app.xml><?xml version="1.0" encoding="utf-8"?>
<Properties xmlns="http://schemas.openxmlformats.org/officeDocument/2006/extended-properties" xmlns:vt="http://schemas.openxmlformats.org/officeDocument/2006/docPropsVTypes">
  <Template>Normal.dotm</Template>
  <TotalTime>910</TotalTime>
  <Pages>50</Pages>
  <Words>9129</Words>
  <Characters>52040</Characters>
  <Application>Microsoft Office Word</Application>
  <DocSecurity>0</DocSecurity>
  <Lines>433</Lines>
  <Paragraphs>122</Paragraphs>
  <ScaleCrop>false</ScaleCrop>
  <Company>微软中国</Company>
  <LinksUpToDate>false</LinksUpToDate>
  <CharactersWithSpaces>61047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lhj</dc:creator>
  <cp:lastModifiedBy>雨城生态环境局</cp:lastModifiedBy>
  <cp:revision>65</cp:revision>
  <cp:lastPrinted>2022-11-09T07:20:00Z</cp:lastPrinted>
  <dcterms:created xsi:type="dcterms:W3CDTF">2022-11-02T06:57:00Z</dcterms:created>
  <dcterms:modified xsi:type="dcterms:W3CDTF">2024-01-05T08:48:04Z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FAC7AAD2F50745F29E058279BFDD619E_13</vt:lpwstr>
  </property>
  <property fmtid="{D5CDD505-2E9C-101B-9397-08002B2CF9AE}" pid="3" name="KSOProductBuildVer">
    <vt:lpwstr>2052-12.1.0.16120</vt:lpwstr>
  </property>
</Properties>
</file>