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6C7" w:rsidRPr="007B0488" w:rsidP="004D46C7">
      <w:pPr>
        <w:jc w:val="center"/>
        <w:rPr>
          <w:rFonts w:ascii="DFKai-SB" w:eastAsia="DFKai-SB" w:hAnsi="DFKai-SB" w:hint="eastAsia"/>
          <w:sz w:val="44"/>
          <w:szCs w:val="44"/>
        </w:rPr>
      </w:pPr>
    </w:p>
    <w:p w:rsidR="004D46C7" w:rsidRPr="007B0488" w:rsidP="004D46C7">
      <w:pPr>
        <w:jc w:val="center"/>
        <w:rPr>
          <w:rFonts w:ascii="DFKai-SB" w:eastAsia="DFKai-SB" w:hAnsi="DFKai-SB" w:hint="eastAsia"/>
          <w:sz w:val="44"/>
          <w:szCs w:val="44"/>
        </w:rPr>
      </w:pPr>
    </w:p>
    <w:p w:rsidR="004D46C7" w:rsidRPr="007B0488" w:rsidP="004D46C7">
      <w:pPr>
        <w:jc w:val="center"/>
        <w:rPr>
          <w:rFonts w:ascii="DFKai-SB" w:eastAsia="DFKai-SB" w:hAnsi="DFKai-SB" w:hint="eastAsia"/>
          <w:sz w:val="44"/>
          <w:szCs w:val="44"/>
        </w:rPr>
      </w:pPr>
    </w:p>
    <w:p w:rsidR="004D46C7" w:rsidRPr="007B0488" w:rsidP="004D46C7">
      <w:pPr>
        <w:jc w:val="center"/>
        <w:rPr>
          <w:rFonts w:ascii="DFKai-SB" w:eastAsia="DFKai-SB" w:hAnsi="DFKai-SB" w:hint="eastAsia"/>
          <w:sz w:val="44"/>
          <w:szCs w:val="44"/>
        </w:rPr>
      </w:pPr>
    </w:p>
    <w:p w:rsidR="004D46C7" w:rsidRPr="007B0488" w:rsidP="004D46C7">
      <w:pPr>
        <w:spacing w:after="62" w:afterLines="20"/>
        <w:jc w:val="center"/>
        <w:rPr>
          <w:rFonts w:ascii="DFKai-SB" w:eastAsia="DFKai-SB" w:hAnsi="DFKai-SB" w:hint="eastAsia"/>
          <w:color w:val="000000"/>
          <w:sz w:val="44"/>
          <w:szCs w:val="44"/>
        </w:rPr>
      </w:pPr>
      <w:r w:rsidRPr="007B0488">
        <w:rPr>
          <w:rFonts w:ascii="DFKai-SB" w:eastAsia="DFKai-SB" w:hAnsi="DFKai-SB" w:hint="eastAsia"/>
          <w:color w:val="000000"/>
          <w:sz w:val="44"/>
          <w:szCs w:val="44"/>
        </w:rPr>
        <w:t>XX市房地产市场调研报告</w:t>
      </w:r>
    </w:p>
    <w:p w:rsidR="004D46C7" w:rsidRPr="007B0488" w:rsidP="004D46C7">
      <w:pPr>
        <w:spacing w:after="62" w:afterLines="20"/>
        <w:jc w:val="center"/>
        <w:rPr>
          <w:rFonts w:ascii="DFKai-SB" w:eastAsia="DFKai-SB" w:hAnsi="DFKai-SB" w:hint="eastAsia"/>
          <w:b/>
          <w:color w:val="000000"/>
          <w:sz w:val="32"/>
          <w:szCs w:val="32"/>
        </w:rPr>
      </w:pPr>
    </w:p>
    <w:p w:rsidR="004D46C7" w:rsidRPr="007B0488" w:rsidP="004D46C7">
      <w:pPr>
        <w:spacing w:line="480" w:lineRule="auto"/>
        <w:jc w:val="center"/>
        <w:rPr>
          <w:rFonts w:ascii="DFKai-SB" w:eastAsia="DFKai-SB" w:hAnsi="DFKai-SB" w:hint="eastAsia"/>
          <w:b/>
          <w:color w:val="000000"/>
          <w:sz w:val="32"/>
          <w:szCs w:val="32"/>
        </w:rPr>
      </w:pPr>
      <w:r w:rsidRPr="007B0488">
        <w:rPr>
          <w:rFonts w:ascii="DFKai-SB" w:eastAsia="DFKai-SB" w:hAnsi="DFKai-SB" w:hint="eastAsia"/>
          <w:b/>
          <w:color w:val="000000"/>
          <w:sz w:val="32"/>
          <w:szCs w:val="32"/>
        </w:rPr>
        <w:t>摘　要</w:t>
      </w: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after="156" w:afterLines="50"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在全国楼市分化日渐严重的今天，XX楼市由于起步晚故而风光独好，供需两旺，后劲充足，预计今后两三年内仍将呈高速开展态势。</w:t>
      </w:r>
    </w:p>
    <w:p w:rsidR="004D46C7" w:rsidRPr="007B0488" w:rsidP="004D46C7">
      <w:pPr>
        <w:spacing w:after="156" w:afterLines="50"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在XX各大地产板块中，海湖新区开发水平高，开展潜力足；城西区、城中区由于为传统市区，市民认可度高，未来无论市场如何变化，都将持坚硬态势。</w:t>
      </w:r>
    </w:p>
    <w:p w:rsidR="004D46C7" w:rsidRPr="007B0488" w:rsidP="004D46C7">
      <w:pPr>
        <w:spacing w:after="156" w:afterLines="50"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当前XX住宅均价0.57万元/㎡，商铺均价3.03万元/㎡，写字楼主力价1.50万元/㎡，各种物业形态都呈均衡开展态势。</w:t>
      </w:r>
    </w:p>
    <w:p w:rsidR="004D46C7" w:rsidRPr="007B0488" w:rsidP="004D46C7">
      <w:pPr>
        <w:spacing w:after="156" w:afterLines="50"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XX作为省城，经济的平稳开展，人口的稳定增加，农牧民的入住，外来人口的置业，都将为这座城市的房地产开展注入活力。</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随着外来大型开发商的不断进驻，XX房地产市场的竞争正开场趋向剧烈，故而务必注重产品品质，而且两三年后，开发将会趋向饱和。</w:t>
      </w: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4"/>
          <w:footerReference w:type="even" r:id="rId5"/>
          <w:footerReference w:type="default" r:id="rId6"/>
          <w:footerReference w:type="first" r:id="rId7"/>
          <w:pgSz w:w="11906" w:h="16838" w:code="9"/>
          <w:pgMar w:top="1814" w:right="1418" w:bottom="1701" w:left="1814" w:header="1134" w:footer="1247" w:gutter="0"/>
          <w:pgNumType w:fmt="chineseLegalSimplified"/>
          <w:cols w:space="425"/>
          <w:titlePg/>
          <w:docGrid w:type="lines" w:linePitch="312"/>
        </w:sect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2013年8月21－27日，我们对XX30多个楼盘进展了全面的调查，调查区域涵盖了XX市海湖新区、城中区、城东区和城北区，并查阅了大量相关资料，通过充分的分析，特撰本报告，以期为工程的后续开发提供第一手资料。</w:t>
      </w: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549" w:firstLineChars="196"/>
        <w:rPr>
          <w:rFonts w:ascii="DFKai-SB" w:eastAsia="DFKai-SB" w:hAnsi="DFKai-SB" w:hint="eastAsia"/>
          <w:color w:val="000000"/>
          <w:sz w:val="28"/>
          <w:szCs w:val="28"/>
        </w:rPr>
      </w:pPr>
      <w:r w:rsidRPr="007B0488">
        <w:rPr>
          <w:rFonts w:ascii="DFKai-SB" w:eastAsia="DFKai-SB" w:hAnsi="DFKai-SB" w:hint="eastAsia"/>
          <w:color w:val="000000"/>
          <w:sz w:val="28"/>
          <w:szCs w:val="28"/>
        </w:rPr>
        <w:t>一、宏观背景分析</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〔一〕宏观政策分析</w:t>
      </w:r>
    </w:p>
    <w:p w:rsidR="004D46C7" w:rsidRPr="007B0488" w:rsidP="008918C2">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b/>
          <w:color w:val="000000"/>
          <w:sz w:val="24"/>
        </w:rPr>
        <w:t>1、当前市场概况</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当前，随着中国社会和城市的开展，中国房地产市场已到一个非常微妙的阶段，并开场出现严重的分化：</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其一，一二线城市由于占据了大量的社会资源，加之中国贫富分化的不断加剧，使得这些城市的房产成为许多人向往的稀缺品，外来人口不断输入，有钱人想更多拥有，房子供不应求，价格不断上涨。</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其二，许多三四线城市输入人口原本少于输出人口，但多年来一直无节制地开展房地产，当前已普遍供过于求，从而出现比拟严重的滞销；其中，一些流行民间借贷和炒房的城市房价开场出现大跌，如XX、鄂尔多斯、神木等，个别城市因入住率极低被称为</w:t>
      </w:r>
      <w:r w:rsidRPr="007B0488">
        <w:rPr>
          <w:rFonts w:ascii="DFKai-SB" w:eastAsia="DFKai-SB" w:hAnsi="DFKai-SB" w:hint="eastAsia"/>
          <w:color w:val="000000"/>
          <w:sz w:val="24"/>
        </w:rPr>
        <w:t>“</w:t>
      </w:r>
      <w:r w:rsidRPr="007B0488">
        <w:rPr>
          <w:rFonts w:ascii="DFKai-SB" w:eastAsia="DFKai-SB" w:hAnsi="DFKai-SB" w:hint="eastAsia"/>
          <w:color w:val="000000"/>
          <w:sz w:val="24"/>
        </w:rPr>
        <w:t>鬼城〞。</w:t>
      </w: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8"/>
          <w:footerReference w:type="even" r:id="rId9"/>
          <w:footerReference w:type="default" r:id="rId10"/>
          <w:footerReference w:type="first" r:id="rId11"/>
          <w:type w:val="nextPage"/>
          <w:pgSz w:w="11906" w:h="16838" w:code="9"/>
          <w:pgMar w:top="1814" w:right="1418" w:bottom="1701" w:left="1814" w:header="1134" w:footer="1247" w:gutter="0"/>
          <w:pgNumType w:fmt="chineseLegalSimplified" w:start="2"/>
          <w:cols w:space="425"/>
          <w:titlePg w:val="0"/>
          <w:docGrid w:type="lines" w:linePitch="312"/>
        </w:sectPr>
      </w:pP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此外，仅有少量中小城市，由于房地产开展较晚，当地政府没有过度推进房地产业，所以当前市场较安康。</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2、未来政策趋势</w:t>
      </w:r>
    </w:p>
    <w:p w:rsidR="004D46C7" w:rsidRPr="007B0488" w:rsidP="004D46C7">
      <w:pPr>
        <w:tabs>
          <w:tab w:val="left" w:pos="5835"/>
        </w:tabs>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在温家宝主政期间，政府不断出台房地产政策，但政策不得要领，故而始终未能遏制住房地产市场的不安康开展。新一届政府上台后，由于</w:t>
      </w:r>
      <w:r w:rsidRPr="007B0488">
        <w:rPr>
          <w:rFonts w:ascii="DFKai-SB" w:eastAsia="DFKai-SB" w:hAnsi="DFKai-SB" w:hint="eastAsia"/>
          <w:color w:val="000000"/>
          <w:sz w:val="24"/>
        </w:rPr>
        <w:t>“</w:t>
      </w:r>
      <w:r w:rsidRPr="007B0488">
        <w:rPr>
          <w:rFonts w:ascii="DFKai-SB" w:eastAsia="DFKai-SB" w:hAnsi="DFKai-SB" w:hint="eastAsia"/>
          <w:color w:val="000000"/>
          <w:sz w:val="24"/>
        </w:rPr>
        <w:t>李克强经济学〞的核心是</w:t>
      </w:r>
      <w:r w:rsidRPr="007B0488">
        <w:rPr>
          <w:rFonts w:ascii="DFKai-SB" w:eastAsia="DFKai-SB" w:hAnsi="DFKai-SB" w:hint="eastAsia"/>
          <w:color w:val="000000"/>
          <w:sz w:val="24"/>
        </w:rPr>
        <w:t>“</w:t>
      </w:r>
      <w:r w:rsidRPr="007B0488">
        <w:rPr>
          <w:rFonts w:ascii="DFKai-SB" w:eastAsia="DFKai-SB" w:hAnsi="DFKai-SB" w:hint="eastAsia"/>
          <w:color w:val="000000"/>
          <w:sz w:val="24"/>
        </w:rPr>
        <w:t>市场主义导向〞，所以很少对房地产出台政策，何况由于当前各地房地产市场不同，已不宜出台全国性政策。</w:t>
      </w:r>
    </w:p>
    <w:p w:rsidR="004D46C7" w:rsidRPr="007B0488" w:rsidP="004D46C7">
      <w:pPr>
        <w:tabs>
          <w:tab w:val="left" w:pos="5835"/>
        </w:tabs>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因此，当前除了光打雷不下雨的</w:t>
      </w:r>
      <w:r w:rsidRPr="007B0488">
        <w:rPr>
          <w:rFonts w:ascii="DFKai-SB" w:eastAsia="DFKai-SB" w:hAnsi="DFKai-SB" w:hint="eastAsia"/>
          <w:color w:val="000000"/>
          <w:sz w:val="24"/>
        </w:rPr>
        <w:t>“</w:t>
      </w:r>
      <w:r w:rsidRPr="007B0488">
        <w:rPr>
          <w:rFonts w:ascii="DFKai-SB" w:eastAsia="DFKai-SB" w:hAnsi="DFKai-SB" w:hint="eastAsia"/>
          <w:color w:val="000000"/>
          <w:sz w:val="24"/>
        </w:rPr>
        <w:t>房产持有税〞外，国家似乎并没有急于出台其它政策，可以说</w:t>
      </w:r>
      <w:r w:rsidRPr="007B0488">
        <w:rPr>
          <w:rFonts w:ascii="DFKai-SB" w:eastAsia="DFKai-SB" w:hAnsi="DFKai-SB" w:hint="eastAsia"/>
          <w:color w:val="000000"/>
          <w:sz w:val="24"/>
        </w:rPr>
        <w:t>“</w:t>
      </w:r>
      <w:r w:rsidRPr="007B0488">
        <w:rPr>
          <w:rFonts w:ascii="DFKai-SB" w:eastAsia="DFKai-SB" w:hAnsi="DFKai-SB" w:hint="eastAsia"/>
          <w:color w:val="000000"/>
          <w:sz w:val="24"/>
        </w:rPr>
        <w:t>不出台政策〞是当前的最大政策。未来对房地产市场影响较大的政策有二：一是棚户区改造，这会增加供给量，对商品房市场供需关系有一定影响；二是通过经济转型来去房地产化，弱化房地产的地位，防止地方政府走继续</w:t>
      </w:r>
      <w:r w:rsidRPr="007B0488">
        <w:rPr>
          <w:rFonts w:ascii="DFKai-SB" w:eastAsia="DFKai-SB" w:hAnsi="DFKai-SB" w:hint="eastAsia"/>
          <w:color w:val="000000"/>
          <w:sz w:val="24"/>
        </w:rPr>
        <w:t>“</w:t>
      </w:r>
      <w:r w:rsidRPr="007B0488">
        <w:rPr>
          <w:rFonts w:ascii="DFKai-SB" w:eastAsia="DFKai-SB" w:hAnsi="DFKai-SB" w:hint="eastAsia"/>
          <w:color w:val="000000"/>
          <w:sz w:val="24"/>
        </w:rPr>
        <w:t>土地财政〞的老路。</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〔二〕宏观经济分析</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1、近两三年中国经济难以好转</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中国经济当前已到了一个</w:t>
      </w:r>
      <w:r w:rsidRPr="007B0488">
        <w:rPr>
          <w:rFonts w:ascii="DFKai-SB" w:eastAsia="DFKai-SB" w:hAnsi="DFKai-SB" w:hint="eastAsia"/>
          <w:color w:val="000000"/>
          <w:sz w:val="24"/>
        </w:rPr>
        <w:t>“</w:t>
      </w:r>
      <w:r w:rsidRPr="007B0488">
        <w:rPr>
          <w:rFonts w:ascii="DFKai-SB" w:eastAsia="DFKai-SB" w:hAnsi="DFKai-SB" w:hint="eastAsia"/>
          <w:color w:val="000000"/>
          <w:sz w:val="24"/>
        </w:rPr>
        <w:t>瓶颈〞阶段，一直被倚重的</w:t>
      </w:r>
      <w:r w:rsidRPr="007B0488">
        <w:rPr>
          <w:rFonts w:ascii="DFKai-SB" w:eastAsia="DFKai-SB" w:hAnsi="DFKai-SB" w:hint="eastAsia"/>
          <w:color w:val="000000"/>
          <w:sz w:val="24"/>
        </w:rPr>
        <w:t>“</w:t>
      </w:r>
      <w:r w:rsidRPr="007B0488">
        <w:rPr>
          <w:rFonts w:ascii="DFKai-SB" w:eastAsia="DFKai-SB" w:hAnsi="DFKai-SB" w:hint="eastAsia"/>
          <w:color w:val="000000"/>
          <w:sz w:val="24"/>
        </w:rPr>
        <w:t>三驾马车〞现在都存在问题：其一，由于中国贫富差距不断加大，富人什么都不缺，不需要太多消费，穷人因收入低而且缺乏社会保障方面的平安感而没钱或不敢消费；其二，由于缺乏核心技术，我国的出口多为劳动密集型产品，当前因劳动本钱的增加而正失去优势，而且当前世界经济形势也不好；其三，在投资方面，前些年的</w:t>
      </w:r>
      <w:r w:rsidRPr="007B0488">
        <w:rPr>
          <w:rFonts w:ascii="DFKai-SB" w:eastAsia="DFKai-SB" w:hAnsi="DFKai-SB" w:hint="eastAsia"/>
          <w:color w:val="000000"/>
          <w:sz w:val="24"/>
        </w:rPr>
        <w:t>“</w:t>
      </w:r>
      <w:r w:rsidRPr="007B0488">
        <w:rPr>
          <w:rFonts w:ascii="DFKai-SB" w:eastAsia="DFKai-SB" w:hAnsi="DFKai-SB" w:hint="eastAsia"/>
          <w:color w:val="000000"/>
          <w:sz w:val="24"/>
        </w:rPr>
        <w:t>4万亿〞已饱受批评，并给今天留下了许多问题，所以政府很难再用这种方式。</w:t>
      </w: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12"/>
          <w:footerReference w:type="even" r:id="rId13"/>
          <w:footerReference w:type="default" r:id="rId14"/>
          <w:footerReference w:type="first" r:id="rId15"/>
          <w:type w:val="nextPage"/>
          <w:pgSz w:w="11906" w:h="16838" w:code="9"/>
          <w:pgMar w:top="1814" w:right="1418" w:bottom="1701" w:left="1814" w:header="1134" w:footer="1247" w:gutter="0"/>
          <w:pgNumType w:fmt="chineseLegalSimplified" w:start="3"/>
          <w:cols w:space="425"/>
          <w:titlePg w:val="0"/>
          <w:docGrid w:type="lines" w:linePitch="312"/>
        </w:sectPr>
      </w:pP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中国经济问题需要通过产业转型来改变，需要通过政改来平衡利益分配，同时也需要世界经济复苏的外围环境，这些改变都非常困难，需要大量的时间，因此近两三年内中国经济难以好转，GDP增长率很难突破8%〔除非造假〕。而且未来更长时期，GDP的增长率根本上不会再突破10%。当然由于中国各地情况差异性较大，不排除一些地区GDP增长率会突破10%甚至更高。</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2、中国经济对房地产市场的影响</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由于中国经济已到了产业转型的关键时刻，未来增速将放缓，</w:t>
      </w:r>
      <w:r w:rsidRPr="007B0488">
        <w:rPr>
          <w:rFonts w:ascii="DFKai-SB" w:eastAsia="DFKai-SB" w:hAnsi="DFKai-SB" w:hint="eastAsia"/>
          <w:color w:val="000000"/>
          <w:sz w:val="24"/>
        </w:rPr>
        <w:t>“</w:t>
      </w:r>
      <w:r w:rsidRPr="007B0488">
        <w:rPr>
          <w:rFonts w:ascii="DFKai-SB" w:eastAsia="DFKai-SB" w:hAnsi="DFKai-SB" w:hint="eastAsia"/>
          <w:color w:val="000000"/>
          <w:sz w:val="24"/>
        </w:rPr>
        <w:t>土地财政〞的老路在许多三四线城市已走到尽头。由于当前社会格局已很难改变，各利益团体正在固化，所以未来一二线城市的房地产仍将会继续疯狂多年，对于三四线城市来讲，未来会出现两种趋势：</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其一，当地市场已严重地供过于求：假设经济开展没有重大突破，那么积压房源将长期滞销，房地产市场进入到寒季；假设经济取得突破性开展，外来人口增加，那么会快速消化掉积压房源，房地产市场转危为安。</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其二，当地市场供求根本平衡：假设经济开展没有重大突破，会继续良性安康地开展，而且会有三五年的好时光；假设经济取得突破性开展，外来人口增加，那么房价将暴涨，大量开发商拥入，以构建新的供求平衡。</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〔三〕城市前景分析</w:t>
      </w:r>
    </w:p>
    <w:p w:rsidR="004D46C7" w:rsidRPr="007B0488" w:rsidP="004D46C7">
      <w:pPr>
        <w:spacing w:after="62" w:afterLines="20"/>
        <w:ind w:firstLine="480" w:firstLineChars="200"/>
        <w:rPr>
          <w:rFonts w:ascii="DFKai-SB" w:eastAsia="DFKai-SB" w:hAnsi="DFKai-SB" w:hint="eastAsia"/>
          <w:b/>
          <w:sz w:val="24"/>
        </w:rPr>
      </w:pPr>
      <w:r w:rsidRPr="007B0488">
        <w:rPr>
          <w:rFonts w:ascii="DFKai-SB" w:eastAsia="DFKai-SB" w:hAnsi="DFKai-SB" w:hint="eastAsia"/>
          <w:b/>
          <w:sz w:val="24"/>
        </w:rPr>
        <w:t>1、人口概况</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XX</w:t>
      </w:r>
      <w:r w:rsidRPr="007B0488">
        <w:rPr>
          <w:rFonts w:ascii="DFKai-SB" w:eastAsia="DFKai-SB" w:hAnsi="DFKai-SB"/>
          <w:color w:val="000000"/>
          <w:sz w:val="24"/>
        </w:rPr>
        <w:t>是XX省的省会，XX省第一大城市，是全省政治、经济、文化、教育、科教、交通和通讯中心</w:t>
      </w:r>
      <w:r w:rsidRPr="007B0488">
        <w:rPr>
          <w:rFonts w:ascii="DFKai-SB" w:eastAsia="DFKai-SB" w:hAnsi="DFKai-SB" w:hint="eastAsia"/>
          <w:color w:val="000000"/>
          <w:sz w:val="24"/>
        </w:rPr>
        <w:t>，但由于地处内陆，且为地级市，所以一般仍视为三线城市。</w:t>
      </w:r>
      <w:r w:rsidRPr="007B0488">
        <w:rPr>
          <w:rFonts w:ascii="DFKai-SB" w:eastAsia="DFKai-SB" w:hAnsi="DFKai-SB"/>
          <w:color w:val="000000"/>
          <w:sz w:val="24"/>
        </w:rPr>
        <w:t>XX市辖四区三县</w:t>
      </w:r>
      <w:r w:rsidRPr="007B0488">
        <w:rPr>
          <w:rFonts w:ascii="DFKai-SB" w:eastAsia="DFKai-SB" w:hAnsi="DFKai-SB" w:hint="eastAsia"/>
          <w:color w:val="000000"/>
          <w:sz w:val="24"/>
        </w:rPr>
        <w:t>三新区：</w:t>
      </w:r>
      <w:r w:rsidRPr="007B0488">
        <w:rPr>
          <w:rFonts w:ascii="DFKai-SB" w:eastAsia="DFKai-SB" w:hAnsi="DFKai-SB"/>
          <w:color w:val="000000"/>
          <w:sz w:val="24"/>
        </w:rPr>
        <w:t>城中区</w:t>
      </w:r>
      <w:r w:rsidRPr="007B0488">
        <w:rPr>
          <w:rFonts w:ascii="DFKai-SB" w:eastAsia="DFKai-SB" w:hAnsi="DFKai-SB" w:hint="eastAsia"/>
          <w:color w:val="000000"/>
          <w:sz w:val="24"/>
        </w:rPr>
        <w:t>〔</w:t>
      </w:r>
      <w:r w:rsidRPr="007B0488">
        <w:rPr>
          <w:rFonts w:ascii="DFKai-SB" w:eastAsia="DFKai-SB" w:hAnsi="DFKai-SB"/>
          <w:color w:val="000000"/>
          <w:sz w:val="24"/>
        </w:rPr>
        <w:t>代管城南新区〕、城北区、城西区、城东区</w:t>
      </w:r>
      <w:r w:rsidRPr="007B0488">
        <w:rPr>
          <w:rFonts w:ascii="DFKai-SB" w:eastAsia="DFKai-SB" w:hAnsi="DFKai-SB" w:hint="eastAsia"/>
          <w:color w:val="000000"/>
          <w:sz w:val="24"/>
        </w:rPr>
        <w:t>，</w:t>
      </w:r>
      <w:r w:rsidRPr="007B0488">
        <w:rPr>
          <w:rFonts w:ascii="DFKai-SB" w:eastAsia="DFKai-SB" w:hAnsi="DFKai-SB"/>
          <w:color w:val="000000"/>
          <w:sz w:val="24"/>
        </w:rPr>
        <w:t>大通县、湟中县、湟源县</w:t>
      </w:r>
      <w:r w:rsidRPr="007B0488">
        <w:rPr>
          <w:rFonts w:ascii="DFKai-SB" w:eastAsia="DFKai-SB" w:hAnsi="DFKai-SB" w:hint="eastAsia"/>
          <w:color w:val="000000"/>
          <w:sz w:val="24"/>
        </w:rPr>
        <w:t>、</w:t>
      </w:r>
      <w:r w:rsidRPr="007B0488">
        <w:rPr>
          <w:rFonts w:ascii="DFKai-SB" w:eastAsia="DFKai-SB" w:hAnsi="DFKai-SB"/>
          <w:color w:val="000000"/>
          <w:sz w:val="24"/>
        </w:rPr>
        <w:t>国家级经济开发区、高新技术开发区、海湖新区</w:t>
      </w:r>
      <w:r w:rsidRPr="007B0488">
        <w:rPr>
          <w:rFonts w:ascii="DFKai-SB" w:eastAsia="DFKai-SB" w:hAnsi="DFKai-SB" w:hint="eastAsia"/>
          <w:color w:val="000000"/>
          <w:sz w:val="24"/>
        </w:rPr>
        <w:t>。</w:t>
      </w: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16"/>
          <w:footerReference w:type="even" r:id="rId17"/>
          <w:footerReference w:type="default" r:id="rId18"/>
          <w:footerReference w:type="first" r:id="rId19"/>
          <w:type w:val="nextPage"/>
          <w:pgSz w:w="11906" w:h="16838" w:code="9"/>
          <w:pgMar w:top="1814" w:right="1418" w:bottom="1701" w:left="1814" w:header="1134" w:footer="1247" w:gutter="0"/>
          <w:pgNumType w:fmt="chineseLegalSimplified" w:start="4"/>
          <w:cols w:space="425"/>
          <w:titlePg w:val="0"/>
          <w:docGrid w:type="lines" w:linePitch="312"/>
        </w:sectPr>
      </w:pPr>
      <w:r w:rsidRPr="007B0488">
        <w:rPr>
          <w:rFonts w:ascii="DFKai-SB" w:eastAsia="DFKai-SB" w:hAnsi="DFKai-SB" w:hint="eastAsia"/>
          <w:color w:val="000000"/>
          <w:sz w:val="24"/>
        </w:rPr>
        <w:t>XX</w:t>
      </w:r>
      <w:r w:rsidRPr="007B0488">
        <w:rPr>
          <w:rFonts w:ascii="DFKai-SB" w:eastAsia="DFKai-SB" w:hAnsi="DFKai-SB"/>
          <w:color w:val="000000"/>
          <w:sz w:val="24"/>
        </w:rPr>
        <w:t>市区海拔</w:t>
      </w:r>
      <w:smartTag w:uri="urn:schemas-microsoft-com:office:smarttags" w:element="chmetcnv">
        <w:smartTagPr>
          <w:attr w:name="HasSpace" w:val="False"/>
          <w:attr w:name="Negative" w:val="False"/>
          <w:attr w:name="NumberType" w:val="1"/>
          <w:attr w:name="SourceValue" w:val="2261"/>
          <w:attr w:name="TCSC" w:val="0"/>
          <w:attr w:name="UnitName" w:val="米"/>
        </w:smartTagPr>
        <w:r w:rsidRPr="007B0488">
          <w:rPr>
            <w:rFonts w:ascii="DFKai-SB" w:eastAsia="DFKai-SB" w:hAnsi="DFKai-SB"/>
            <w:color w:val="000000"/>
            <w:sz w:val="24"/>
          </w:rPr>
          <w:t>2261米</w:t>
        </w:r>
      </w:smartTag>
      <w:r w:rsidRPr="007B0488">
        <w:rPr>
          <w:rFonts w:ascii="DFKai-SB" w:eastAsia="DFKai-SB" w:hAnsi="DFKai-SB"/>
          <w:color w:val="000000"/>
          <w:sz w:val="24"/>
        </w:rPr>
        <w:t>，年平均降水量</w:t>
      </w:r>
      <w:smartTag w:uri="urn:schemas-microsoft-com:office:smarttags" w:element="chmetcnv">
        <w:smartTagPr>
          <w:attr w:name="HasSpace" w:val="False"/>
          <w:attr w:name="Negative" w:val="False"/>
          <w:attr w:name="NumberType" w:val="1"/>
          <w:attr w:name="SourceValue" w:val="380"/>
          <w:attr w:name="TCSC" w:val="0"/>
          <w:attr w:name="UnitName" w:val="毫米"/>
        </w:smartTagPr>
        <w:r w:rsidRPr="007B0488">
          <w:rPr>
            <w:rFonts w:ascii="DFKai-SB" w:eastAsia="DFKai-SB" w:hAnsi="DFKai-SB"/>
            <w:color w:val="000000"/>
            <w:sz w:val="24"/>
          </w:rPr>
          <w:t>380毫米</w:t>
        </w:r>
      </w:smartTag>
      <w:r w:rsidRPr="007B0488">
        <w:rPr>
          <w:rFonts w:ascii="DFKai-SB" w:eastAsia="DFKai-SB" w:hAnsi="DFKai-SB"/>
          <w:color w:val="000000"/>
          <w:sz w:val="24"/>
        </w:rPr>
        <w:t>，蒸发量</w:t>
      </w:r>
      <w:smartTag w:uri="urn:schemas-microsoft-com:office:smarttags" w:element="chmetcnv">
        <w:smartTagPr>
          <w:attr w:name="HasSpace" w:val="False"/>
          <w:attr w:name="Negative" w:val="False"/>
          <w:attr w:name="NumberType" w:val="1"/>
          <w:attr w:name="SourceValue" w:val="1363.6"/>
          <w:attr w:name="TCSC" w:val="0"/>
          <w:attr w:name="UnitName" w:val="毫米"/>
        </w:smartTagPr>
        <w:r w:rsidRPr="007B0488">
          <w:rPr>
            <w:rFonts w:ascii="DFKai-SB" w:eastAsia="DFKai-SB" w:hAnsi="DFKai-SB"/>
            <w:color w:val="000000"/>
            <w:sz w:val="24"/>
          </w:rPr>
          <w:t>1363.6毫米</w:t>
        </w:r>
      </w:smartTag>
      <w:r w:rsidRPr="007B0488">
        <w:rPr>
          <w:rFonts w:ascii="DFKai-SB" w:eastAsia="DFKai-SB" w:hAnsi="DFKai-SB"/>
          <w:color w:val="000000"/>
          <w:sz w:val="24"/>
        </w:rPr>
        <w:t>，年平均日照为1939.7小时，年平均气温</w:t>
      </w:r>
      <w:smartTag w:uri="urn:schemas-microsoft-com:office:smarttags" w:element="chmetcnv">
        <w:smartTagPr>
          <w:attr w:name="HasSpace" w:val="False"/>
          <w:attr w:name="Negative" w:val="False"/>
          <w:attr w:name="NumberType" w:val="1"/>
          <w:attr w:name="SourceValue" w:val="7.6"/>
          <w:attr w:name="TCSC" w:val="0"/>
          <w:attr w:name="UnitName" w:val="℃"/>
        </w:smartTagPr>
        <w:r w:rsidRPr="007B0488">
          <w:rPr>
            <w:rFonts w:ascii="DFKai-SB" w:eastAsia="DFKai-SB" w:hAnsi="DFKai-SB"/>
            <w:color w:val="000000"/>
            <w:sz w:val="24"/>
          </w:rPr>
          <w:t>7.6</w:t>
        </w:r>
        <w:r w:rsidRPr="007B0488">
          <w:rPr>
            <w:rFonts w:ascii="DFKai-SB" w:eastAsia="DFKai-SB" w:hAnsi="DFKai-SB" w:hint="eastAsia"/>
            <w:color w:val="000000"/>
            <w:sz w:val="24"/>
          </w:rPr>
          <w:t>℃</w:t>
        </w:r>
      </w:smartTag>
      <w:r w:rsidRPr="007B0488">
        <w:rPr>
          <w:rFonts w:ascii="DFKai-SB" w:eastAsia="DFKai-SB" w:hAnsi="DFKai-SB"/>
          <w:color w:val="000000"/>
          <w:sz w:val="24"/>
        </w:rPr>
        <w:t>，最高气温</w:t>
      </w:r>
      <w:smartTag w:uri="urn:schemas-microsoft-com:office:smarttags" w:element="chmetcnv">
        <w:smartTagPr>
          <w:attr w:name="HasSpace" w:val="False"/>
          <w:attr w:name="Negative" w:val="False"/>
          <w:attr w:name="NumberType" w:val="1"/>
          <w:attr w:name="SourceValue" w:val="34.6"/>
          <w:attr w:name="TCSC" w:val="0"/>
          <w:attr w:name="UnitName" w:val="℃"/>
        </w:smartTagPr>
        <w:r w:rsidRPr="007B0488">
          <w:rPr>
            <w:rFonts w:ascii="DFKai-SB" w:eastAsia="DFKai-SB" w:hAnsi="DFKai-SB"/>
            <w:color w:val="000000"/>
            <w:sz w:val="24"/>
          </w:rPr>
          <w:t>34.6</w:t>
        </w:r>
        <w:r w:rsidRPr="007B0488">
          <w:rPr>
            <w:rFonts w:ascii="DFKai-SB" w:eastAsia="DFKai-SB" w:hAnsi="DFKai-SB" w:hint="eastAsia"/>
            <w:color w:val="000000"/>
            <w:sz w:val="24"/>
          </w:rPr>
          <w:t>℃</w:t>
        </w:r>
      </w:smartTag>
      <w:r w:rsidRPr="007B0488">
        <w:rPr>
          <w:rFonts w:ascii="DFKai-SB" w:eastAsia="DFKai-SB" w:hAnsi="DFKai-SB"/>
          <w:color w:val="000000"/>
          <w:sz w:val="24"/>
        </w:rPr>
        <w:t>，最低气温</w:t>
      </w:r>
      <w:smartTag w:uri="urn:schemas-microsoft-com:office:smarttags" w:element="chmetcnv">
        <w:smartTagPr>
          <w:attr w:name="HasSpace" w:val="False"/>
          <w:attr w:name="Negative" w:val="True"/>
          <w:attr w:name="NumberType" w:val="1"/>
          <w:attr w:name="SourceValue" w:val="18.9"/>
          <w:attr w:name="TCSC" w:val="0"/>
          <w:attr w:name="UnitName" w:val="℃"/>
        </w:smartTagPr>
        <w:r w:rsidRPr="007B0488">
          <w:rPr>
            <w:rFonts w:ascii="DFKai-SB" w:eastAsia="DFKai-SB" w:hAnsi="DFKai-SB"/>
            <w:color w:val="000000"/>
            <w:sz w:val="24"/>
          </w:rPr>
          <w:t>零下18.9</w:t>
        </w:r>
        <w:r w:rsidRPr="007B0488">
          <w:rPr>
            <w:rFonts w:ascii="DFKai-SB" w:eastAsia="DFKai-SB" w:hAnsi="DFKai-SB" w:hint="eastAsia"/>
            <w:color w:val="000000"/>
            <w:sz w:val="24"/>
          </w:rPr>
          <w:t>℃</w:t>
        </w:r>
      </w:smartTag>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color w:val="000000"/>
          <w:sz w:val="24"/>
        </w:rPr>
        <w:t>，属高原高山寒温性气候。夏季平均气温17</w:t>
      </w:r>
      <w:smartTag w:uri="urn:schemas-microsoft-com:office:smarttags" w:element="chmetcnv">
        <w:smartTagPr>
          <w:attr w:name="HasSpace" w:val="False"/>
          <w:attr w:name="Negative" w:val="True"/>
          <w:attr w:name="NumberType" w:val="1"/>
          <w:attr w:name="SourceValue" w:val="19"/>
          <w:attr w:name="TCSC" w:val="0"/>
          <w:attr w:name="UnitName" w:val="℃"/>
        </w:smartTagPr>
        <w:r w:rsidRPr="007B0488">
          <w:rPr>
            <w:rFonts w:ascii="DFKai-SB" w:eastAsia="DFKai-SB" w:hAnsi="DFKai-SB"/>
            <w:color w:val="000000"/>
            <w:sz w:val="24"/>
          </w:rPr>
          <w:t>-19</w:t>
        </w:r>
        <w:r w:rsidRPr="007B0488">
          <w:rPr>
            <w:rFonts w:ascii="DFKai-SB" w:eastAsia="DFKai-SB" w:hAnsi="DFKai-SB" w:hint="eastAsia"/>
            <w:color w:val="000000"/>
            <w:sz w:val="24"/>
          </w:rPr>
          <w:t>℃</w:t>
        </w:r>
      </w:smartTag>
      <w:r w:rsidRPr="007B0488">
        <w:rPr>
          <w:rFonts w:ascii="DFKai-SB" w:eastAsia="DFKai-SB" w:hAnsi="DFKai-SB"/>
          <w:color w:val="000000"/>
          <w:sz w:val="24"/>
        </w:rPr>
        <w:t>，气候宜人，是消夏避暑胜地，有“中国夏都〞之称</w:t>
      </w:r>
      <w:r w:rsidRPr="007B0488">
        <w:rPr>
          <w:rFonts w:ascii="DFKai-SB" w:eastAsia="DFKai-SB" w:hAnsi="DFKai-SB" w:hint="eastAsia"/>
          <w:color w:val="000000"/>
          <w:sz w:val="24"/>
        </w:rPr>
        <w:t>，每到夏季会吸引大量国内外游客。</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color w:val="000000"/>
          <w:sz w:val="24"/>
        </w:rPr>
        <w:t>XX地处黄土高原与青藏高原、农业区与牧业区、汉文化与藏文化的三大结合部，是典型的移民城市，多民族聚集、多XX并存</w:t>
      </w:r>
      <w:r w:rsidRPr="007B0488">
        <w:rPr>
          <w:rFonts w:ascii="DFKai-SB" w:eastAsia="DFKai-SB" w:hAnsi="DFKai-SB" w:hint="eastAsia"/>
          <w:color w:val="000000"/>
          <w:sz w:val="24"/>
        </w:rPr>
        <w:t>，是</w:t>
      </w:r>
      <w:r w:rsidRPr="007B0488">
        <w:rPr>
          <w:rFonts w:ascii="DFKai-SB" w:eastAsia="DFKai-SB" w:hAnsi="DFKai-SB"/>
          <w:color w:val="000000"/>
          <w:sz w:val="24"/>
        </w:rPr>
        <w:t>青藏高原人口唯一超过百万的中心城市</w:t>
      </w:r>
      <w:r w:rsidRPr="007B0488">
        <w:rPr>
          <w:rFonts w:ascii="DFKai-SB" w:eastAsia="DFKai-SB" w:hAnsi="DFKai-SB" w:hint="eastAsia"/>
          <w:color w:val="000000"/>
          <w:sz w:val="24"/>
        </w:rPr>
        <w:t>。根据2010年</w:t>
      </w:r>
      <w:r w:rsidRPr="007B0488">
        <w:rPr>
          <w:rFonts w:ascii="DFKai-SB" w:eastAsia="DFKai-SB" w:hAnsi="DFKai-SB"/>
          <w:color w:val="000000"/>
          <w:sz w:val="24"/>
        </w:rPr>
        <w:t>第六次人口普查数据</w:t>
      </w:r>
      <w:r w:rsidRPr="007B0488">
        <w:rPr>
          <w:rFonts w:ascii="DFKai-SB" w:eastAsia="DFKai-SB" w:hAnsi="DFKai-SB" w:hint="eastAsia"/>
          <w:color w:val="000000"/>
          <w:sz w:val="24"/>
        </w:rPr>
        <w:t>，XX</w:t>
      </w:r>
      <w:r w:rsidRPr="007B0488">
        <w:rPr>
          <w:rFonts w:ascii="DFKai-SB" w:eastAsia="DFKai-SB" w:hAnsi="DFKai-SB"/>
          <w:color w:val="000000"/>
          <w:sz w:val="24"/>
        </w:rPr>
        <w:t>市常住人口到达222.80万人，城镇化率到达65.44%</w:t>
      </w:r>
      <w:r w:rsidRPr="007B0488">
        <w:rPr>
          <w:rFonts w:ascii="DFKai-SB" w:eastAsia="DFKai-SB" w:hAnsi="DFKai-SB" w:hint="eastAsia"/>
          <w:color w:val="000000"/>
          <w:sz w:val="24"/>
        </w:rPr>
        <w:t>〔约146万〕</w:t>
      </w:r>
      <w:r w:rsidRPr="007B0488">
        <w:rPr>
          <w:rFonts w:ascii="DFKai-SB" w:eastAsia="DFKai-SB" w:hAnsi="DFKai-SB"/>
          <w:color w:val="000000"/>
          <w:sz w:val="24"/>
        </w:rPr>
        <w:t>。</w:t>
      </w:r>
    </w:p>
    <w:p w:rsidR="004D46C7" w:rsidRPr="007B0488" w:rsidP="004D46C7">
      <w:pPr>
        <w:spacing w:after="62" w:afterLines="20"/>
        <w:ind w:firstLine="480" w:firstLineChars="200"/>
        <w:rPr>
          <w:rFonts w:ascii="DFKai-SB" w:eastAsia="DFKai-SB" w:hAnsi="DFKai-SB" w:hint="eastAsia"/>
          <w:sz w:val="24"/>
        </w:rPr>
      </w:pPr>
      <w:r w:rsidRPr="007B0488">
        <w:rPr>
          <w:rFonts w:ascii="DFKai-SB" w:eastAsia="DFKai-SB" w:hAnsi="DFKai-SB" w:hint="eastAsia"/>
          <w:sz w:val="24"/>
        </w:rPr>
        <w:t>根据XX</w:t>
      </w:r>
      <w:r w:rsidRPr="007B0488">
        <w:rPr>
          <w:rFonts w:ascii="DFKai-SB" w:eastAsia="DFKai-SB" w:hAnsi="DFKai-SB"/>
          <w:sz w:val="24"/>
        </w:rPr>
        <w:t>市域城镇化水平与城镇人口预测</w:t>
      </w:r>
      <w:r w:rsidRPr="007B0488">
        <w:rPr>
          <w:rFonts w:ascii="DFKai-SB" w:eastAsia="DFKai-SB" w:hAnsi="DFKai-SB" w:hint="eastAsia"/>
          <w:sz w:val="24"/>
        </w:rPr>
        <w:t>，</w:t>
      </w:r>
      <w:r w:rsidRPr="007B0488">
        <w:rPr>
          <w:rFonts w:ascii="DFKai-SB" w:eastAsia="DFKai-SB" w:hAnsi="DFKai-SB"/>
          <w:sz w:val="24"/>
        </w:rPr>
        <w:t>到2015年总人口为240万人，城镇总人口约为164万人，城镇化水平为68%；2020年总人口为252万人，城镇总人口约为192万人，2020年城镇化水平为76%左右</w:t>
      </w:r>
      <w:r w:rsidRPr="007B0488">
        <w:rPr>
          <w:rFonts w:ascii="DFKai-SB" w:eastAsia="DFKai-SB" w:hAnsi="DFKai-SB" w:hint="eastAsia"/>
          <w:sz w:val="24"/>
        </w:rPr>
        <w:t>。</w:t>
      </w:r>
    </w:p>
    <w:p w:rsidR="004D46C7" w:rsidRPr="007B0488" w:rsidP="004D46C7">
      <w:pPr>
        <w:spacing w:after="62" w:afterLines="20"/>
        <w:ind w:firstLine="480" w:firstLineChars="200"/>
        <w:rPr>
          <w:rFonts w:ascii="DFKai-SB" w:eastAsia="DFKai-SB" w:hAnsi="DFKai-SB" w:hint="eastAsia"/>
          <w:sz w:val="24"/>
        </w:rPr>
      </w:pPr>
      <w:r w:rsidRPr="007B0488">
        <w:rPr>
          <w:rFonts w:ascii="DFKai-SB" w:eastAsia="DFKai-SB" w:hAnsi="DFKai-SB" w:hint="eastAsia"/>
          <w:sz w:val="24"/>
        </w:rPr>
        <w:t>从以上数据可以得出，从2012年到2015年，XX城市人口还将增加15.26万人〔240－224.74＝15.26〕。如果人均居住面积按35㎡计算，人均零售商业面积按1㎡计算，那么需新增住宅534万㎡，新增零售商业面积15.26万㎡〔不含餐饮、办公等〕。</w:t>
      </w:r>
    </w:p>
    <w:p w:rsidR="004D46C7" w:rsidRPr="007B0488" w:rsidP="004D46C7">
      <w:pPr>
        <w:spacing w:after="62" w:afterLines="20"/>
        <w:ind w:firstLine="480" w:firstLineChars="200"/>
        <w:rPr>
          <w:rFonts w:ascii="DFKai-SB" w:eastAsia="DFKai-SB" w:hAnsi="DFKai-SB" w:hint="eastAsia"/>
          <w:b/>
          <w:sz w:val="24"/>
        </w:rPr>
      </w:pPr>
      <w:r w:rsidRPr="007B0488">
        <w:rPr>
          <w:rFonts w:ascii="DFKai-SB" w:eastAsia="DFKai-SB" w:hAnsi="DFKai-SB" w:hint="eastAsia"/>
          <w:b/>
          <w:sz w:val="24"/>
        </w:rPr>
        <w:t>2、经济概况</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XX资源非常丰富，其中主要有水能、药材、矿产、盐湖、石油天然气、金属和黄金资源、非金属矿产资源，以及旅游资源。作为XX的省会城市，</w:t>
      </w:r>
      <w:r w:rsidRPr="007B0488">
        <w:rPr>
          <w:rFonts w:ascii="DFKai-SB" w:eastAsia="DFKai-SB" w:hAnsi="DFKai-SB"/>
          <w:color w:val="000000"/>
          <w:sz w:val="24"/>
        </w:rPr>
        <w:t>XX工业已形成以机械、轻纺、化工、建材、冶金、皮革皮毛、食品为支柱的工业体系</w:t>
      </w:r>
      <w:r w:rsidRPr="007B0488">
        <w:rPr>
          <w:rFonts w:ascii="DFKai-SB" w:eastAsia="DFKai-SB" w:hAnsi="DFKai-SB" w:hint="eastAsia"/>
          <w:color w:val="000000"/>
          <w:sz w:val="24"/>
        </w:rPr>
        <w:t>，同时XX还</w:t>
      </w:r>
      <w:r w:rsidRPr="007B0488">
        <w:rPr>
          <w:rFonts w:ascii="DFKai-SB" w:eastAsia="DFKai-SB" w:hAnsi="DFKai-SB"/>
          <w:color w:val="000000"/>
          <w:sz w:val="24"/>
        </w:rPr>
        <w:t>是全省最大的商品集散地和商业贸易中心。</w:t>
      </w:r>
      <w:r w:rsidRPr="007B0488">
        <w:rPr>
          <w:rFonts w:ascii="DFKai-SB" w:eastAsia="DFKai-SB" w:hAnsi="DFKai-SB" w:hint="eastAsia"/>
          <w:color w:val="000000"/>
          <w:sz w:val="24"/>
        </w:rPr>
        <w:t>近年来，XX经济在西部大开发中取得了可喜的突破〔参阅下表〕，GDP增长速度和城市</w:t>
      </w:r>
      <w:r w:rsidRPr="007B0488">
        <w:rPr>
          <w:rFonts w:ascii="DFKai-SB" w:eastAsia="DFKai-SB" w:hAnsi="DFKai-SB"/>
          <w:color w:val="000000"/>
          <w:sz w:val="24"/>
        </w:rPr>
        <w:t>人均消费</w:t>
      </w:r>
      <w:r w:rsidRPr="007B0488">
        <w:rPr>
          <w:rFonts w:ascii="DFKai-SB" w:eastAsia="DFKai-SB" w:hAnsi="DFKai-SB" w:hint="eastAsia"/>
          <w:color w:val="000000"/>
          <w:sz w:val="24"/>
        </w:rPr>
        <w:t>性</w:t>
      </w:r>
      <w:r w:rsidRPr="007B0488">
        <w:rPr>
          <w:rFonts w:ascii="DFKai-SB" w:eastAsia="DFKai-SB" w:hAnsi="DFKai-SB"/>
          <w:color w:val="000000"/>
          <w:sz w:val="24"/>
        </w:rPr>
        <w:t>支出</w:t>
      </w:r>
      <w:r w:rsidRPr="007B0488">
        <w:rPr>
          <w:rFonts w:ascii="DFKai-SB" w:eastAsia="DFKai-SB" w:hAnsi="DFKai-SB" w:hint="eastAsia"/>
          <w:color w:val="000000"/>
          <w:sz w:val="24"/>
        </w:rPr>
        <w:t>增长速度都取得了较大提升。</w:t>
      </w:r>
    </w:p>
    <w:tbl>
      <w:tblPr>
        <w:tblStyle w:val="TableNormal"/>
        <w:tblW w:w="8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4"/>
        <w:gridCol w:w="740"/>
        <w:gridCol w:w="741"/>
        <w:gridCol w:w="740"/>
        <w:gridCol w:w="741"/>
        <w:gridCol w:w="740"/>
        <w:gridCol w:w="741"/>
        <w:gridCol w:w="740"/>
        <w:gridCol w:w="741"/>
        <w:gridCol w:w="740"/>
        <w:gridCol w:w="861"/>
      </w:tblGrid>
      <w:tr w:rsidTr="004D46C7">
        <w:tblPrEx>
          <w:tblW w:w="8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41"/>
          <w:jc w:val="center"/>
        </w:trPr>
        <w:tc>
          <w:tcPr>
            <w:tcW w:w="1184" w:type="dxa"/>
            <w:tcMar>
              <w:left w:w="85" w:type="dxa"/>
              <w:right w:w="85"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年份</w:t>
            </w:r>
          </w:p>
        </w:tc>
        <w:tc>
          <w:tcPr>
            <w:tcW w:w="740" w:type="dxa"/>
            <w:tcMar>
              <w:left w:w="28" w:type="dxa"/>
              <w:right w:w="28"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2003</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2004</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2005</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2006</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2007</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2008</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2009</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2010</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2011</w:t>
            </w:r>
          </w:p>
        </w:tc>
        <w:tc>
          <w:tcPr>
            <w:tcW w:w="86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2012</w:t>
            </w:r>
          </w:p>
        </w:tc>
      </w:tr>
      <w:tr w:rsidTr="004D46C7">
        <w:tblPrEx>
          <w:tblW w:w="8709" w:type="dxa"/>
          <w:jc w:val="center"/>
          <w:tblLook w:val="01E0"/>
        </w:tblPrEx>
        <w:trPr>
          <w:trHeight w:val="666"/>
          <w:jc w:val="center"/>
        </w:trPr>
        <w:tc>
          <w:tcPr>
            <w:tcW w:w="1184" w:type="dxa"/>
            <w:tcMar>
              <w:left w:w="85" w:type="dxa"/>
              <w:right w:w="85"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GDP〔亿元〕</w:t>
            </w:r>
          </w:p>
        </w:tc>
        <w:tc>
          <w:tcPr>
            <w:tcW w:w="740" w:type="dxa"/>
            <w:tcMar>
              <w:left w:w="28" w:type="dxa"/>
              <w:right w:w="28"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cs="Arial" w:hint="eastAsia"/>
                <w:color w:val="000000"/>
                <w:w w:val="80"/>
                <w:sz w:val="24"/>
              </w:rPr>
              <w:t>144.83</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174.74</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206.27</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281.61</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343.04</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422.19</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501.07</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628.28</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770.7</w:t>
            </w:r>
          </w:p>
        </w:tc>
        <w:tc>
          <w:tcPr>
            <w:tcW w:w="86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851.09</w:t>
            </w:r>
          </w:p>
        </w:tc>
      </w:tr>
      <w:tr w:rsidTr="004D46C7">
        <w:tblPrEx>
          <w:tblW w:w="8709" w:type="dxa"/>
          <w:jc w:val="center"/>
          <w:tblLook w:val="01E0"/>
        </w:tblPrEx>
        <w:trPr>
          <w:trHeight w:val="682"/>
          <w:jc w:val="center"/>
        </w:trPr>
        <w:tc>
          <w:tcPr>
            <w:tcW w:w="1184" w:type="dxa"/>
            <w:tcMar>
              <w:left w:w="85" w:type="dxa"/>
              <w:right w:w="85"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增长率〔%〕</w:t>
            </w:r>
          </w:p>
        </w:tc>
        <w:tc>
          <w:tcPr>
            <w:tcW w:w="740" w:type="dxa"/>
            <w:tcMar>
              <w:left w:w="28" w:type="dxa"/>
              <w:right w:w="28"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13.7</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14.8</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14.8</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14.5</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15.3</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14.7</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13.3</w:t>
            </w:r>
          </w:p>
        </w:tc>
        <w:tc>
          <w:tcPr>
            <w:tcW w:w="74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18.2</w:t>
            </w:r>
          </w:p>
        </w:tc>
        <w:tc>
          <w:tcPr>
            <w:tcW w:w="740"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15.0</w:t>
            </w:r>
          </w:p>
        </w:tc>
        <w:tc>
          <w:tcPr>
            <w:tcW w:w="861"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15.0</w:t>
            </w:r>
          </w:p>
        </w:tc>
      </w:tr>
    </w:tbl>
    <w:p w:rsidR="004D46C7" w:rsidRPr="007B0488" w:rsidP="008662D8">
      <w:pPr>
        <w:spacing w:line="480" w:lineRule="auto"/>
        <w:ind w:firstLine="480" w:firstLineChars="200"/>
        <w:rPr>
          <w:rFonts w:ascii="DFKai-SB" w:eastAsia="DFKai-SB" w:hAnsi="DFKai-SB" w:hint="eastAsia"/>
          <w:b/>
          <w:color w:val="000000"/>
          <w:w w:val="90"/>
          <w:sz w:val="24"/>
        </w:rPr>
      </w:pPr>
      <w:r w:rsidRPr="007B0488">
        <w:rPr>
          <w:rFonts w:ascii="DFKai-SB" w:eastAsia="DFKai-SB" w:hAnsi="DFKai-SB" w:hint="eastAsia"/>
          <w:b/>
          <w:color w:val="000000"/>
          <w:w w:val="90"/>
          <w:sz w:val="24"/>
        </w:rPr>
        <w:t>〔近10年XX市GDP增长情况，数据源于XX市统计局〕</w:t>
      </w:r>
    </w:p>
    <w:tbl>
      <w:tblPr>
        <w:tblStyle w:val="TableNormal"/>
        <w:tblW w:w="8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88"/>
        <w:gridCol w:w="745"/>
        <w:gridCol w:w="746"/>
        <w:gridCol w:w="745"/>
        <w:gridCol w:w="746"/>
        <w:gridCol w:w="745"/>
        <w:gridCol w:w="746"/>
        <w:gridCol w:w="745"/>
        <w:gridCol w:w="746"/>
        <w:gridCol w:w="745"/>
        <w:gridCol w:w="746"/>
      </w:tblGrid>
      <w:tr w:rsidTr="004D46C7">
        <w:tblPrEx>
          <w:tblW w:w="8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586"/>
        </w:trPr>
        <w:tc>
          <w:tcPr>
            <w:tcW w:w="1288" w:type="dxa"/>
            <w:tcMar>
              <w:left w:w="28" w:type="dxa"/>
              <w:right w:w="28" w:type="dxa"/>
            </w:tcMar>
            <w:vAlign w:val="center"/>
          </w:tcPr>
          <w:p w:rsidR="004D46C7" w:rsidRPr="007B0488" w:rsidP="004D46C7">
            <w:pPr>
              <w:jc w:val="center"/>
              <w:rPr>
                <w:rFonts w:ascii="DFKai-SB" w:eastAsia="DFKai-SB" w:hAnsi="DFKai-SB"/>
                <w:w w:val="80"/>
                <w:sz w:val="24"/>
              </w:rPr>
            </w:pP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2003</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2004</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2005</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2006</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2007</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2008</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2009</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2010</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2011</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2012</w:t>
            </w:r>
          </w:p>
        </w:tc>
      </w:tr>
    </w:tbl>
    <w:p>
      <w:pPr>
        <w:sectPr w:rsidSect="004D46C7">
          <w:headerReference w:type="default" r:id="rId20"/>
          <w:footerReference w:type="even" r:id="rId21"/>
          <w:footerReference w:type="default" r:id="rId22"/>
          <w:footerReference w:type="first" r:id="rId23"/>
          <w:type w:val="nextPage"/>
          <w:pgSz w:w="11906" w:h="16838" w:code="9"/>
          <w:pgMar w:top="1814" w:right="1418" w:bottom="1701" w:left="1814" w:header="1134" w:footer="1247" w:gutter="0"/>
          <w:pgNumType w:fmt="chineseLegalSimplified" w:start="5"/>
          <w:cols w:space="425"/>
          <w:titlePg w:val="0"/>
          <w:docGrid w:type="lines" w:linePitch="312"/>
        </w:sectPr>
      </w:pPr>
    </w:p>
    <w:tbl>
      <w:tblPr>
        <w:tblStyle w:val="TableNormal"/>
        <w:tblW w:w="8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88"/>
        <w:gridCol w:w="745"/>
        <w:gridCol w:w="746"/>
        <w:gridCol w:w="745"/>
        <w:gridCol w:w="746"/>
        <w:gridCol w:w="745"/>
        <w:gridCol w:w="746"/>
        <w:gridCol w:w="745"/>
        <w:gridCol w:w="746"/>
        <w:gridCol w:w="745"/>
        <w:gridCol w:w="746"/>
      </w:tblGrid>
      <w:tr w:rsidTr="004D46C7">
        <w:tblPrEx>
          <w:tblW w:w="8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597"/>
        </w:trPr>
        <w:tc>
          <w:tcPr>
            <w:tcW w:w="1288" w:type="dxa"/>
            <w:tcMar>
              <w:left w:w="28" w:type="dxa"/>
              <w:right w:w="28"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人口〔万〕</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204.97</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206.96</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209.5</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212.73</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215.36</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217.79</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220.50</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220.87</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222.80</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224.74</w:t>
            </w:r>
          </w:p>
        </w:tc>
      </w:tr>
      <w:tr w:rsidTr="004D46C7">
        <w:tblPrEx>
          <w:tblW w:w="8743" w:type="dxa"/>
          <w:tblLayout w:type="fixed"/>
          <w:tblLook w:val="01E0"/>
        </w:tblPrEx>
        <w:trPr>
          <w:trHeight w:val="761"/>
        </w:trPr>
        <w:tc>
          <w:tcPr>
            <w:tcW w:w="1288" w:type="dxa"/>
            <w:tcMar>
              <w:left w:w="28" w:type="dxa"/>
              <w:bottom w:w="85" w:type="dxa"/>
              <w:right w:w="28" w:type="dxa"/>
            </w:tcMar>
            <w:vAlign w:val="center"/>
          </w:tcPr>
          <w:p w:rsidR="004D46C7" w:rsidRPr="007B0488" w:rsidP="004D46C7">
            <w:pPr>
              <w:spacing w:line="360" w:lineRule="exact"/>
              <w:jc w:val="center"/>
              <w:rPr>
                <w:rFonts w:ascii="DFKai-SB" w:eastAsia="DFKai-SB" w:hAnsi="DFKai-SB" w:hint="eastAsia"/>
                <w:w w:val="80"/>
                <w:sz w:val="24"/>
              </w:rPr>
            </w:pPr>
            <w:r w:rsidRPr="007B0488">
              <w:rPr>
                <w:rFonts w:ascii="DFKai-SB" w:eastAsia="DFKai-SB" w:hAnsi="DFKai-SB" w:hint="eastAsia"/>
                <w:w w:val="80"/>
                <w:sz w:val="24"/>
              </w:rPr>
              <w:t>城市</w:t>
            </w:r>
            <w:r w:rsidRPr="007B0488">
              <w:rPr>
                <w:rFonts w:ascii="DFKai-SB" w:eastAsia="DFKai-SB" w:hAnsi="DFKai-SB"/>
                <w:w w:val="80"/>
                <w:sz w:val="24"/>
              </w:rPr>
              <w:t>人均消费</w:t>
            </w:r>
            <w:r w:rsidRPr="007B0488">
              <w:rPr>
                <w:rFonts w:ascii="DFKai-SB" w:eastAsia="DFKai-SB" w:hAnsi="DFKai-SB" w:hint="eastAsia"/>
                <w:w w:val="80"/>
                <w:sz w:val="24"/>
              </w:rPr>
              <w:t>性</w:t>
            </w:r>
            <w:r w:rsidRPr="007B0488">
              <w:rPr>
                <w:rFonts w:ascii="DFKai-SB" w:eastAsia="DFKai-SB" w:hAnsi="DFKai-SB"/>
                <w:w w:val="80"/>
                <w:sz w:val="24"/>
              </w:rPr>
              <w:t>支出</w:t>
            </w:r>
            <w:r w:rsidRPr="007B0488">
              <w:rPr>
                <w:rFonts w:ascii="DFKai-SB" w:eastAsia="DFKai-SB" w:hAnsi="DFKai-SB" w:hint="eastAsia"/>
                <w:w w:val="80"/>
                <w:sz w:val="24"/>
              </w:rPr>
              <w:t>〔元〕</w:t>
            </w:r>
          </w:p>
        </w:tc>
        <w:tc>
          <w:tcPr>
            <w:tcW w:w="745" w:type="dxa"/>
            <w:tcMar>
              <w:left w:w="28" w:type="dxa"/>
              <w:right w:w="28"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7025</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7626</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8397</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9335</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10636</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11929</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12911</w:t>
            </w:r>
          </w:p>
        </w:tc>
        <w:tc>
          <w:tcPr>
            <w:tcW w:w="746" w:type="dxa"/>
            <w:vAlign w:val="center"/>
          </w:tcPr>
          <w:p w:rsidR="004D46C7" w:rsidRPr="007B0488" w:rsidP="004D46C7">
            <w:pPr>
              <w:rPr>
                <w:rFonts w:ascii="DFKai-SB" w:eastAsia="DFKai-SB" w:hAnsi="DFKai-SB" w:hint="eastAsia"/>
                <w:w w:val="80"/>
                <w:sz w:val="24"/>
              </w:rPr>
            </w:pPr>
            <w:r w:rsidRPr="007B0488">
              <w:rPr>
                <w:rFonts w:ascii="DFKai-SB" w:eastAsia="DFKai-SB" w:hAnsi="DFKai-SB" w:hint="eastAsia"/>
                <w:w w:val="80"/>
                <w:sz w:val="24"/>
              </w:rPr>
              <w:t>14085</w:t>
            </w:r>
          </w:p>
        </w:tc>
        <w:tc>
          <w:tcPr>
            <w:tcW w:w="745" w:type="dxa"/>
            <w:vAlign w:val="center"/>
          </w:tcPr>
          <w:p w:rsidR="004D46C7" w:rsidRPr="007B0488" w:rsidP="004D46C7">
            <w:pPr>
              <w:rPr>
                <w:rFonts w:ascii="DFKai-SB" w:eastAsia="DFKai-SB" w:hAnsi="DFKai-SB" w:hint="eastAsia"/>
                <w:w w:val="80"/>
                <w:sz w:val="24"/>
              </w:rPr>
            </w:pPr>
            <w:r w:rsidRPr="007B0488">
              <w:rPr>
                <w:rFonts w:ascii="DFKai-SB" w:eastAsia="DFKai-SB" w:hAnsi="DFKai-SB" w:hint="eastAsia"/>
                <w:w w:val="80"/>
                <w:sz w:val="24"/>
              </w:rPr>
              <w:t>15842</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17633</w:t>
            </w:r>
          </w:p>
        </w:tc>
      </w:tr>
      <w:tr w:rsidTr="004D46C7">
        <w:tblPrEx>
          <w:tblW w:w="8743" w:type="dxa"/>
          <w:tblLayout w:type="fixed"/>
          <w:tblLook w:val="01E0"/>
        </w:tblPrEx>
        <w:trPr>
          <w:trHeight w:val="615"/>
        </w:trPr>
        <w:tc>
          <w:tcPr>
            <w:tcW w:w="1288" w:type="dxa"/>
            <w:tcMar>
              <w:left w:w="28" w:type="dxa"/>
              <w:right w:w="28" w:type="dxa"/>
            </w:tcMar>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增长率〔%〕</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9.02%</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8.57%</w:t>
            </w:r>
          </w:p>
        </w:tc>
        <w:tc>
          <w:tcPr>
            <w:tcW w:w="745" w:type="dxa"/>
            <w:vAlign w:val="center"/>
          </w:tcPr>
          <w:p w:rsidR="004D46C7" w:rsidRPr="007B0488" w:rsidP="004D46C7">
            <w:pPr>
              <w:jc w:val="center"/>
              <w:rPr>
                <w:rFonts w:ascii="DFKai-SB" w:eastAsia="DFKai-SB" w:hAnsi="DFKai-SB" w:hint="eastAsia"/>
                <w:w w:val="66"/>
                <w:sz w:val="24"/>
              </w:rPr>
            </w:pPr>
            <w:r w:rsidRPr="007B0488">
              <w:rPr>
                <w:rFonts w:ascii="DFKai-SB" w:eastAsia="DFKai-SB" w:hAnsi="DFKai-SB" w:hint="eastAsia"/>
                <w:w w:val="66"/>
                <w:sz w:val="24"/>
              </w:rPr>
              <w:t>10.11%</w:t>
            </w:r>
          </w:p>
        </w:tc>
        <w:tc>
          <w:tcPr>
            <w:tcW w:w="746" w:type="dxa"/>
            <w:vAlign w:val="center"/>
          </w:tcPr>
          <w:p w:rsidR="004D46C7" w:rsidRPr="007B0488" w:rsidP="004D46C7">
            <w:pPr>
              <w:jc w:val="center"/>
              <w:rPr>
                <w:rFonts w:ascii="DFKai-SB" w:eastAsia="DFKai-SB" w:hAnsi="DFKai-SB" w:hint="eastAsia"/>
                <w:w w:val="66"/>
                <w:sz w:val="24"/>
              </w:rPr>
            </w:pPr>
            <w:r w:rsidRPr="007B0488">
              <w:rPr>
                <w:rFonts w:ascii="DFKai-SB" w:eastAsia="DFKai-SB" w:hAnsi="DFKai-SB" w:hint="eastAsia"/>
                <w:w w:val="66"/>
                <w:sz w:val="24"/>
              </w:rPr>
              <w:t>11.16%</w:t>
            </w:r>
          </w:p>
        </w:tc>
        <w:tc>
          <w:tcPr>
            <w:tcW w:w="745" w:type="dxa"/>
            <w:vAlign w:val="center"/>
          </w:tcPr>
          <w:p w:rsidR="004D46C7" w:rsidRPr="007B0488" w:rsidP="004D46C7">
            <w:pPr>
              <w:jc w:val="center"/>
              <w:rPr>
                <w:rFonts w:ascii="DFKai-SB" w:eastAsia="DFKai-SB" w:hAnsi="DFKai-SB" w:hint="eastAsia"/>
                <w:w w:val="66"/>
                <w:sz w:val="24"/>
              </w:rPr>
            </w:pPr>
            <w:r w:rsidRPr="007B0488">
              <w:rPr>
                <w:rFonts w:ascii="DFKai-SB" w:eastAsia="DFKai-SB" w:hAnsi="DFKai-SB" w:hint="eastAsia"/>
                <w:w w:val="66"/>
                <w:sz w:val="24"/>
              </w:rPr>
              <w:t>13.94%</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12.2%</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8.2%</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9.1%</w:t>
            </w:r>
          </w:p>
        </w:tc>
        <w:tc>
          <w:tcPr>
            <w:tcW w:w="745"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12.5%</w:t>
            </w:r>
          </w:p>
        </w:tc>
        <w:tc>
          <w:tcPr>
            <w:tcW w:w="746" w:type="dxa"/>
            <w:vAlign w:val="center"/>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11.3%</w:t>
            </w:r>
          </w:p>
        </w:tc>
      </w:tr>
    </w:tbl>
    <w:p w:rsidR="004D46C7" w:rsidRPr="007B0488" w:rsidP="008662D8">
      <w:pPr>
        <w:spacing w:line="480" w:lineRule="auto"/>
        <w:ind w:firstLine="480" w:firstLineChars="200"/>
        <w:rPr>
          <w:rFonts w:ascii="DFKai-SB" w:eastAsia="DFKai-SB" w:hAnsi="DFKai-SB" w:hint="eastAsia"/>
          <w:b/>
          <w:color w:val="000000"/>
          <w:w w:val="90"/>
          <w:sz w:val="24"/>
        </w:rPr>
      </w:pPr>
      <w:r w:rsidRPr="007B0488">
        <w:rPr>
          <w:rFonts w:ascii="DFKai-SB" w:eastAsia="DFKai-SB" w:hAnsi="DFKai-SB" w:hint="eastAsia"/>
          <w:b/>
          <w:color w:val="000000"/>
          <w:w w:val="90"/>
          <w:sz w:val="24"/>
        </w:rPr>
        <w:t>〔近10年XX市人口、城市人均消费性支出及增长情况，数据源于XX市统计局〕</w:t>
      </w:r>
    </w:p>
    <w:p w:rsidR="004D46C7" w:rsidRPr="007B0488" w:rsidP="004D46C7">
      <w:pPr>
        <w:spacing w:after="62" w:afterLines="20"/>
        <w:ind w:firstLine="480" w:firstLineChars="200"/>
        <w:rPr>
          <w:rFonts w:ascii="DFKai-SB" w:eastAsia="DFKai-SB" w:hAnsi="DFKai-SB" w:hint="eastAsia"/>
          <w:sz w:val="24"/>
        </w:rPr>
      </w:pPr>
      <w:r w:rsidRPr="007B0488">
        <w:rPr>
          <w:rFonts w:ascii="DFKai-SB" w:eastAsia="DFKai-SB" w:hAnsi="DFKai-SB" w:hint="eastAsia"/>
          <w:sz w:val="24"/>
        </w:rPr>
        <w:t>根据上表可以推测出，2012年XX市人均GDP为6011美元〔按</w:t>
      </w:r>
      <w:r w:rsidRPr="007B0488">
        <w:rPr>
          <w:rFonts w:ascii="DFKai-SB" w:eastAsia="DFKai-SB" w:hAnsi="DFKai-SB"/>
          <w:sz w:val="24"/>
        </w:rPr>
        <w:t>1美元</w:t>
      </w:r>
      <w:r w:rsidRPr="007B0488">
        <w:rPr>
          <w:rFonts w:ascii="DFKai-SB" w:eastAsia="DFKai-SB" w:hAnsi="DFKai-SB" w:hint="eastAsia"/>
          <w:sz w:val="24"/>
        </w:rPr>
        <w:t>=</w:t>
      </w:r>
      <w:r w:rsidRPr="007B0488">
        <w:rPr>
          <w:rFonts w:ascii="DFKai-SB" w:eastAsia="DFKai-SB" w:hAnsi="DFKai-SB"/>
          <w:sz w:val="24"/>
        </w:rPr>
        <w:t>6.3</w:t>
      </w:r>
      <w:r w:rsidRPr="007B0488">
        <w:rPr>
          <w:rFonts w:ascii="DFKai-SB" w:eastAsia="DFKai-SB" w:hAnsi="DFKai-SB" w:hint="eastAsia"/>
          <w:sz w:val="24"/>
        </w:rPr>
        <w:t>人民币元计算，算式：851.09</w:t>
      </w:r>
      <w:r w:rsidRPr="007B0488">
        <w:rPr>
          <w:rFonts w:ascii="DFKai-SB" w:eastAsia="DFKai-SB" w:hAnsi="DFKai-SB" w:hint="eastAsia"/>
          <w:sz w:val="24"/>
        </w:rPr>
        <w:t>×</w:t>
      </w:r>
      <w:r w:rsidRPr="007B0488">
        <w:rPr>
          <w:rFonts w:ascii="DFKai-SB" w:eastAsia="DFKai-SB" w:hAnsi="DFKai-SB" w:hint="eastAsia"/>
          <w:sz w:val="24"/>
        </w:rPr>
        <w:t>10000</w:t>
      </w:r>
      <w:r w:rsidRPr="007B0488">
        <w:rPr>
          <w:rFonts w:ascii="DFKai-SB" w:eastAsia="DFKai-SB" w:hAnsi="DFKai-SB" w:hint="eastAsia"/>
          <w:sz w:val="24"/>
        </w:rPr>
        <w:t>÷</w:t>
      </w:r>
      <w:r w:rsidRPr="007B0488">
        <w:rPr>
          <w:rFonts w:ascii="DFKai-SB" w:eastAsia="DFKai-SB" w:hAnsi="DFKai-SB" w:hint="eastAsia"/>
          <w:sz w:val="24"/>
        </w:rPr>
        <w:t>224.74</w:t>
      </w:r>
      <w:r w:rsidRPr="007B0488">
        <w:rPr>
          <w:rFonts w:ascii="DFKai-SB" w:eastAsia="DFKai-SB" w:hAnsi="DFKai-SB" w:hint="eastAsia"/>
          <w:sz w:val="24"/>
        </w:rPr>
        <w:t>÷</w:t>
      </w:r>
      <w:r w:rsidRPr="007B0488">
        <w:rPr>
          <w:rFonts w:ascii="DFKai-SB" w:eastAsia="DFKai-SB" w:hAnsi="DFKai-SB" w:hint="eastAsia"/>
          <w:sz w:val="24"/>
        </w:rPr>
        <w:t>6.3＝6011〕。根据联合国对70国统计资料分析说明〔参阅下列图〕，当前XX房</w:t>
      </w:r>
      <w:r>
        <w:rPr>
          <w:rFonts w:ascii="DFKai-SB" w:eastAsia="DFKai-SB" w:hAnsi="DFKai-S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35.75pt;height:117pt;margin-top:62.4pt;margin-left:0;position:absolute;z-index:-251658240" wrapcoords="-37 0 -37 21445 21600 21445 21600 0 -37 0" stroked="f">
            <v:imagedata r:id="rId24" o:title="人均GDP与住宅产业发展关系图"/>
            <w10:wrap type="tight"/>
          </v:shape>
        </w:pict>
      </w:r>
      <w:r w:rsidRPr="007B0488">
        <w:rPr>
          <w:rFonts w:ascii="DFKai-SB" w:eastAsia="DFKai-SB" w:hAnsi="DFKai-SB" w:hint="eastAsia"/>
          <w:sz w:val="24"/>
        </w:rPr>
        <w:t>地产开展处于</w:t>
      </w:r>
      <w:r w:rsidRPr="007B0488">
        <w:rPr>
          <w:rFonts w:ascii="DFKai-SB" w:eastAsia="DFKai-SB" w:hAnsi="DFKai-SB" w:hint="eastAsia"/>
          <w:sz w:val="24"/>
        </w:rPr>
        <w:t>“</w:t>
      </w:r>
      <w:r w:rsidRPr="007B0488">
        <w:rPr>
          <w:rFonts w:ascii="DFKai-SB" w:eastAsia="DFKai-SB" w:hAnsi="DFKai-SB" w:hint="eastAsia"/>
          <w:sz w:val="24"/>
        </w:rPr>
        <w:t>稳定快速增长阶段〞的后期。</w:t>
      </w:r>
    </w:p>
    <w:p w:rsidR="004D46C7" w:rsidRPr="007B0488" w:rsidP="004D46C7">
      <w:pPr>
        <w:spacing w:after="62" w:afterLines="20"/>
        <w:ind w:firstLine="480" w:firstLineChars="200"/>
        <w:rPr>
          <w:rFonts w:ascii="DFKai-SB" w:eastAsia="DFKai-SB" w:hAnsi="DFKai-SB" w:hint="eastAsia"/>
          <w:sz w:val="24"/>
        </w:rPr>
      </w:pPr>
      <w:r w:rsidRPr="007B0488">
        <w:rPr>
          <w:rFonts w:ascii="DFKai-SB" w:eastAsia="DFKai-SB" w:hAnsi="DFKai-SB" w:hint="eastAsia"/>
          <w:sz w:val="24"/>
        </w:rPr>
        <w:t>考虑到经济开展的周期性，如果未来XX的GDP增长速度按12%计算，那么3年后〔即2015年后〕人均GDP才会到达8000美元，到达</w:t>
      </w:r>
      <w:r w:rsidRPr="007B0488">
        <w:rPr>
          <w:rFonts w:ascii="DFKai-SB" w:eastAsia="DFKai-SB" w:hAnsi="DFKai-SB" w:hint="eastAsia"/>
          <w:sz w:val="24"/>
        </w:rPr>
        <w:t>“</w:t>
      </w:r>
      <w:r w:rsidRPr="007B0488">
        <w:rPr>
          <w:rFonts w:ascii="DFKai-SB" w:eastAsia="DFKai-SB" w:hAnsi="DFKai-SB" w:hint="eastAsia"/>
          <w:sz w:val="24"/>
        </w:rPr>
        <w:t>平衡期〞。</w:t>
      </w:r>
    </w:p>
    <w:p w:rsidR="004D46C7" w:rsidRPr="007B0488" w:rsidP="004D46C7">
      <w:pPr>
        <w:spacing w:before="156" w:beforeLines="50" w:after="156" w:afterLines="50"/>
        <w:ind w:firstLine="480" w:firstLineChars="200"/>
        <w:rPr>
          <w:rFonts w:ascii="DFKai-SB" w:eastAsia="DFKai-SB" w:hAnsi="DFKai-SB" w:hint="eastAsia"/>
          <w:b/>
          <w:sz w:val="24"/>
        </w:rPr>
      </w:pPr>
      <w:r w:rsidRPr="007B0488">
        <w:rPr>
          <w:rFonts w:ascii="DFKai-SB" w:eastAsia="DFKai-SB" w:hAnsi="DFKai-SB" w:hint="eastAsia"/>
          <w:b/>
          <w:sz w:val="24"/>
        </w:rPr>
        <w:t>6011〔1＋12%〕</w:t>
      </w:r>
      <w:r w:rsidRPr="007B0488">
        <w:rPr>
          <w:rFonts w:ascii="DFKai-SB" w:eastAsia="DFKai-SB" w:hAnsi="DFKai-SB" w:hint="eastAsia"/>
          <w:b/>
          <w:sz w:val="24"/>
          <w:vertAlign w:val="superscript"/>
        </w:rPr>
        <w:t>n</w:t>
      </w:r>
      <w:r w:rsidRPr="007B0488">
        <w:rPr>
          <w:rFonts w:ascii="DFKai-SB" w:eastAsia="DFKai-SB" w:hAnsi="DFKai-SB" w:hint="eastAsia"/>
          <w:b/>
          <w:sz w:val="24"/>
        </w:rPr>
        <w:t>＝8000　　　n＝3</w:t>
      </w:r>
    </w:p>
    <w:p w:rsidR="004D46C7" w:rsidRPr="007B0488" w:rsidP="004D46C7">
      <w:pPr>
        <w:spacing w:after="62" w:afterLines="20"/>
        <w:ind w:firstLine="480" w:firstLineChars="200"/>
        <w:rPr>
          <w:rFonts w:ascii="DFKai-SB" w:eastAsia="DFKai-SB" w:hAnsi="DFKai-SB" w:hint="eastAsia"/>
          <w:sz w:val="24"/>
        </w:rPr>
      </w:pPr>
      <w:r w:rsidRPr="007B0488">
        <w:rPr>
          <w:rFonts w:ascii="DFKai-SB" w:eastAsia="DFKai-SB" w:hAnsi="DFKai-SB" w:hint="eastAsia"/>
          <w:sz w:val="24"/>
        </w:rPr>
        <w:t>另外，根据XX市经济</w:t>
      </w:r>
      <w:r w:rsidRPr="007B0488">
        <w:rPr>
          <w:rFonts w:ascii="DFKai-SB" w:eastAsia="DFKai-SB" w:hAnsi="DFKai-SB"/>
          <w:sz w:val="24"/>
        </w:rPr>
        <w:t>开展目标</w:t>
      </w:r>
      <w:r w:rsidRPr="007B0488">
        <w:rPr>
          <w:rFonts w:ascii="DFKai-SB" w:eastAsia="DFKai-SB" w:hAnsi="DFKai-SB" w:hint="eastAsia"/>
          <w:sz w:val="24"/>
        </w:rPr>
        <w:t>，XX将</w:t>
      </w:r>
      <w:r w:rsidRPr="007B0488">
        <w:rPr>
          <w:rFonts w:ascii="DFKai-SB" w:eastAsia="DFKai-SB" w:hAnsi="DFKai-SB"/>
          <w:sz w:val="24"/>
        </w:rPr>
        <w:t>全力推动XX经济转型，优化经济和产业构造，实现经济的平稳快速增长。到2015年，GDP总量突破1400亿元，效劳业增加值占GDP比重到达48%以上，工业用地效率有显著提高。</w:t>
      </w:r>
      <w:r w:rsidRPr="007B0488">
        <w:rPr>
          <w:rFonts w:ascii="DFKai-SB" w:eastAsia="DFKai-SB" w:hAnsi="DFKai-SB" w:hint="eastAsia"/>
          <w:sz w:val="24"/>
        </w:rPr>
        <w:t>根据此经济开展目标，到2015年XX市的人均GDP将到达9259美元。</w:t>
      </w:r>
    </w:p>
    <w:p w:rsidR="004D46C7" w:rsidRPr="007B0488" w:rsidP="004D46C7">
      <w:pPr>
        <w:spacing w:before="156" w:beforeLines="50" w:after="156" w:afterLines="50"/>
        <w:ind w:firstLine="480" w:firstLineChars="200"/>
        <w:rPr>
          <w:rFonts w:ascii="DFKai-SB" w:eastAsia="DFKai-SB" w:hAnsi="DFKai-SB" w:hint="eastAsia"/>
          <w:b/>
          <w:sz w:val="24"/>
        </w:rPr>
        <w:sectPr w:rsidSect="004D46C7">
          <w:headerReference w:type="default" r:id="rId25"/>
          <w:footerReference w:type="even" r:id="rId26"/>
          <w:footerReference w:type="default" r:id="rId27"/>
          <w:footerReference w:type="first" r:id="rId28"/>
          <w:type w:val="nextPage"/>
          <w:pgSz w:w="11906" w:h="16838" w:code="9"/>
          <w:pgMar w:top="1814" w:right="1418" w:bottom="1701" w:left="1814" w:header="1134" w:footer="1247" w:gutter="0"/>
          <w:pgNumType w:fmt="chineseLegalSimplified" w:start="6"/>
          <w:cols w:space="425"/>
          <w:titlePg w:val="0"/>
          <w:docGrid w:type="lines" w:linePitch="312"/>
        </w:sectPr>
      </w:pPr>
      <w:r w:rsidRPr="007B0488">
        <w:rPr>
          <w:rFonts w:ascii="DFKai-SB" w:eastAsia="DFKai-SB" w:hAnsi="DFKai-SB" w:hint="eastAsia"/>
          <w:b/>
          <w:sz w:val="24"/>
        </w:rPr>
        <w:t>1400</w:t>
      </w:r>
      <w:r w:rsidRPr="007B0488">
        <w:rPr>
          <w:rFonts w:ascii="DFKai-SB" w:eastAsia="DFKai-SB" w:hAnsi="DFKai-SB" w:hint="eastAsia"/>
          <w:b/>
          <w:sz w:val="24"/>
        </w:rPr>
        <w:t>×</w:t>
      </w:r>
      <w:r w:rsidRPr="007B0488">
        <w:rPr>
          <w:rFonts w:ascii="DFKai-SB" w:eastAsia="DFKai-SB" w:hAnsi="DFKai-SB" w:hint="eastAsia"/>
          <w:b/>
          <w:sz w:val="24"/>
        </w:rPr>
        <w:t>10000</w:t>
      </w:r>
      <w:r w:rsidRPr="007B0488">
        <w:rPr>
          <w:rFonts w:ascii="DFKai-SB" w:eastAsia="DFKai-SB" w:hAnsi="DFKai-SB" w:hint="eastAsia"/>
          <w:b/>
          <w:sz w:val="24"/>
        </w:rPr>
        <w:t>÷</w:t>
      </w:r>
      <w:r w:rsidRPr="007B0488">
        <w:rPr>
          <w:rFonts w:ascii="DFKai-SB" w:eastAsia="DFKai-SB" w:hAnsi="DFKai-SB" w:hint="eastAsia"/>
          <w:b/>
          <w:sz w:val="24"/>
        </w:rPr>
        <w:t>240</w:t>
      </w:r>
      <w:r w:rsidRPr="007B0488">
        <w:rPr>
          <w:rFonts w:ascii="DFKai-SB" w:eastAsia="DFKai-SB" w:hAnsi="DFKai-SB" w:hint="eastAsia"/>
          <w:b/>
          <w:sz w:val="24"/>
        </w:rPr>
        <w:t>÷</w:t>
      </w:r>
      <w:r w:rsidRPr="007B0488">
        <w:rPr>
          <w:rFonts w:ascii="DFKai-SB" w:eastAsia="DFKai-SB" w:hAnsi="DFKai-SB" w:hint="eastAsia"/>
          <w:b/>
          <w:sz w:val="24"/>
        </w:rPr>
        <w:t>6.3＝9259</w:t>
      </w:r>
    </w:p>
    <w:p w:rsidR="004D46C7" w:rsidRPr="007B0488" w:rsidP="004D46C7">
      <w:pPr>
        <w:spacing w:after="62" w:afterLines="20"/>
        <w:ind w:firstLine="480" w:firstLineChars="200"/>
        <w:rPr>
          <w:rFonts w:ascii="DFKai-SB" w:eastAsia="DFKai-SB" w:hAnsi="DFKai-SB" w:hint="eastAsia"/>
          <w:sz w:val="24"/>
        </w:rPr>
      </w:pPr>
      <w:r>
        <w:rPr>
          <w:rFonts w:ascii="DFKai-SB" w:eastAsia="DFKai-SB" w:hAnsi="DFKai-SB"/>
          <w:sz w:val="24"/>
        </w:rPr>
        <w:pict>
          <v:shape id="_x0000_s1026" type="#_x0000_t75" style="width:435.75pt;height:357.05pt;margin-top:41.85pt;margin-left:0;position:absolute;z-index:-251657216" wrapcoords="-57 0 -57 21531 21600 21531 21600 0 -57 0" stroked="f">
            <v:imagedata r:id="rId29" r:href="rId30" o:title=""/>
            <w10:wrap type="tight"/>
          </v:shape>
        </w:pict>
      </w:r>
      <w:r w:rsidRPr="007B0488">
        <w:rPr>
          <w:rFonts w:ascii="DFKai-SB" w:eastAsia="DFKai-SB" w:hAnsi="DFKai-SB" w:hint="eastAsia"/>
          <w:b/>
          <w:sz w:val="24"/>
        </w:rPr>
        <w:t>3、城市规划</w:t>
      </w:r>
    </w:p>
    <w:p w:rsidR="004D46C7" w:rsidRPr="007B0488" w:rsidP="004D46C7">
      <w:pPr>
        <w:spacing w:line="480" w:lineRule="auto"/>
        <w:ind w:firstLine="470" w:firstLineChars="196"/>
        <w:rPr>
          <w:rFonts w:ascii="DFKai-SB" w:eastAsia="DFKai-SB" w:hAnsi="DFKai-SB" w:hint="eastAsia"/>
          <w:sz w:val="24"/>
        </w:rPr>
      </w:pPr>
      <w:r w:rsidRPr="007B0488">
        <w:rPr>
          <w:rFonts w:ascii="DFKai-SB" w:eastAsia="DFKai-SB" w:hAnsi="DFKai-SB" w:hint="eastAsia"/>
          <w:sz w:val="24"/>
        </w:rPr>
        <w:t>根据</w:t>
      </w:r>
      <w:r w:rsidRPr="007B0488">
        <w:rPr>
          <w:rFonts w:ascii="DFKai-SB" w:eastAsia="DFKai-SB" w:hAnsi="DFKai-SB"/>
          <w:sz w:val="24"/>
        </w:rPr>
        <w:t>?XX市2030年城市空间总体开展规划?</w:t>
      </w:r>
      <w:r w:rsidRPr="007B0488">
        <w:rPr>
          <w:rFonts w:ascii="DFKai-SB" w:eastAsia="DFKai-SB" w:hAnsi="DFKai-SB" w:hint="eastAsia"/>
          <w:sz w:val="24"/>
        </w:rPr>
        <w:t>，XX城市的</w:t>
      </w:r>
      <w:r w:rsidRPr="007B0488">
        <w:rPr>
          <w:rFonts w:ascii="DFKai-SB" w:eastAsia="DFKai-SB" w:hAnsi="DFKai-SB"/>
          <w:sz w:val="24"/>
        </w:rPr>
        <w:t>总体目标定位是将XX打造成“更加繁荣、更加美丽、更加宜居〞的青藏高原中心城市，带动区域开展的西北经济高地，自然人文有机融合的区域效劳中心，具有国际知名度的高原旅游名城，宜居宜业、保障完善的生活之城和幸福之城。</w:t>
      </w:r>
    </w:p>
    <w:p w:rsidR="004D46C7" w:rsidRPr="007B0488" w:rsidP="004D46C7">
      <w:pPr>
        <w:spacing w:line="480" w:lineRule="auto"/>
        <w:ind w:firstLine="470" w:firstLineChars="196"/>
        <w:rPr>
          <w:rFonts w:ascii="DFKai-SB" w:eastAsia="DFKai-SB" w:hAnsi="DFKai-SB" w:hint="eastAsia"/>
          <w:sz w:val="24"/>
        </w:rPr>
      </w:pPr>
      <w:r w:rsidRPr="007B0488">
        <w:rPr>
          <w:rFonts w:ascii="DFKai-SB" w:eastAsia="DFKai-SB" w:hAnsi="DFKai-SB" w:hint="eastAsia"/>
          <w:sz w:val="24"/>
        </w:rPr>
        <w:t>XX</w:t>
      </w:r>
      <w:r w:rsidRPr="007B0488">
        <w:rPr>
          <w:rFonts w:ascii="DFKai-SB" w:eastAsia="DFKai-SB" w:hAnsi="DFKai-SB"/>
          <w:sz w:val="24"/>
        </w:rPr>
        <w:t>城市开展战略</w:t>
      </w:r>
      <w:r w:rsidRPr="007B0488">
        <w:rPr>
          <w:rFonts w:ascii="DFKai-SB" w:eastAsia="DFKai-SB" w:hAnsi="DFKai-SB" w:hint="eastAsia"/>
          <w:sz w:val="24"/>
        </w:rPr>
        <w:t>有三</w:t>
      </w:r>
      <w:r w:rsidRPr="007B0488">
        <w:rPr>
          <w:rFonts w:ascii="DFKai-SB" w:eastAsia="DFKai-SB" w:hAnsi="DFKai-SB"/>
          <w:sz w:val="24"/>
        </w:rPr>
        <w:t>：</w:t>
      </w:r>
      <w:r w:rsidRPr="007B0488">
        <w:rPr>
          <w:rFonts w:ascii="DFKai-SB" w:eastAsia="DFKai-SB" w:hAnsi="DFKai-SB" w:hint="eastAsia"/>
          <w:sz w:val="24"/>
        </w:rPr>
        <w:t>其一，</w:t>
      </w:r>
      <w:r w:rsidRPr="007B0488">
        <w:rPr>
          <w:rFonts w:ascii="DFKai-SB" w:eastAsia="DFKai-SB" w:hAnsi="DFKai-SB"/>
          <w:sz w:val="24"/>
        </w:rPr>
        <w:t>引领区域：加强与XX和XX的区域协作，构建“大XX〞都市圈，引领东部城镇群开展；</w:t>
      </w:r>
      <w:r w:rsidRPr="007B0488">
        <w:rPr>
          <w:rFonts w:ascii="DFKai-SB" w:eastAsia="DFKai-SB" w:hAnsi="DFKai-SB" w:hint="eastAsia"/>
          <w:sz w:val="24"/>
        </w:rPr>
        <w:t>其二，</w:t>
      </w:r>
      <w:r w:rsidRPr="007B0488">
        <w:rPr>
          <w:rFonts w:ascii="DFKai-SB" w:eastAsia="DFKai-SB" w:hAnsi="DFKai-SB"/>
          <w:sz w:val="24"/>
        </w:rPr>
        <w:t>主动转型：城市功能转型、调整产业构造、重构空间格局，实现整体竞争力提升；</w:t>
      </w:r>
      <w:r w:rsidRPr="007B0488">
        <w:rPr>
          <w:rFonts w:ascii="DFKai-SB" w:eastAsia="DFKai-SB" w:hAnsi="DFKai-SB" w:hint="eastAsia"/>
          <w:sz w:val="24"/>
        </w:rPr>
        <w:t>其三，</w:t>
      </w:r>
      <w:r w:rsidRPr="007B0488">
        <w:rPr>
          <w:rFonts w:ascii="DFKai-SB" w:eastAsia="DFKai-SB" w:hAnsi="DFKai-SB"/>
          <w:sz w:val="24"/>
        </w:rPr>
        <w:t>彰显特色：突出高原城市风貌特色，打造低碳生态宜居城市。</w:t>
      </w:r>
    </w:p>
    <w:p w:rsidR="004D46C7" w:rsidRPr="007B0488" w:rsidP="004D46C7">
      <w:pPr>
        <w:spacing w:line="480" w:lineRule="auto"/>
        <w:ind w:firstLine="470" w:firstLineChars="196"/>
        <w:rPr>
          <w:rFonts w:ascii="DFKai-SB" w:eastAsia="DFKai-SB" w:hAnsi="DFKai-SB" w:hint="eastAsia"/>
          <w:sz w:val="24"/>
        </w:rPr>
        <w:sectPr w:rsidSect="004D46C7">
          <w:headerReference w:type="default" r:id="rId31"/>
          <w:footerReference w:type="even" r:id="rId32"/>
          <w:footerReference w:type="default" r:id="rId33"/>
          <w:footerReference w:type="first" r:id="rId34"/>
          <w:type w:val="nextPage"/>
          <w:pgSz w:w="11906" w:h="16838" w:code="9"/>
          <w:pgMar w:top="1814" w:right="1418" w:bottom="1701" w:left="1814" w:header="1134" w:footer="1247" w:gutter="0"/>
          <w:pgNumType w:fmt="chineseLegalSimplified" w:start="7"/>
          <w:cols w:space="425"/>
          <w:titlePg w:val="0"/>
          <w:docGrid w:type="lines" w:linePitch="312"/>
        </w:sectPr>
      </w:pPr>
    </w:p>
    <w:p w:rsidR="004D46C7" w:rsidRPr="007B0488" w:rsidP="004D46C7">
      <w:pPr>
        <w:spacing w:line="480" w:lineRule="auto"/>
        <w:ind w:firstLine="470" w:firstLineChars="196"/>
        <w:rPr>
          <w:rFonts w:ascii="DFKai-SB" w:eastAsia="DFKai-SB" w:hAnsi="DFKai-SB" w:hint="eastAsia"/>
          <w:sz w:val="24"/>
        </w:rPr>
      </w:pPr>
      <w:r w:rsidRPr="007B0488">
        <w:rPr>
          <w:rFonts w:ascii="DFKai-SB" w:eastAsia="DFKai-SB" w:hAnsi="DFKai-SB"/>
          <w:sz w:val="24"/>
        </w:rPr>
        <w:t>?XX市2030年城市空间总体开展规划?提出了以XX为中心的东部城市群范围划定为“一核一带一圈〞。“一核〞即核心区，指XX市主城区；“一带〞主要指平安、乐都、民和城镇开展带；“一圈〞即以XX为中心的一小时经济圈，主要包括大通、湟中、湟源、互助。</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〔四〕结论</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通过以上分析，我们可得出三个结论：</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1、中国房地产市场从整体上讲已出现两极分化现象，但由于XX房地产市场起步较晚，当前供需两旺，市场比拟平稳安康，不会受到调控政策的重大冲击；</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2、中国经济当前正处于转型期，未来开展将减速，但XX经济开展势头相对好，作为省城和避暑旅游城市，拥有一定的省内外来移民，有较好的外部开展环境；</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3、由于起步晚，市场相对安康，所以XX楼市近期后劲较足，根据XX的经济、人口和城市开展状况，预计XX房地产市场在今后两三年内仍将呈高速开展态势。</w:t>
      </w:r>
    </w:p>
    <w:p w:rsidR="004D46C7" w:rsidRPr="007B0488" w:rsidP="004D46C7">
      <w:pPr>
        <w:spacing w:line="480" w:lineRule="auto"/>
        <w:ind w:firstLine="549" w:firstLineChars="196"/>
        <w:rPr>
          <w:rFonts w:ascii="DFKai-SB" w:eastAsia="DFKai-SB" w:hAnsi="DFKai-SB" w:hint="eastAsia"/>
          <w:color w:val="000000"/>
          <w:sz w:val="28"/>
          <w:szCs w:val="28"/>
        </w:rPr>
      </w:pPr>
    </w:p>
    <w:p w:rsidR="004D46C7" w:rsidRPr="007B0488" w:rsidP="004D46C7">
      <w:pPr>
        <w:spacing w:line="480" w:lineRule="auto"/>
        <w:ind w:firstLine="549" w:firstLineChars="196"/>
        <w:rPr>
          <w:rFonts w:ascii="DFKai-SB" w:eastAsia="DFKai-SB" w:hAnsi="DFKai-SB" w:hint="eastAsia"/>
          <w:color w:val="000000"/>
          <w:sz w:val="28"/>
          <w:szCs w:val="28"/>
        </w:rPr>
      </w:pPr>
    </w:p>
    <w:p w:rsidR="004D46C7" w:rsidRPr="007B0488" w:rsidP="004D46C7">
      <w:pPr>
        <w:spacing w:line="480" w:lineRule="auto"/>
        <w:ind w:firstLine="549" w:firstLineChars="196"/>
        <w:rPr>
          <w:rFonts w:ascii="DFKai-SB" w:eastAsia="DFKai-SB" w:hAnsi="DFKai-SB" w:hint="eastAsia"/>
          <w:color w:val="000000"/>
          <w:sz w:val="28"/>
          <w:szCs w:val="28"/>
        </w:rPr>
      </w:pPr>
    </w:p>
    <w:p w:rsidR="004D46C7" w:rsidRPr="007B0488" w:rsidP="004D46C7">
      <w:pPr>
        <w:spacing w:line="480" w:lineRule="auto"/>
        <w:ind w:firstLine="549" w:firstLineChars="196"/>
        <w:rPr>
          <w:rFonts w:ascii="DFKai-SB" w:eastAsia="DFKai-SB" w:hAnsi="DFKai-SB" w:hint="eastAsia"/>
          <w:color w:val="000000"/>
          <w:sz w:val="28"/>
          <w:szCs w:val="28"/>
        </w:rPr>
      </w:pPr>
    </w:p>
    <w:p w:rsidR="004D46C7" w:rsidRPr="007B0488" w:rsidP="004D46C7">
      <w:pPr>
        <w:spacing w:line="480" w:lineRule="auto"/>
        <w:ind w:firstLine="549" w:firstLineChars="196"/>
        <w:rPr>
          <w:rFonts w:ascii="DFKai-SB" w:eastAsia="DFKai-SB" w:hAnsi="DFKai-SB" w:hint="eastAsia"/>
          <w:color w:val="000000"/>
          <w:sz w:val="28"/>
          <w:szCs w:val="28"/>
        </w:rPr>
      </w:pPr>
    </w:p>
    <w:p w:rsidR="004D46C7" w:rsidRPr="007B0488" w:rsidP="004D46C7">
      <w:pPr>
        <w:spacing w:line="480" w:lineRule="auto"/>
        <w:ind w:firstLine="549" w:firstLineChars="196"/>
        <w:rPr>
          <w:rFonts w:ascii="DFKai-SB" w:eastAsia="DFKai-SB" w:hAnsi="DFKai-SB" w:hint="eastAsia"/>
          <w:color w:val="000000"/>
          <w:sz w:val="28"/>
          <w:szCs w:val="28"/>
        </w:rPr>
      </w:pPr>
      <w:r w:rsidRPr="007B0488">
        <w:rPr>
          <w:rFonts w:ascii="DFKai-SB" w:eastAsia="DFKai-SB" w:hAnsi="DFKai-SB" w:hint="eastAsia"/>
          <w:color w:val="000000"/>
          <w:sz w:val="28"/>
          <w:szCs w:val="28"/>
        </w:rPr>
        <w:t>二、市场行情分析</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〔一〕历史数据</w:t>
      </w: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35"/>
          <w:footerReference w:type="even" r:id="rId36"/>
          <w:footerReference w:type="default" r:id="rId37"/>
          <w:footerReference w:type="first" r:id="rId38"/>
          <w:type w:val="nextPage"/>
          <w:pgSz w:w="11906" w:h="16838" w:code="9"/>
          <w:pgMar w:top="1814" w:right="1418" w:bottom="1701" w:left="1814" w:header="1134" w:footer="1247" w:gutter="0"/>
          <w:pgNumType w:fmt="chineseLegalSimplified" w:start="8"/>
          <w:cols w:space="425"/>
          <w:titlePg w:val="0"/>
          <w:docGrid w:type="lines" w:linePitch="312"/>
        </w:sectPr>
      </w:pPr>
      <w:r w:rsidRPr="007B0488">
        <w:rPr>
          <w:rFonts w:ascii="DFKai-SB" w:eastAsia="DFKai-SB" w:hAnsi="DFKai-SB" w:hint="eastAsia"/>
          <w:color w:val="000000"/>
          <w:sz w:val="24"/>
        </w:rPr>
        <w:t>在楼市数据中，有两组数据特别重要：一是商品房的价格走势，二是商品房的供需情况，通过这两组数据我们可以预测出未来的趋势。在此，我们就这两组数据进展如下分析：</w:t>
      </w:r>
    </w:p>
    <w:p w:rsidR="004D46C7" w:rsidRPr="007B0488" w:rsidP="004D46C7">
      <w:pPr>
        <w:spacing w:line="480" w:lineRule="auto"/>
        <w:ind w:left="471"/>
        <w:rPr>
          <w:rFonts w:ascii="DFKai-SB" w:eastAsia="DFKai-SB" w:hAnsi="DFKai-SB" w:hint="eastAsia"/>
          <w:b/>
          <w:color w:val="000000"/>
          <w:sz w:val="24"/>
        </w:rPr>
      </w:pPr>
      <w:r w:rsidRPr="007B0488">
        <w:rPr>
          <w:rFonts w:ascii="DFKai-SB" w:eastAsia="DFKai-SB" w:hAnsi="DFKai-SB" w:hint="eastAsia"/>
          <w:b/>
          <w:color w:val="000000"/>
          <w:sz w:val="24"/>
        </w:rPr>
        <w:t>1、价格走势</w:t>
      </w:r>
    </w:p>
    <w:tbl>
      <w:tblPr>
        <w:tblStyle w:val="TableNormal"/>
        <w:tblW w:w="8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977"/>
        <w:gridCol w:w="978"/>
        <w:gridCol w:w="977"/>
        <w:gridCol w:w="978"/>
        <w:gridCol w:w="977"/>
        <w:gridCol w:w="978"/>
        <w:gridCol w:w="978"/>
      </w:tblGrid>
      <w:tr>
        <w:tblPrEx>
          <w:tblW w:w="8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980"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年份</w:t>
            </w:r>
          </w:p>
        </w:tc>
        <w:tc>
          <w:tcPr>
            <w:tcW w:w="977"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2006</w:t>
            </w:r>
          </w:p>
        </w:tc>
        <w:tc>
          <w:tcPr>
            <w:tcW w:w="978"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2007</w:t>
            </w:r>
          </w:p>
        </w:tc>
        <w:tc>
          <w:tcPr>
            <w:tcW w:w="977"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2008</w:t>
            </w:r>
          </w:p>
        </w:tc>
        <w:tc>
          <w:tcPr>
            <w:tcW w:w="978"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2009</w:t>
            </w:r>
          </w:p>
        </w:tc>
        <w:tc>
          <w:tcPr>
            <w:tcW w:w="977"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2010</w:t>
            </w:r>
          </w:p>
        </w:tc>
        <w:tc>
          <w:tcPr>
            <w:tcW w:w="978"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2011</w:t>
            </w:r>
          </w:p>
        </w:tc>
        <w:tc>
          <w:tcPr>
            <w:tcW w:w="978"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2012</w:t>
            </w:r>
          </w:p>
        </w:tc>
      </w:tr>
      <w:tr>
        <w:tblPrEx>
          <w:tblW w:w="8823" w:type="dxa"/>
          <w:tblLook w:val="01E0"/>
        </w:tblPrEx>
        <w:tc>
          <w:tcPr>
            <w:tcW w:w="1980"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均价〔元/㎡〕</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2022</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2421</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2766</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2900</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3440</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w w:val="80"/>
                <w:sz w:val="24"/>
              </w:rPr>
              <w:t>3649</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w w:val="80"/>
                <w:sz w:val="24"/>
              </w:rPr>
              <w:t>4695</w:t>
            </w:r>
          </w:p>
        </w:tc>
      </w:tr>
      <w:tr>
        <w:tblPrEx>
          <w:tblW w:w="8823" w:type="dxa"/>
          <w:tblLook w:val="01E0"/>
        </w:tblPrEx>
        <w:tc>
          <w:tcPr>
            <w:tcW w:w="1980"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上涨金额〔元/㎡〕</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145</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399</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313</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134</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540</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209</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1046</w:t>
            </w:r>
          </w:p>
        </w:tc>
      </w:tr>
      <w:tr>
        <w:tblPrEx>
          <w:tblW w:w="8823" w:type="dxa"/>
          <w:tblLook w:val="01E0"/>
        </w:tblPrEx>
        <w:tc>
          <w:tcPr>
            <w:tcW w:w="1980" w:type="dxa"/>
          </w:tcPr>
          <w:p w:rsidR="004D46C7" w:rsidRPr="007B0488" w:rsidP="004D46C7">
            <w:pPr>
              <w:jc w:val="center"/>
              <w:rPr>
                <w:rFonts w:ascii="DFKai-SB" w:eastAsia="DFKai-SB" w:hAnsi="DFKai-SB" w:hint="eastAsia"/>
                <w:w w:val="90"/>
                <w:sz w:val="24"/>
              </w:rPr>
            </w:pPr>
            <w:r w:rsidRPr="007B0488">
              <w:rPr>
                <w:rFonts w:ascii="DFKai-SB" w:eastAsia="DFKai-SB" w:hAnsi="DFKai-SB" w:hint="eastAsia"/>
                <w:w w:val="90"/>
                <w:sz w:val="24"/>
              </w:rPr>
              <w:t>上涨幅度〔%〕</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17.42</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16.50</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11.45</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4.62</w:t>
            </w:r>
          </w:p>
        </w:tc>
        <w:tc>
          <w:tcPr>
            <w:tcW w:w="977"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15.70</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6.08</w:t>
            </w:r>
          </w:p>
        </w:tc>
        <w:tc>
          <w:tcPr>
            <w:tcW w:w="978" w:type="dxa"/>
          </w:tcPr>
          <w:p w:rsidR="004D46C7" w:rsidRPr="007B0488" w:rsidP="004D46C7">
            <w:pPr>
              <w:jc w:val="center"/>
              <w:rPr>
                <w:rFonts w:ascii="DFKai-SB" w:eastAsia="DFKai-SB" w:hAnsi="DFKai-SB" w:hint="eastAsia"/>
                <w:w w:val="80"/>
                <w:sz w:val="24"/>
              </w:rPr>
            </w:pPr>
            <w:r w:rsidRPr="007B0488">
              <w:rPr>
                <w:rFonts w:ascii="DFKai-SB" w:eastAsia="DFKai-SB" w:hAnsi="DFKai-SB" w:hint="eastAsia"/>
                <w:w w:val="80"/>
                <w:sz w:val="24"/>
              </w:rPr>
              <w:t>28.67</w:t>
            </w:r>
          </w:p>
        </w:tc>
      </w:tr>
    </w:tbl>
    <w:p w:rsidR="004D46C7" w:rsidRPr="007B0488" w:rsidP="004D46C7">
      <w:pPr>
        <w:spacing w:before="156" w:beforeLines="50"/>
        <w:ind w:firstLine="480" w:firstLineChars="200"/>
        <w:rPr>
          <w:rFonts w:ascii="DFKai-SB" w:eastAsia="DFKai-SB" w:hAnsi="DFKai-SB" w:hint="eastAsia"/>
          <w:color w:val="000000"/>
          <w:sz w:val="24"/>
        </w:rPr>
      </w:pPr>
      <w:r w:rsidRPr="007B0488">
        <w:rPr>
          <w:rFonts w:ascii="DFKai-SB" w:eastAsia="DFKai-SB" w:hAnsi="DFKai-SB" w:hint="eastAsia"/>
          <w:b/>
          <w:sz w:val="24"/>
        </w:rPr>
        <w:t>数据来源：XX统计局〔以上数据包含XX四区、三县〕</w:t>
      </w:r>
    </w:p>
    <w:p w:rsidR="004D46C7" w:rsidRPr="007B0488" w:rsidP="004D46C7">
      <w:pPr>
        <w:spacing w:line="480" w:lineRule="auto"/>
        <w:ind w:left="-210" w:leftChars="-100"/>
        <w:rPr>
          <w:rFonts w:ascii="DFKai-SB" w:eastAsia="DFKai-SB" w:hAnsi="DFKai-SB" w:hint="eastAsia"/>
          <w:color w:val="000000"/>
          <w:sz w:val="24"/>
        </w:rPr>
      </w:pPr>
      <w:r>
        <w:rPr>
          <w:rFonts w:ascii="DFKai-SB" w:eastAsia="DFKai-SB" w:hAnsi="DFKai-SB"/>
          <w:color w:val="000000"/>
          <w:sz w:val="24"/>
        </w:rPr>
        <w:object>
          <v:shape id="_x0000_i1027" type="#_x0000_t75" style="width:451.35pt;height:208.4pt" o:oleicon="f" o:ole="" o:preferrelative="t" filled="f" stroked="f">
            <v:fill o:detectmouseclick="f"/>
            <v:imagedata r:id="rId39" o:title=""/>
            <o:lock v:ext="edit" aspectratio="t"/>
          </v:shape>
          <o:OLEObject Type="Embed" ProgID="MSGraph.Chart.8" ShapeID="_x0000_i1027" DrawAspect="Content" ObjectID="_1439466691" r:id="rId40"/>
        </w:object>
      </w:r>
      <w:r w:rsidRPr="007B0488">
        <w:rPr>
          <w:rFonts w:ascii="DFKai-SB" w:eastAsia="DFKai-SB" w:hAnsi="DFKai-SB" w:hint="eastAsia"/>
          <w:color w:val="000000"/>
          <w:sz w:val="24"/>
        </w:rPr>
        <w:t>　　从以上数据可以看出，XX市从2006年来，房价从未出现负增长，一直呈上涨态势，而且在内地楼市一片低迷的2012年同，居然出现了</w:t>
      </w:r>
      <w:r w:rsidRPr="007B0488">
        <w:rPr>
          <w:rFonts w:ascii="DFKai-SB" w:eastAsia="DFKai-SB" w:hAnsi="DFKai-SB" w:hint="eastAsia"/>
          <w:color w:val="000000"/>
          <w:sz w:val="24"/>
        </w:rPr>
        <w:t>“</w:t>
      </w:r>
      <w:r w:rsidRPr="007B0488">
        <w:rPr>
          <w:rFonts w:ascii="DFKai-SB" w:eastAsia="DFKai-SB" w:hAnsi="DFKai-SB" w:hint="eastAsia"/>
          <w:color w:val="000000"/>
          <w:sz w:val="24"/>
        </w:rPr>
        <w:t>井喷式〞的上涨。</w:t>
      </w:r>
    </w:p>
    <w:p w:rsidR="004D46C7" w:rsidRPr="007B0488" w:rsidP="004D46C7">
      <w:pPr>
        <w:spacing w:line="480" w:lineRule="auto"/>
        <w:ind w:left="-105" w:leftChars="-50"/>
        <w:rPr>
          <w:rFonts w:ascii="DFKai-SB" w:eastAsia="DFKai-SB" w:hAnsi="DFKai-SB" w:hint="eastAsia"/>
          <w:b/>
          <w:color w:val="000000"/>
          <w:sz w:val="24"/>
        </w:rPr>
      </w:pPr>
      <w:r w:rsidRPr="007B0488">
        <w:rPr>
          <w:rFonts w:ascii="DFKai-SB" w:eastAsia="DFKai-SB" w:hAnsi="DFKai-SB" w:hint="eastAsia"/>
          <w:color w:val="000000"/>
          <w:sz w:val="24"/>
        </w:rPr>
        <w:t>　　　2、</w:t>
      </w:r>
      <w:r w:rsidRPr="007B0488">
        <w:rPr>
          <w:rFonts w:ascii="DFKai-SB" w:eastAsia="DFKai-SB" w:hAnsi="DFKai-SB" w:hint="eastAsia"/>
          <w:b/>
          <w:color w:val="000000"/>
          <w:sz w:val="24"/>
        </w:rPr>
        <w:t>供需情况</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837"/>
        <w:gridCol w:w="1838"/>
        <w:gridCol w:w="1837"/>
        <w:gridCol w:w="18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368" w:type="dxa"/>
            <w:tcMar>
              <w:bottom w:w="85" w:type="dxa"/>
            </w:tcMar>
            <w:vAlign w:val="cente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年份</w:t>
            </w:r>
          </w:p>
        </w:tc>
        <w:tc>
          <w:tcPr>
            <w:tcW w:w="1837" w:type="dxa"/>
            <w:tcMar>
              <w:bottom w:w="85" w:type="dxa"/>
            </w:tcMar>
            <w:vAlign w:val="cente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开工面积〔万㎡〕</w:t>
            </w:r>
          </w:p>
        </w:tc>
        <w:tc>
          <w:tcPr>
            <w:tcW w:w="1838" w:type="dxa"/>
            <w:tcMar>
              <w:bottom w:w="85" w:type="dxa"/>
            </w:tcMar>
            <w:vAlign w:val="cente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竣工面积〔万㎡〕</w:t>
            </w:r>
          </w:p>
        </w:tc>
        <w:tc>
          <w:tcPr>
            <w:tcW w:w="1837" w:type="dxa"/>
            <w:tcMar>
              <w:bottom w:w="85" w:type="dxa"/>
            </w:tcMar>
            <w:vAlign w:val="cente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销售面积〔万㎡〕</w:t>
            </w:r>
          </w:p>
        </w:tc>
        <w:tc>
          <w:tcPr>
            <w:tcW w:w="1838" w:type="dxa"/>
            <w:tcMar>
              <w:bottom w:w="85" w:type="dxa"/>
            </w:tcMar>
            <w:vAlign w:val="cente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销售额〔亿元〕</w:t>
            </w:r>
          </w:p>
        </w:tc>
      </w:tr>
      <w:tr>
        <w:tblPrEx>
          <w:tblW w:w="0" w:type="auto"/>
          <w:jc w:val="center"/>
          <w:tblLook w:val="01E0"/>
        </w:tblPrEx>
        <w:trPr>
          <w:jc w:val="center"/>
        </w:trPr>
        <w:tc>
          <w:tcPr>
            <w:tcW w:w="1368" w:type="dxa"/>
            <w:tcMar>
              <w:bottom w:w="85" w:type="dxa"/>
            </w:tcMa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2008年</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211</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75</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176</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32．8</w:t>
            </w:r>
          </w:p>
        </w:tc>
      </w:tr>
      <w:tr>
        <w:tblPrEx>
          <w:tblW w:w="0" w:type="auto"/>
          <w:jc w:val="center"/>
          <w:tblLook w:val="01E0"/>
        </w:tblPrEx>
        <w:trPr>
          <w:jc w:val="center"/>
        </w:trPr>
        <w:tc>
          <w:tcPr>
            <w:tcW w:w="1368" w:type="dxa"/>
            <w:tcMar>
              <w:bottom w:w="85" w:type="dxa"/>
            </w:tcMa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2009年</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480</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146</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309</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54.9</w:t>
            </w:r>
          </w:p>
        </w:tc>
      </w:tr>
      <w:tr>
        <w:tblPrEx>
          <w:tblW w:w="0" w:type="auto"/>
          <w:jc w:val="center"/>
          <w:tblLook w:val="01E0"/>
        </w:tblPrEx>
        <w:trPr>
          <w:jc w:val="center"/>
        </w:trPr>
        <w:tc>
          <w:tcPr>
            <w:tcW w:w="1368" w:type="dxa"/>
            <w:tcMar>
              <w:bottom w:w="85" w:type="dxa"/>
            </w:tcMa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2010年</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552</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259</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363</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97.9</w:t>
            </w:r>
          </w:p>
        </w:tc>
      </w:tr>
      <w:tr>
        <w:tblPrEx>
          <w:tblW w:w="0" w:type="auto"/>
          <w:jc w:val="center"/>
          <w:tblLook w:val="01E0"/>
        </w:tblPrEx>
        <w:trPr>
          <w:jc w:val="center"/>
        </w:trPr>
        <w:tc>
          <w:tcPr>
            <w:tcW w:w="1368" w:type="dxa"/>
            <w:tcMar>
              <w:bottom w:w="85" w:type="dxa"/>
            </w:tcMa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2011年</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347</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427</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261</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95.2</w:t>
            </w:r>
          </w:p>
        </w:tc>
      </w:tr>
      <w:tr>
        <w:tblPrEx>
          <w:tblW w:w="0" w:type="auto"/>
          <w:jc w:val="center"/>
          <w:tblLook w:val="01E0"/>
        </w:tblPrEx>
        <w:trPr>
          <w:jc w:val="center"/>
        </w:trPr>
        <w:tc>
          <w:tcPr>
            <w:tcW w:w="1368" w:type="dxa"/>
            <w:tcMar>
              <w:bottom w:w="85" w:type="dxa"/>
            </w:tcMar>
          </w:tcPr>
          <w:p w:rsidR="004D46C7" w:rsidRPr="007B0488" w:rsidP="004D46C7">
            <w:pPr>
              <w:spacing w:line="500" w:lineRule="exact"/>
              <w:jc w:val="center"/>
              <w:rPr>
                <w:rFonts w:ascii="DFKai-SB" w:eastAsia="DFKai-SB" w:hAnsi="DFKai-SB" w:hint="eastAsia"/>
                <w:w w:val="90"/>
                <w:sz w:val="24"/>
              </w:rPr>
            </w:pPr>
            <w:r w:rsidRPr="007B0488">
              <w:rPr>
                <w:rFonts w:ascii="DFKai-SB" w:eastAsia="DFKai-SB" w:hAnsi="DFKai-SB" w:hint="eastAsia"/>
                <w:w w:val="90"/>
                <w:sz w:val="24"/>
              </w:rPr>
              <w:t>2012年</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634</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不详</w:t>
            </w:r>
          </w:p>
        </w:tc>
        <w:tc>
          <w:tcPr>
            <w:tcW w:w="1837"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hint="eastAsia"/>
                <w:w w:val="80"/>
                <w:sz w:val="24"/>
              </w:rPr>
              <w:t>169</w:t>
            </w:r>
          </w:p>
        </w:tc>
        <w:tc>
          <w:tcPr>
            <w:tcW w:w="1838" w:type="dxa"/>
            <w:tcMar>
              <w:bottom w:w="85" w:type="dxa"/>
            </w:tcMar>
          </w:tcPr>
          <w:p w:rsidR="004D46C7" w:rsidRPr="007B0488" w:rsidP="004D46C7">
            <w:pPr>
              <w:spacing w:line="500" w:lineRule="exact"/>
              <w:jc w:val="center"/>
              <w:rPr>
                <w:rFonts w:ascii="DFKai-SB" w:eastAsia="DFKai-SB" w:hAnsi="DFKai-SB" w:hint="eastAsia"/>
                <w:w w:val="80"/>
                <w:sz w:val="24"/>
              </w:rPr>
            </w:pPr>
            <w:r w:rsidRPr="007B0488">
              <w:rPr>
                <w:rFonts w:ascii="DFKai-SB" w:eastAsia="DFKai-SB" w:hAnsi="DFKai-SB" w:cs="Arial"/>
                <w:color w:val="000000"/>
                <w:kern w:val="0"/>
                <w:szCs w:val="21"/>
              </w:rPr>
              <w:t>79</w:t>
            </w:r>
          </w:p>
        </w:tc>
      </w:tr>
    </w:tbl>
    <w:p w:rsidR="004D46C7" w:rsidRPr="007B0488" w:rsidP="004D46C7">
      <w:pPr>
        <w:spacing w:before="156" w:beforeLines="50" w:after="156" w:afterLines="50"/>
        <w:ind w:firstLine="480" w:firstLineChars="200"/>
        <w:rPr>
          <w:rFonts w:ascii="DFKai-SB" w:eastAsia="DFKai-SB" w:hAnsi="DFKai-SB" w:hint="eastAsia"/>
          <w:b/>
          <w:sz w:val="24"/>
        </w:rPr>
      </w:pPr>
      <w:r w:rsidRPr="007B0488">
        <w:rPr>
          <w:rFonts w:ascii="DFKai-SB" w:eastAsia="DFKai-SB" w:hAnsi="DFKai-SB" w:hint="eastAsia"/>
          <w:b/>
          <w:sz w:val="24"/>
        </w:rPr>
        <w:t>数据来源：XX统计局〔以上数据包含XX四区、三县〕</w:t>
      </w:r>
    </w:p>
    <w:p w:rsidR="004D46C7" w:rsidRPr="007B0488" w:rsidP="004D46C7">
      <w:pPr>
        <w:spacing w:before="78" w:beforeLines="25" w:line="480" w:lineRule="auto"/>
        <w:ind w:firstLine="470" w:firstLineChars="196"/>
        <w:rPr>
          <w:rFonts w:ascii="DFKai-SB" w:eastAsia="DFKai-SB" w:hAnsi="DFKai-SB" w:hint="eastAsia"/>
          <w:color w:val="000000"/>
          <w:sz w:val="24"/>
        </w:rPr>
        <w:sectPr w:rsidSect="004D46C7">
          <w:headerReference w:type="default" r:id="rId41"/>
          <w:footerReference w:type="even" r:id="rId42"/>
          <w:footerReference w:type="default" r:id="rId43"/>
          <w:footerReference w:type="first" r:id="rId44"/>
          <w:type w:val="nextPage"/>
          <w:pgSz w:w="11906" w:h="16838" w:code="9"/>
          <w:pgMar w:top="1814" w:right="1418" w:bottom="1701" w:left="1814" w:header="1134" w:footer="1247" w:gutter="0"/>
          <w:pgNumType w:fmt="chineseLegalSimplified" w:start="9"/>
          <w:cols w:space="425"/>
          <w:titlePg w:val="0"/>
          <w:docGrid w:type="lines" w:linePitch="312"/>
        </w:sectPr>
      </w:pP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从以上数据可以看出，XX市房地产市场各类指标根本上呈逐年上涨态势。其中2012年由于国家调控政策的影响，观望加剧，销售面积和销售额有所下降，所开工面积却出现了大幅上涨，这说明了三点：一是开发商普遍看好XX市场；二是2012年XX房价的井喷式上涨和国家调控制约了局部需求；三是2012年的大量开工将对今后市场的饱起到较大的促进作用。</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〔二〕板块分析</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XX市由于是多民族聚居区，房地产市场开展区域明显，主要有以下几个特征：</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1、城西和城中是XX市最为繁华的区域，为传统商业和居住区，所以依然是人们居家、购物的重要首选之地。</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2、海湖新区据老城区不是太远，有多条要道贯穿，因为规划有大量市政工程，生活设施高端，但人气稍欠，所以是最具潜力的居住及办公区。</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3、城东区主要是回族聚居区，近年来老城区改造步伐加快，也推动了城东区房地产市场的开展，但由于区域老建筑过多，并稍显脏乱，所以开展相对滞后。</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4、城南是正在建立的新区，由于各种原因开展并未到达预期的效果，因此其各种配套设施并不齐全，近年XX市决定将城南并入城中区行政划分，城市房地产工程多为州县客户较能承受的多层工程。</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〔三〕消费特点</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1、</w:t>
      </w:r>
      <w:r w:rsidRPr="007B0488">
        <w:rPr>
          <w:rFonts w:ascii="DFKai-SB" w:eastAsia="DFKai-SB" w:hAnsi="DFKai-SB"/>
          <w:b/>
          <w:color w:val="000000"/>
          <w:sz w:val="24"/>
        </w:rPr>
        <w:t>城区自住型和改善型为主</w:t>
      </w: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45"/>
          <w:footerReference w:type="even" r:id="rId46"/>
          <w:footerReference w:type="default" r:id="rId47"/>
          <w:footerReference w:type="first" r:id="rId48"/>
          <w:type w:val="nextPage"/>
          <w:pgSz w:w="11906" w:h="16838" w:code="9"/>
          <w:pgMar w:top="1814" w:right="1418" w:bottom="1701" w:left="1814" w:header="1134" w:footer="1247" w:gutter="0"/>
          <w:pgNumType w:fmt="chineseLegalSimplified" w:start="10"/>
          <w:cols w:space="425"/>
          <w:titlePg w:val="0"/>
          <w:docGrid w:type="lines" w:linePitch="312"/>
        </w:sectPr>
      </w:pPr>
      <w:r w:rsidRPr="007B0488">
        <w:rPr>
          <w:rFonts w:ascii="DFKai-SB" w:eastAsia="DFKai-SB" w:hAnsi="DFKai-SB"/>
          <w:color w:val="000000"/>
          <w:sz w:val="24"/>
        </w:rPr>
        <w:t>XX</w:t>
      </w:r>
      <w:r w:rsidRPr="007B0488">
        <w:rPr>
          <w:rFonts w:ascii="DFKai-SB" w:eastAsia="DFKai-SB" w:hAnsi="DFKai-SB" w:hint="eastAsia"/>
          <w:color w:val="000000"/>
          <w:sz w:val="24"/>
        </w:rPr>
        <w:t>楼市</w:t>
      </w:r>
      <w:r w:rsidRPr="007B0488">
        <w:rPr>
          <w:rFonts w:ascii="DFKai-SB" w:eastAsia="DFKai-SB" w:hAnsi="DFKai-SB"/>
          <w:color w:val="000000"/>
          <w:sz w:val="24"/>
        </w:rPr>
        <w:t>是以自住型和改善型为主</w:t>
      </w:r>
      <w:r w:rsidRPr="007B0488">
        <w:rPr>
          <w:rFonts w:ascii="DFKai-SB" w:eastAsia="DFKai-SB" w:hAnsi="DFKai-SB" w:hint="eastAsia"/>
          <w:color w:val="000000"/>
          <w:sz w:val="24"/>
        </w:rPr>
        <w:t>，</w:t>
      </w:r>
      <w:r w:rsidRPr="007B0488">
        <w:rPr>
          <w:rFonts w:ascii="DFKai-SB" w:eastAsia="DFKai-SB" w:hAnsi="DFKai-SB"/>
          <w:color w:val="000000"/>
          <w:sz w:val="24"/>
        </w:rPr>
        <w:t>投机型和投资型住房消费比例不高但也有逐年上升的趋势。据第六次人口普查数据显示，在全市64.68万家庭户中，居民居住在2000年以后建造房屋的家庭户占总户数的比重到达50.39%，居住在</w:t>
      </w:r>
      <w:r w:rsidRPr="007B0488">
        <w:rPr>
          <w:rFonts w:ascii="DFKai-SB" w:eastAsia="DFKai-SB" w:hAnsi="DFKai-SB" w:hint="eastAsia"/>
          <w:color w:val="000000"/>
          <w:sz w:val="24"/>
        </w:rPr>
        <w:t>19</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color w:val="000000"/>
          <w:sz w:val="24"/>
        </w:rPr>
        <w:t>90年代建造的占27.38%，居住在</w:t>
      </w:r>
      <w:r w:rsidRPr="007B0488">
        <w:rPr>
          <w:rFonts w:ascii="DFKai-SB" w:eastAsia="DFKai-SB" w:hAnsi="DFKai-SB" w:hint="eastAsia"/>
          <w:color w:val="000000"/>
          <w:sz w:val="24"/>
        </w:rPr>
        <w:t>19</w:t>
      </w:r>
      <w:r w:rsidRPr="007B0488">
        <w:rPr>
          <w:rFonts w:ascii="DFKai-SB" w:eastAsia="DFKai-SB" w:hAnsi="DFKai-SB"/>
          <w:color w:val="000000"/>
          <w:sz w:val="24"/>
        </w:rPr>
        <w:t>80年代建造的占15.22%，居住在</w:t>
      </w:r>
      <w:r w:rsidRPr="007B0488">
        <w:rPr>
          <w:rFonts w:ascii="DFKai-SB" w:eastAsia="DFKai-SB" w:hAnsi="DFKai-SB" w:hint="eastAsia"/>
          <w:color w:val="000000"/>
          <w:sz w:val="24"/>
        </w:rPr>
        <w:t>19</w:t>
      </w:r>
      <w:r w:rsidRPr="007B0488">
        <w:rPr>
          <w:rFonts w:ascii="DFKai-SB" w:eastAsia="DFKai-SB" w:hAnsi="DFKai-SB"/>
          <w:color w:val="000000"/>
          <w:sz w:val="24"/>
        </w:rPr>
        <w:t>70年代建造的占4.86%，居住在</w:t>
      </w:r>
      <w:r w:rsidRPr="007B0488">
        <w:rPr>
          <w:rFonts w:ascii="DFKai-SB" w:eastAsia="DFKai-SB" w:hAnsi="DFKai-SB" w:hint="eastAsia"/>
          <w:color w:val="000000"/>
          <w:sz w:val="24"/>
        </w:rPr>
        <w:t>19</w:t>
      </w:r>
      <w:r w:rsidRPr="007B0488">
        <w:rPr>
          <w:rFonts w:ascii="DFKai-SB" w:eastAsia="DFKai-SB" w:hAnsi="DFKai-SB"/>
          <w:color w:val="000000"/>
          <w:sz w:val="24"/>
        </w:rPr>
        <w:t>60年代及以前建造的房屋仅占2.15%。居住在上世纪八、九十年代建成的住房的家庭</w:t>
      </w:r>
      <w:r w:rsidRPr="007B0488">
        <w:rPr>
          <w:rFonts w:ascii="DFKai-SB" w:eastAsia="DFKai-SB" w:hAnsi="DFKai-SB" w:hint="eastAsia"/>
          <w:color w:val="000000"/>
          <w:sz w:val="24"/>
        </w:rPr>
        <w:t>有着极强的改善愿望〔共27.55万户〕。</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在自住型购房中，婚房占着非常大的比例。在购置婚房时，大部年轻人都需要父母的资助，其中仅</w:t>
      </w:r>
      <w:r w:rsidRPr="007B0488">
        <w:rPr>
          <w:rFonts w:ascii="DFKai-SB" w:eastAsia="DFKai-SB" w:hAnsi="DFKai-SB"/>
          <w:color w:val="000000"/>
          <w:sz w:val="24"/>
        </w:rPr>
        <w:t>少数一次性付款，</w:t>
      </w:r>
      <w:r w:rsidRPr="007B0488">
        <w:rPr>
          <w:rFonts w:ascii="DFKai-SB" w:eastAsia="DFKai-SB" w:hAnsi="DFKai-SB" w:hint="eastAsia"/>
          <w:color w:val="000000"/>
          <w:sz w:val="24"/>
        </w:rPr>
        <w:t>其余</w:t>
      </w:r>
      <w:r w:rsidRPr="007B0488">
        <w:rPr>
          <w:rFonts w:ascii="DFKai-SB" w:eastAsia="DFKai-SB" w:hAnsi="DFKai-SB"/>
          <w:color w:val="000000"/>
          <w:sz w:val="24"/>
        </w:rPr>
        <w:t>大局部人都选择贷款按揭，</w:t>
      </w:r>
      <w:r w:rsidRPr="007B0488">
        <w:rPr>
          <w:rFonts w:ascii="DFKai-SB" w:eastAsia="DFKai-SB" w:hAnsi="DFKai-SB" w:hint="eastAsia"/>
          <w:color w:val="000000"/>
          <w:sz w:val="24"/>
        </w:rPr>
        <w:t>个别</w:t>
      </w:r>
      <w:r w:rsidRPr="007B0488">
        <w:rPr>
          <w:rFonts w:ascii="DFKai-SB" w:eastAsia="DFKai-SB" w:hAnsi="DFKai-SB"/>
          <w:color w:val="000000"/>
          <w:sz w:val="24"/>
        </w:rPr>
        <w:t>条件不好的</w:t>
      </w:r>
      <w:r w:rsidRPr="007B0488">
        <w:rPr>
          <w:rFonts w:ascii="DFKai-SB" w:eastAsia="DFKai-SB" w:hAnsi="DFKai-SB" w:hint="eastAsia"/>
          <w:color w:val="000000"/>
          <w:sz w:val="24"/>
        </w:rPr>
        <w:t>家庭</w:t>
      </w:r>
      <w:r w:rsidRPr="007B0488">
        <w:rPr>
          <w:rFonts w:ascii="DFKai-SB" w:eastAsia="DFKai-SB" w:hAnsi="DFKai-SB"/>
          <w:color w:val="000000"/>
          <w:sz w:val="24"/>
        </w:rPr>
        <w:t>只能自己拼命赚钱、攒钱、借钱买房。</w:t>
      </w:r>
    </w:p>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2、</w:t>
      </w:r>
      <w:r w:rsidRPr="007B0488">
        <w:rPr>
          <w:rFonts w:ascii="DFKai-SB" w:eastAsia="DFKai-SB" w:hAnsi="DFKai-SB"/>
          <w:b/>
          <w:color w:val="000000"/>
          <w:sz w:val="24"/>
        </w:rPr>
        <w:t>州县群众在XX的住房需求旺盛</w:t>
      </w:r>
    </w:p>
    <w:p w:rsidR="004D46C7" w:rsidRPr="007B0488" w:rsidP="004D46C7">
      <w:pPr>
        <w:spacing w:before="78" w:beforeLines="25" w:line="480" w:lineRule="auto"/>
        <w:ind w:firstLine="480" w:firstLineChars="200"/>
        <w:rPr>
          <w:rFonts w:ascii="DFKai-SB" w:eastAsia="DFKai-SB" w:hAnsi="DFKai-SB" w:hint="eastAsia"/>
          <w:color w:val="000000"/>
          <w:sz w:val="24"/>
        </w:rPr>
      </w:pPr>
      <w:r w:rsidRPr="007B0488">
        <w:rPr>
          <w:rFonts w:ascii="DFKai-SB" w:eastAsia="DFKai-SB" w:hAnsi="DFKai-SB"/>
          <w:color w:val="000000"/>
          <w:sz w:val="24"/>
        </w:rPr>
        <w:t>州县很多牧民都很富裕，他们一般都会养几百头牛羊，卖掉后的钱通常也没其他地方可消费，都拿到XX来买房。州县人在XX买房自住或投资已形成潮流，</w:t>
      </w:r>
      <w:r w:rsidRPr="007B0488">
        <w:rPr>
          <w:rFonts w:ascii="DFKai-SB" w:eastAsia="DFKai-SB" w:hAnsi="DFKai-SB" w:hint="eastAsia"/>
          <w:color w:val="000000"/>
          <w:sz w:val="24"/>
        </w:rPr>
        <w:t>当前已有</w:t>
      </w:r>
      <w:r w:rsidRPr="007B0488">
        <w:rPr>
          <w:rFonts w:ascii="DFKai-SB" w:eastAsia="DFKai-SB" w:hAnsi="DFKai-SB"/>
          <w:color w:val="000000"/>
          <w:sz w:val="24"/>
        </w:rPr>
        <w:t>近10万户州县居民已在XX置业，XX气候、经济、文化中心的</w:t>
      </w:r>
      <w:r w:rsidRPr="007B0488">
        <w:rPr>
          <w:rFonts w:ascii="DFKai-SB" w:eastAsia="DFKai-SB" w:hAnsi="DFKai-SB" w:hint="eastAsia"/>
          <w:color w:val="000000"/>
          <w:sz w:val="24"/>
        </w:rPr>
        <w:t>优势和就业、教育、医疗等条件越</w:t>
      </w:r>
      <w:r w:rsidRPr="007B0488">
        <w:rPr>
          <w:rFonts w:ascii="DFKai-SB" w:eastAsia="DFKai-SB" w:hAnsi="DFKai-SB"/>
          <w:color w:val="000000"/>
          <w:sz w:val="24"/>
        </w:rPr>
        <w:t>来越</w:t>
      </w:r>
      <w:r w:rsidRPr="007B0488">
        <w:rPr>
          <w:rFonts w:ascii="DFKai-SB" w:eastAsia="DFKai-SB" w:hAnsi="DFKai-SB" w:hint="eastAsia"/>
          <w:color w:val="000000"/>
          <w:sz w:val="24"/>
        </w:rPr>
        <w:t>成为</w:t>
      </w:r>
      <w:r w:rsidRPr="007B0488">
        <w:rPr>
          <w:rFonts w:ascii="DFKai-SB" w:eastAsia="DFKai-SB" w:hAnsi="DFKai-SB"/>
          <w:color w:val="000000"/>
          <w:sz w:val="24"/>
        </w:rPr>
        <w:t>大家选择的重要原因</w:t>
      </w:r>
      <w:r w:rsidRPr="007B0488">
        <w:rPr>
          <w:rFonts w:ascii="DFKai-SB" w:eastAsia="DFKai-SB" w:hAnsi="DFKai-SB" w:hint="eastAsia"/>
          <w:color w:val="000000"/>
          <w:sz w:val="24"/>
        </w:rPr>
        <w:t>，而且</w:t>
      </w:r>
      <w:r w:rsidRPr="007B0488">
        <w:rPr>
          <w:rFonts w:ascii="DFKai-SB" w:eastAsia="DFKai-SB" w:hAnsi="DFKai-SB"/>
          <w:color w:val="000000"/>
          <w:sz w:val="24"/>
        </w:rPr>
        <w:t>近年来州县人在XX购房“连锁反响〞的现象十分突出，如果有一家买了房，便会影响其同事、亲戚和朋友也来买房。</w:t>
      </w:r>
      <w:r w:rsidRPr="007B0488">
        <w:rPr>
          <w:rFonts w:ascii="DFKai-SB" w:eastAsia="DFKai-SB" w:hAnsi="DFKai-SB" w:hint="eastAsia"/>
          <w:color w:val="000000"/>
          <w:sz w:val="24"/>
        </w:rPr>
        <w:t>对于州县老人来讲，</w:t>
      </w:r>
      <w:r w:rsidRPr="007B0488">
        <w:rPr>
          <w:rFonts w:ascii="DFKai-SB" w:eastAsia="DFKai-SB" w:hAnsi="DFKai-SB"/>
          <w:color w:val="000000"/>
          <w:sz w:val="24"/>
        </w:rPr>
        <w:t>大局部选择</w:t>
      </w:r>
      <w:r w:rsidRPr="007B0488">
        <w:rPr>
          <w:rFonts w:ascii="DFKai-SB" w:eastAsia="DFKai-SB" w:hAnsi="DFKai-SB" w:hint="eastAsia"/>
          <w:color w:val="000000"/>
          <w:sz w:val="24"/>
        </w:rPr>
        <w:t>居住环境较宜人的</w:t>
      </w:r>
      <w:r w:rsidRPr="007B0488">
        <w:rPr>
          <w:rFonts w:ascii="DFKai-SB" w:eastAsia="DFKai-SB" w:hAnsi="DFKai-SB"/>
          <w:color w:val="000000"/>
          <w:sz w:val="24"/>
        </w:rPr>
        <w:t>海湖新区。</w:t>
      </w:r>
    </w:p>
    <w:p w:rsidR="004D46C7" w:rsidRPr="007B0488" w:rsidP="008918C2">
      <w:pPr>
        <w:spacing w:before="78" w:beforeLines="25"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3、</w:t>
      </w:r>
      <w:r w:rsidRPr="007B0488">
        <w:rPr>
          <w:rFonts w:ascii="DFKai-SB" w:eastAsia="DFKai-SB" w:hAnsi="DFKai-SB" w:hint="eastAsia"/>
          <w:b/>
          <w:color w:val="000000"/>
          <w:sz w:val="24"/>
        </w:rPr>
        <w:t>“</w:t>
      </w:r>
      <w:r w:rsidRPr="007B0488">
        <w:rPr>
          <w:rFonts w:ascii="DFKai-SB" w:eastAsia="DFKai-SB" w:hAnsi="DFKai-SB"/>
          <w:b/>
          <w:color w:val="000000"/>
          <w:sz w:val="24"/>
        </w:rPr>
        <w:t>学区房</w:t>
      </w:r>
      <w:r w:rsidRPr="007B0488">
        <w:rPr>
          <w:rFonts w:ascii="DFKai-SB" w:eastAsia="DFKai-SB" w:hAnsi="DFKai-SB" w:hint="eastAsia"/>
          <w:b/>
          <w:color w:val="000000"/>
          <w:sz w:val="24"/>
        </w:rPr>
        <w:t>〞消费蔚然成风</w:t>
      </w:r>
    </w:p>
    <w:p w:rsidR="004D46C7" w:rsidRPr="007B0488" w:rsidP="004D46C7">
      <w:pPr>
        <w:spacing w:before="78" w:beforeLines="25" w:line="480" w:lineRule="auto"/>
        <w:ind w:firstLine="470" w:firstLineChars="196"/>
        <w:rPr>
          <w:rFonts w:ascii="DFKai-SB" w:eastAsia="DFKai-SB" w:hAnsi="DFKai-SB" w:hint="eastAsia"/>
          <w:color w:val="000000"/>
          <w:sz w:val="24"/>
        </w:rPr>
      </w:pPr>
      <w:r w:rsidRPr="007B0488">
        <w:rPr>
          <w:rFonts w:ascii="DFKai-SB" w:eastAsia="DFKai-SB" w:hAnsi="DFKai-SB"/>
          <w:color w:val="000000"/>
          <w:sz w:val="24"/>
        </w:rPr>
        <w:t>为了给孩子一个美好的未来，家长不惜花费重金购置教育质量好的学区房在XX掀起一股热潮。学区房抢占XX住宅市场的现象尤为明显，伴随虎台、师大附中、五中等学校的扩建，众多注重孩子教育开展的家长把目光毫不犹豫地投向了学区房。</w:t>
      </w:r>
    </w:p>
    <w:p w:rsidR="004D46C7" w:rsidRPr="007B0488" w:rsidP="004D46C7">
      <w:pPr>
        <w:spacing w:before="78" w:beforeLines="25" w:line="480" w:lineRule="auto"/>
        <w:ind w:firstLine="480" w:firstLineChars="200"/>
        <w:rPr>
          <w:rFonts w:ascii="DFKai-SB" w:eastAsia="DFKai-SB" w:hAnsi="DFKai-SB" w:hint="eastAsia"/>
          <w:b/>
          <w:color w:val="000000"/>
          <w:sz w:val="24"/>
        </w:rPr>
      </w:pPr>
      <w:r w:rsidRPr="007B0488">
        <w:rPr>
          <w:rFonts w:ascii="DFKai-SB" w:eastAsia="DFKai-SB" w:hAnsi="DFKai-SB" w:hint="eastAsia"/>
          <w:color w:val="000000"/>
          <w:sz w:val="24"/>
        </w:rPr>
        <w:t>4、</w:t>
      </w:r>
      <w:r w:rsidRPr="007B0488">
        <w:rPr>
          <w:rFonts w:ascii="DFKai-SB" w:eastAsia="DFKai-SB" w:hAnsi="DFKai-SB"/>
          <w:b/>
          <w:color w:val="000000"/>
          <w:sz w:val="24"/>
        </w:rPr>
        <w:t>外来人口在XX购房</w:t>
      </w:r>
    </w:p>
    <w:p w:rsidR="004D46C7" w:rsidRPr="007B0488" w:rsidP="004D46C7">
      <w:pPr>
        <w:spacing w:line="480" w:lineRule="auto"/>
        <w:ind w:firstLine="470" w:firstLineChars="196"/>
        <w:rPr>
          <w:rFonts w:ascii="DFKai-SB" w:eastAsia="DFKai-SB" w:hAnsi="DFKai-SB" w:hint="eastAsia"/>
          <w:color w:val="000000"/>
          <w:sz w:val="24"/>
        </w:rPr>
        <w:sectPr w:rsidSect="004D46C7">
          <w:headerReference w:type="default" r:id="rId49"/>
          <w:footerReference w:type="even" r:id="rId50"/>
          <w:footerReference w:type="default" r:id="rId51"/>
          <w:footerReference w:type="first" r:id="rId52"/>
          <w:type w:val="nextPage"/>
          <w:pgSz w:w="11906" w:h="16838" w:code="9"/>
          <w:pgMar w:top="1814" w:right="1418" w:bottom="1701" w:left="1814" w:header="1134" w:footer="1247" w:gutter="0"/>
          <w:pgNumType w:fmt="chineseLegalSimplified" w:start="11"/>
          <w:cols w:space="425"/>
          <w:titlePg w:val="0"/>
          <w:docGrid w:type="lines" w:linePitch="312"/>
        </w:sectPr>
      </w:pPr>
      <w:r w:rsidRPr="007B0488">
        <w:rPr>
          <w:rFonts w:ascii="DFKai-SB" w:eastAsia="DFKai-SB" w:hAnsi="DFKai-SB"/>
          <w:color w:val="000000"/>
          <w:sz w:val="24"/>
        </w:rPr>
        <w:t>XX市外来流入人口为46.44万人，占全市常住人口的21.02%</w:t>
      </w:r>
      <w:r w:rsidRPr="007B0488">
        <w:rPr>
          <w:rFonts w:ascii="DFKai-SB" w:eastAsia="DFKai-SB" w:hAnsi="DFKai-SB" w:hint="eastAsia"/>
          <w:color w:val="000000"/>
          <w:sz w:val="24"/>
        </w:rPr>
        <w:t>，</w:t>
      </w:r>
      <w:r w:rsidRPr="007B0488">
        <w:rPr>
          <w:rFonts w:ascii="DFKai-SB" w:eastAsia="DFKai-SB" w:hAnsi="DFKai-SB"/>
          <w:color w:val="000000"/>
          <w:sz w:val="24"/>
        </w:rPr>
        <w:t>外来流动人口为XX地区经济的开展注入了强大动力。</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我们从一些楼盘了解到，外来人口中的省外人口已占到10%，其中主要有三类：一是在常年在XX做生意的人，为改善居住条件；二是为了避暑，喜欢这里凉爽夏天的有钱人；三是为了享受XX高考的低分数录取线的家长。</w:t>
      </w: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4D46C7">
      <w:pPr>
        <w:spacing w:line="480" w:lineRule="auto"/>
        <w:ind w:firstLine="470" w:firstLineChars="196"/>
        <w:rPr>
          <w:rFonts w:ascii="DFKai-SB" w:eastAsia="DFKai-SB" w:hAnsi="DFKai-SB" w:hint="eastAsia"/>
          <w:color w:val="000000"/>
          <w:sz w:val="24"/>
        </w:rPr>
      </w:pPr>
    </w:p>
    <w:p w:rsidR="004D46C7" w:rsidRPr="007B0488" w:rsidP="008918C2">
      <w:pPr>
        <w:spacing w:line="480" w:lineRule="auto"/>
        <w:ind w:firstLine="412" w:firstLineChars="196"/>
        <w:rPr>
          <w:rFonts w:ascii="DFKai-SB" w:eastAsia="DFKai-SB" w:hAnsi="DFKai-SB" w:hint="eastAsia"/>
          <w:color w:val="000000"/>
          <w:sz w:val="28"/>
          <w:szCs w:val="28"/>
        </w:rPr>
        <w:sectPr w:rsidSect="004D46C7">
          <w:headerReference w:type="default" r:id="rId53"/>
          <w:footerReference w:type="even" r:id="rId54"/>
          <w:footerReference w:type="default" r:id="rId55"/>
          <w:footerReference w:type="first" r:id="rId56"/>
          <w:type w:val="nextPage"/>
          <w:pgSz w:w="11906" w:h="16838" w:code="9"/>
          <w:pgMar w:top="1814" w:right="1418" w:bottom="1701" w:left="1814" w:header="1134" w:footer="1247" w:gutter="0"/>
          <w:pgNumType w:fmt="chineseLegalSimplified" w:start="12"/>
          <w:cols w:space="425"/>
          <w:titlePg w:val="0"/>
          <w:docGrid w:type="lines" w:linePitch="312"/>
        </w:sectPr>
      </w:pPr>
      <w:r>
        <w:rPr>
          <w:rFonts w:ascii="DFKai-SB" w:eastAsia="DFKai-SB" w:hAnsi="DFKai-SB"/>
          <w:noProof/>
        </w:rPr>
        <w:pict>
          <v:shape id="_x0000_s1028" type="#_x0000_t75" style="width:418.5pt;height:234.95pt;margin-top:39.15pt;margin-left:5.25pt;position:absolute;z-index:-251656192" wrapcoords="-75 -67 -75 21600 21675 21600 21675 -67 -75 -67" filled="t" fillcolor="#969696" stroked="t" strokecolor="gray" strokeweight="1pt">
            <v:imagedata r:id="rId57" r:href="rId58" o:title="" croptop="3242f" cropbottom="11023f" cropleft="1238f" cropright="6192f"/>
            <w10:wrap type="tight"/>
          </v:shape>
        </w:pict>
      </w:r>
      <w:r w:rsidRPr="007B0488">
        <w:rPr>
          <w:rFonts w:ascii="DFKai-SB" w:eastAsia="DFKai-SB" w:hAnsi="DFKai-SB" w:hint="eastAsia"/>
          <w:color w:val="000000"/>
          <w:sz w:val="28"/>
          <w:szCs w:val="28"/>
        </w:rPr>
        <w:t>三、在售楼盘分析</w:t>
      </w:r>
    </w:p>
    <w:p w:rsidR="004D46C7" w:rsidRPr="007B0488" w:rsidP="004D46C7">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color w:val="000000"/>
          <w:sz w:val="24"/>
        </w:rPr>
        <w:t>在本次市场调研中，我们采用租车和步行的方式，逐条街道地进展了</w:t>
      </w:r>
      <w:r w:rsidRPr="007B0488">
        <w:rPr>
          <w:rFonts w:ascii="DFKai-SB" w:eastAsia="DFKai-SB" w:hAnsi="DFKai-SB" w:hint="eastAsia"/>
          <w:color w:val="000000"/>
          <w:sz w:val="24"/>
        </w:rPr>
        <w:t>“</w:t>
      </w:r>
      <w:r w:rsidRPr="007B0488">
        <w:rPr>
          <w:rFonts w:ascii="DFKai-SB" w:eastAsia="DFKai-SB" w:hAnsi="DFKai-SB" w:hint="eastAsia"/>
          <w:color w:val="000000"/>
          <w:sz w:val="24"/>
        </w:rPr>
        <w:t>地毯式〞调查，在选取调查目标时，我们重点针对在售旺销楼盘、即将开盘楼盘和具有地标意义的楼盘进展了调查，共踏勘28个工程，涵盖XX市所有辖区，其中25个为纯商品房工程。为方便统计和研究，我们分为三个板块。</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7"/>
        <w:gridCol w:w="945"/>
        <w:gridCol w:w="7156"/>
      </w:tblGrid>
      <w:tr w:rsidTr="004D46C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687" w:type="dxa"/>
            <w:tcMar>
              <w:left w:w="57" w:type="dxa"/>
              <w:right w:w="57" w:type="dxa"/>
            </w:tcMar>
            <w:vAlign w:val="center"/>
          </w:tcPr>
          <w:p w:rsidR="004D46C7" w:rsidRPr="007B0488" w:rsidP="004D46C7">
            <w:pPr>
              <w:spacing w:line="480" w:lineRule="auto"/>
              <w:jc w:val="center"/>
              <w:rPr>
                <w:rFonts w:ascii="DFKai-SB" w:eastAsia="DFKai-SB" w:hAnsi="DFKai-SB" w:hint="eastAsia"/>
                <w:color w:val="000000"/>
                <w:sz w:val="24"/>
              </w:rPr>
            </w:pPr>
            <w:r w:rsidRPr="007B0488">
              <w:rPr>
                <w:rFonts w:ascii="DFKai-SB" w:eastAsia="DFKai-SB" w:hAnsi="DFKai-SB" w:hint="eastAsia"/>
                <w:color w:val="000000"/>
                <w:sz w:val="24"/>
              </w:rPr>
              <w:t>板块</w:t>
            </w:r>
          </w:p>
        </w:tc>
        <w:tc>
          <w:tcPr>
            <w:tcW w:w="945" w:type="dxa"/>
            <w:vAlign w:val="center"/>
          </w:tcPr>
          <w:p w:rsidR="004D46C7" w:rsidRPr="007B0488" w:rsidP="004D46C7">
            <w:pPr>
              <w:spacing w:line="480" w:lineRule="auto"/>
              <w:jc w:val="center"/>
              <w:rPr>
                <w:rFonts w:ascii="DFKai-SB" w:eastAsia="DFKai-SB" w:hAnsi="DFKai-SB" w:hint="eastAsia"/>
                <w:color w:val="000000"/>
                <w:sz w:val="24"/>
              </w:rPr>
            </w:pPr>
            <w:r w:rsidRPr="007B0488">
              <w:rPr>
                <w:rFonts w:ascii="DFKai-SB" w:eastAsia="DFKai-SB" w:hAnsi="DFKai-SB" w:hint="eastAsia"/>
                <w:color w:val="000000"/>
                <w:sz w:val="24"/>
              </w:rPr>
              <w:t>辖区</w:t>
            </w:r>
          </w:p>
        </w:tc>
        <w:tc>
          <w:tcPr>
            <w:tcW w:w="7156" w:type="dxa"/>
            <w:vAlign w:val="center"/>
          </w:tcPr>
          <w:p w:rsidR="004D46C7" w:rsidRPr="007B0488" w:rsidP="004D46C7">
            <w:pPr>
              <w:spacing w:line="480" w:lineRule="auto"/>
              <w:jc w:val="center"/>
              <w:rPr>
                <w:rFonts w:ascii="DFKai-SB" w:eastAsia="DFKai-SB" w:hAnsi="DFKai-SB" w:hint="eastAsia"/>
                <w:color w:val="000000"/>
                <w:sz w:val="24"/>
              </w:rPr>
            </w:pPr>
            <w:r w:rsidRPr="007B0488">
              <w:rPr>
                <w:rFonts w:ascii="DFKai-SB" w:eastAsia="DFKai-SB" w:hAnsi="DFKai-SB" w:hint="eastAsia"/>
                <w:color w:val="000000"/>
                <w:sz w:val="24"/>
              </w:rPr>
              <w:t>调研楼盘</w:t>
            </w:r>
          </w:p>
        </w:tc>
      </w:tr>
      <w:tr w:rsidTr="004D46C7">
        <w:tblPrEx>
          <w:tblW w:w="0" w:type="auto"/>
          <w:tblLook w:val="01E0"/>
        </w:tblPrEx>
        <w:trPr>
          <w:trHeight w:val="524"/>
        </w:trPr>
        <w:tc>
          <w:tcPr>
            <w:tcW w:w="687" w:type="dxa"/>
            <w:vMerge w:val="restart"/>
            <w:tcMar>
              <w:left w:w="57" w:type="dxa"/>
              <w:bottom w:w="85"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一类地段</w:t>
            </w:r>
          </w:p>
        </w:tc>
        <w:tc>
          <w:tcPr>
            <w:tcW w:w="945" w:type="dxa"/>
            <w:tcMar>
              <w:left w:w="57"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海湖</w:t>
            </w:r>
          </w:p>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新区</w:t>
            </w:r>
          </w:p>
        </w:tc>
        <w:tc>
          <w:tcPr>
            <w:tcW w:w="7156" w:type="dxa"/>
            <w:tcMar>
              <w:left w:w="57" w:type="dxa"/>
              <w:right w:w="57" w:type="dxa"/>
            </w:tcMar>
            <w:vAlign w:val="center"/>
          </w:tcPr>
          <w:p w:rsidR="004D46C7" w:rsidRPr="007B0488" w:rsidP="004D46C7">
            <w:pPr>
              <w:spacing w:line="500" w:lineRule="exact"/>
              <w:rPr>
                <w:rFonts w:ascii="DFKai-SB" w:eastAsia="DFKai-SB" w:hAnsi="DFKai-SB" w:hint="eastAsia"/>
                <w:w w:val="90"/>
                <w:kern w:val="0"/>
                <w:sz w:val="24"/>
                <w:szCs w:val="20"/>
              </w:rPr>
            </w:pPr>
            <w:r w:rsidRPr="007B0488">
              <w:rPr>
                <w:rFonts w:ascii="DFKai-SB" w:eastAsia="DFKai-SB" w:hAnsi="DFKai-SB" w:hint="eastAsia"/>
                <w:b/>
                <w:w w:val="90"/>
                <w:kern w:val="0"/>
                <w:sz w:val="24"/>
                <w:szCs w:val="20"/>
              </w:rPr>
              <w:t>新华联广场、XX万达广场、恒昌卢浮公馆，</w:t>
            </w:r>
            <w:r w:rsidRPr="007B0488">
              <w:rPr>
                <w:rFonts w:ascii="DFKai-SB" w:eastAsia="DFKai-SB" w:hAnsi="DFKai-SB" w:hint="eastAsia"/>
                <w:w w:val="90"/>
                <w:kern w:val="0"/>
                <w:sz w:val="24"/>
                <w:szCs w:val="20"/>
              </w:rPr>
              <w:t>财富星光天地、萨尔斯堡、美林湖、西城名邸、安泰华庭、盛达国际新城、三榆山水文园、湟家花园</w:t>
            </w:r>
          </w:p>
        </w:tc>
      </w:tr>
      <w:tr w:rsidTr="004D46C7">
        <w:tblPrEx>
          <w:tblW w:w="0" w:type="auto"/>
          <w:tblLook w:val="01E0"/>
        </w:tblPrEx>
        <w:trPr>
          <w:trHeight w:val="213"/>
        </w:trPr>
        <w:tc>
          <w:tcPr>
            <w:tcW w:w="687" w:type="dxa"/>
            <w:vMerge/>
            <w:tcMar>
              <w:left w:w="57" w:type="dxa"/>
              <w:bottom w:w="85" w:type="dxa"/>
              <w:right w:w="57" w:type="dxa"/>
            </w:tcMar>
            <w:vAlign w:val="center"/>
          </w:tcPr>
          <w:p w:rsidR="004D46C7" w:rsidRPr="007B0488" w:rsidP="004D46C7">
            <w:pPr>
              <w:spacing w:line="500" w:lineRule="exact"/>
              <w:jc w:val="center"/>
              <w:rPr>
                <w:rFonts w:ascii="DFKai-SB" w:eastAsia="DFKai-SB" w:hAnsi="DFKai-SB" w:hint="eastAsia"/>
                <w:color w:val="000000"/>
                <w:sz w:val="24"/>
              </w:rPr>
            </w:pPr>
          </w:p>
        </w:tc>
        <w:tc>
          <w:tcPr>
            <w:tcW w:w="945" w:type="dxa"/>
            <w:tcMar>
              <w:left w:w="57"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城中区</w:t>
            </w:r>
          </w:p>
        </w:tc>
        <w:tc>
          <w:tcPr>
            <w:tcW w:w="7156" w:type="dxa"/>
            <w:tcMar>
              <w:left w:w="57" w:type="dxa"/>
              <w:right w:w="57" w:type="dxa"/>
            </w:tcMar>
            <w:vAlign w:val="center"/>
          </w:tcPr>
          <w:p w:rsidR="004D46C7" w:rsidRPr="007B0488" w:rsidP="004D46C7">
            <w:pPr>
              <w:spacing w:line="500" w:lineRule="exact"/>
              <w:rPr>
                <w:rFonts w:ascii="DFKai-SB" w:eastAsia="DFKai-SB" w:hAnsi="DFKai-SB" w:hint="eastAsia"/>
                <w:w w:val="90"/>
                <w:kern w:val="0"/>
                <w:sz w:val="24"/>
                <w:szCs w:val="20"/>
              </w:rPr>
            </w:pPr>
            <w:r w:rsidRPr="007B0488">
              <w:rPr>
                <w:rFonts w:ascii="DFKai-SB" w:eastAsia="DFKai-SB" w:hAnsi="DFKai-SB" w:hint="eastAsia"/>
                <w:b/>
                <w:w w:val="90"/>
                <w:kern w:val="0"/>
                <w:sz w:val="24"/>
                <w:szCs w:val="20"/>
              </w:rPr>
              <w:t>香格里拉</w:t>
            </w:r>
          </w:p>
        </w:tc>
      </w:tr>
      <w:tr w:rsidTr="004D46C7">
        <w:tblPrEx>
          <w:tblW w:w="0" w:type="auto"/>
          <w:tblLook w:val="01E0"/>
        </w:tblPrEx>
        <w:trPr>
          <w:trHeight w:val="465"/>
        </w:trPr>
        <w:tc>
          <w:tcPr>
            <w:tcW w:w="687" w:type="dxa"/>
            <w:vMerge/>
            <w:tcMar>
              <w:left w:w="57" w:type="dxa"/>
              <w:bottom w:w="85" w:type="dxa"/>
              <w:right w:w="57" w:type="dxa"/>
            </w:tcMar>
            <w:vAlign w:val="center"/>
          </w:tcPr>
          <w:p w:rsidR="004D46C7" w:rsidRPr="007B0488" w:rsidP="004D46C7">
            <w:pPr>
              <w:spacing w:line="500" w:lineRule="exact"/>
              <w:jc w:val="center"/>
              <w:rPr>
                <w:rFonts w:ascii="DFKai-SB" w:eastAsia="DFKai-SB" w:hAnsi="DFKai-SB" w:hint="eastAsia"/>
                <w:color w:val="000000"/>
                <w:sz w:val="24"/>
              </w:rPr>
            </w:pPr>
          </w:p>
        </w:tc>
        <w:tc>
          <w:tcPr>
            <w:tcW w:w="945" w:type="dxa"/>
            <w:tcMar>
              <w:left w:w="57"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城西区</w:t>
            </w:r>
          </w:p>
        </w:tc>
        <w:tc>
          <w:tcPr>
            <w:tcW w:w="7156" w:type="dxa"/>
            <w:tcMar>
              <w:left w:w="57" w:type="dxa"/>
              <w:right w:w="57" w:type="dxa"/>
            </w:tcMar>
            <w:vAlign w:val="center"/>
          </w:tcPr>
          <w:p w:rsidR="004D46C7" w:rsidRPr="007B0488" w:rsidP="004D46C7">
            <w:pPr>
              <w:spacing w:line="500" w:lineRule="exact"/>
              <w:rPr>
                <w:rFonts w:ascii="DFKai-SB" w:eastAsia="DFKai-SB" w:hAnsi="DFKai-SB" w:hint="eastAsia"/>
                <w:w w:val="90"/>
                <w:kern w:val="0"/>
                <w:sz w:val="24"/>
                <w:szCs w:val="20"/>
              </w:rPr>
            </w:pPr>
            <w:r w:rsidRPr="007B0488">
              <w:rPr>
                <w:rFonts w:ascii="DFKai-SB" w:eastAsia="DFKai-SB" w:hAnsi="DFKai-SB" w:hint="eastAsia"/>
                <w:w w:val="90"/>
                <w:kern w:val="0"/>
                <w:sz w:val="24"/>
                <w:szCs w:val="20"/>
              </w:rPr>
              <w:t>XX国际购物中心、东方明珠、中环首府</w:t>
            </w:r>
          </w:p>
        </w:tc>
      </w:tr>
      <w:tr w:rsidTr="004D46C7">
        <w:tblPrEx>
          <w:tblW w:w="0" w:type="auto"/>
          <w:tblLook w:val="01E0"/>
        </w:tblPrEx>
        <w:trPr>
          <w:trHeight w:val="154"/>
        </w:trPr>
        <w:tc>
          <w:tcPr>
            <w:tcW w:w="687" w:type="dxa"/>
            <w:vMerge w:val="restart"/>
            <w:tcMar>
              <w:left w:w="57" w:type="dxa"/>
              <w:bottom w:w="85"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二类地段</w:t>
            </w:r>
          </w:p>
        </w:tc>
        <w:tc>
          <w:tcPr>
            <w:tcW w:w="945" w:type="dxa"/>
            <w:tcMar>
              <w:left w:w="57"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城北区</w:t>
            </w:r>
          </w:p>
        </w:tc>
        <w:tc>
          <w:tcPr>
            <w:tcW w:w="7156" w:type="dxa"/>
            <w:tcMar>
              <w:left w:w="57" w:type="dxa"/>
              <w:right w:w="57" w:type="dxa"/>
            </w:tcMar>
            <w:vAlign w:val="center"/>
          </w:tcPr>
          <w:p w:rsidR="004D46C7" w:rsidRPr="007B0488" w:rsidP="004D46C7">
            <w:pPr>
              <w:spacing w:line="500" w:lineRule="exact"/>
              <w:rPr>
                <w:rFonts w:ascii="DFKai-SB" w:eastAsia="DFKai-SB" w:hAnsi="DFKai-SB" w:hint="eastAsia"/>
                <w:w w:val="90"/>
                <w:kern w:val="0"/>
                <w:sz w:val="24"/>
                <w:szCs w:val="20"/>
              </w:rPr>
            </w:pPr>
            <w:r w:rsidRPr="007B0488">
              <w:rPr>
                <w:rFonts w:ascii="DFKai-SB" w:eastAsia="DFKai-SB" w:hAnsi="DFKai-SB" w:hint="eastAsia"/>
                <w:b/>
                <w:w w:val="90"/>
                <w:kern w:val="0"/>
                <w:sz w:val="24"/>
                <w:szCs w:val="20"/>
              </w:rPr>
              <w:t>恒大名都，</w:t>
            </w:r>
            <w:r w:rsidRPr="007B0488">
              <w:rPr>
                <w:rFonts w:ascii="DFKai-SB" w:eastAsia="DFKai-SB" w:hAnsi="DFKai-SB" w:hint="eastAsia"/>
                <w:w w:val="90"/>
                <w:kern w:val="0"/>
                <w:sz w:val="24"/>
                <w:szCs w:val="20"/>
              </w:rPr>
              <w:t>海湖名扬、紫金佳苑、紫恒帝景花苑、盛华景苑〔混〕、民惠城</w:t>
            </w:r>
          </w:p>
        </w:tc>
      </w:tr>
      <w:tr w:rsidTr="004D46C7">
        <w:tblPrEx>
          <w:tblW w:w="0" w:type="auto"/>
          <w:tblLook w:val="01E0"/>
        </w:tblPrEx>
        <w:trPr>
          <w:trHeight w:val="315"/>
        </w:trPr>
        <w:tc>
          <w:tcPr>
            <w:tcW w:w="687" w:type="dxa"/>
            <w:vMerge/>
            <w:tcMar>
              <w:left w:w="57" w:type="dxa"/>
              <w:bottom w:w="85" w:type="dxa"/>
              <w:right w:w="57" w:type="dxa"/>
            </w:tcMar>
            <w:vAlign w:val="center"/>
          </w:tcPr>
          <w:p w:rsidR="004D46C7" w:rsidRPr="007B0488" w:rsidP="004D46C7">
            <w:pPr>
              <w:spacing w:line="500" w:lineRule="exact"/>
              <w:jc w:val="center"/>
              <w:rPr>
                <w:rFonts w:ascii="DFKai-SB" w:eastAsia="DFKai-SB" w:hAnsi="DFKai-SB" w:hint="eastAsia"/>
                <w:color w:val="000000"/>
                <w:sz w:val="24"/>
              </w:rPr>
            </w:pPr>
          </w:p>
        </w:tc>
        <w:tc>
          <w:tcPr>
            <w:tcW w:w="945" w:type="dxa"/>
            <w:tcMar>
              <w:left w:w="57" w:type="dxa"/>
              <w:right w:w="57" w:type="dxa"/>
            </w:tcMar>
            <w:vAlign w:val="center"/>
          </w:tcPr>
          <w:p w:rsidR="004D46C7" w:rsidRPr="007B0488" w:rsidP="004D46C7">
            <w:pPr>
              <w:spacing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城东区</w:t>
            </w:r>
          </w:p>
        </w:tc>
        <w:tc>
          <w:tcPr>
            <w:tcW w:w="7156" w:type="dxa"/>
            <w:tcMar>
              <w:left w:w="57" w:type="dxa"/>
              <w:right w:w="57" w:type="dxa"/>
            </w:tcMar>
            <w:vAlign w:val="center"/>
          </w:tcPr>
          <w:p w:rsidR="004D46C7" w:rsidRPr="007B0488" w:rsidP="004D46C7">
            <w:pPr>
              <w:spacing w:line="500" w:lineRule="exact"/>
              <w:rPr>
                <w:rFonts w:ascii="DFKai-SB" w:eastAsia="DFKai-SB" w:hAnsi="DFKai-SB" w:hint="eastAsia"/>
                <w:w w:val="90"/>
                <w:kern w:val="0"/>
                <w:sz w:val="24"/>
                <w:szCs w:val="20"/>
              </w:rPr>
            </w:pPr>
            <w:r w:rsidRPr="007B0488">
              <w:rPr>
                <w:rFonts w:ascii="DFKai-SB" w:eastAsia="DFKai-SB" w:hAnsi="DFKai-SB" w:hint="eastAsia"/>
                <w:b/>
                <w:w w:val="90"/>
                <w:kern w:val="0"/>
                <w:sz w:val="24"/>
                <w:szCs w:val="20"/>
              </w:rPr>
              <w:t>紫金城，</w:t>
            </w:r>
            <w:r w:rsidRPr="007B0488">
              <w:rPr>
                <w:rFonts w:ascii="DFKai-SB" w:eastAsia="DFKai-SB" w:hAnsi="DFKai-SB" w:hint="eastAsia"/>
                <w:w w:val="90"/>
                <w:kern w:val="0"/>
                <w:sz w:val="24"/>
                <w:szCs w:val="20"/>
              </w:rPr>
              <w:t>泛泰依山郡、长乐港湾、荣豪花园、港欧东方花园、和盛园〔混〕、梨园片区公共租赁住房建立工程〔保障房〕</w:t>
            </w:r>
          </w:p>
        </w:tc>
      </w:tr>
    </w:tbl>
    <w:p w:rsidR="004D46C7" w:rsidRPr="007B0488" w:rsidP="008918C2">
      <w:pPr>
        <w:spacing w:line="480" w:lineRule="auto"/>
        <w:ind w:firstLine="470" w:firstLineChars="196"/>
        <w:rPr>
          <w:rFonts w:ascii="DFKai-SB" w:eastAsia="DFKai-SB" w:hAnsi="DFKai-SB" w:hint="eastAsia"/>
          <w:b/>
          <w:color w:val="000000"/>
          <w:sz w:val="24"/>
        </w:rPr>
      </w:pPr>
      <w:r w:rsidRPr="007B0488">
        <w:rPr>
          <w:rFonts w:ascii="DFKai-SB" w:eastAsia="DFKai-SB" w:hAnsi="DFKai-SB" w:hint="eastAsia"/>
          <w:b/>
          <w:color w:val="000000"/>
          <w:sz w:val="24"/>
        </w:rPr>
        <w:t>〔一〕一类地段</w:t>
      </w:r>
    </w:p>
    <w:p w:rsidR="004D46C7" w:rsidRPr="007B0488" w:rsidP="008918C2">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b/>
          <w:kern w:val="0"/>
          <w:sz w:val="24"/>
          <w:szCs w:val="20"/>
        </w:rPr>
        <w:t>1、新华联广场</w:t>
      </w:r>
      <w:r w:rsidRPr="007B0488">
        <w:rPr>
          <w:rFonts w:ascii="DFKai-SB" w:eastAsia="DFKai-SB" w:hAnsi="DFKai-SB" w:hint="eastAsia"/>
          <w:color w:val="000000"/>
          <w:sz w:val="24"/>
        </w:rPr>
        <w:t>〔：0971－4299999〕</w:t>
      </w:r>
    </w:p>
    <w:tbl>
      <w:tblPr>
        <w:tblStyle w:val="TableNormal"/>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7"/>
        <w:gridCol w:w="2833"/>
        <w:gridCol w:w="1260"/>
        <w:gridCol w:w="3614"/>
      </w:tblGrid>
      <w:tr w:rsidTr="004D46C7">
        <w:tblPrEx>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94"/>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物业属性</w:t>
            </w:r>
          </w:p>
        </w:tc>
        <w:tc>
          <w:tcPr>
            <w:tcW w:w="2833" w:type="dxa"/>
            <w:vAlign w:val="center"/>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城市综合体〔高层商品住宅＋写字楼＋商铺〕</w:t>
            </w:r>
          </w:p>
        </w:tc>
        <w:tc>
          <w:tcPr>
            <w:tcW w:w="1260" w:type="dxa"/>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平均价格</w:t>
            </w:r>
          </w:p>
        </w:tc>
        <w:tc>
          <w:tcPr>
            <w:tcW w:w="3614"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color w:val="000000"/>
                <w:sz w:val="24"/>
              </w:rPr>
              <w:t>住宅7300元/㎡，写字楼1.5万元/㎡，商铺</w:t>
            </w:r>
            <w:smartTag w:uri="urn:schemas-microsoft-com:office:smarttags" w:element="chmetcnv">
              <w:smartTagPr>
                <w:attr w:name="HasSpace" w:val="False"/>
                <w:attr w:name="Negative" w:val="False"/>
                <w:attr w:name="NumberType" w:val="1"/>
                <w:attr w:name="SourceValue" w:val="1"/>
                <w:attr w:name="TCSC" w:val="0"/>
                <w:attr w:name="UnitName" w:val="F"/>
              </w:smartTagPr>
              <w:r w:rsidRPr="007B0488">
                <w:rPr>
                  <w:rFonts w:ascii="DFKai-SB" w:eastAsia="DFKai-SB" w:hAnsi="DFKai-SB" w:hint="eastAsia"/>
                  <w:color w:val="000000"/>
                  <w:sz w:val="24"/>
                </w:rPr>
                <w:t>1F</w:t>
              </w:r>
            </w:smartTag>
            <w:r w:rsidRPr="007B0488">
              <w:rPr>
                <w:rFonts w:ascii="DFKai-SB" w:eastAsia="DFKai-SB" w:hAnsi="DFKai-SB" w:hint="eastAsia"/>
                <w:color w:val="000000"/>
                <w:sz w:val="24"/>
              </w:rPr>
              <w:t>3.5万元/㎡</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开发团队</w:t>
            </w:r>
          </w:p>
        </w:tc>
        <w:tc>
          <w:tcPr>
            <w:tcW w:w="7707" w:type="dxa"/>
            <w:gridSpan w:val="3"/>
          </w:tcPr>
          <w:p w:rsidR="004D46C7" w:rsidRPr="007B0488" w:rsidP="004D46C7">
            <w:pPr>
              <w:spacing w:after="62" w:afterLines="20" w:line="500" w:lineRule="exact"/>
              <w:rPr>
                <w:rFonts w:ascii="DFKai-SB" w:eastAsia="DFKai-SB" w:hAnsi="DFKai-SB" w:hint="eastAsia"/>
                <w:color w:val="FF0000"/>
                <w:sz w:val="24"/>
              </w:rPr>
            </w:pPr>
            <w:r w:rsidRPr="007B0488">
              <w:rPr>
                <w:rFonts w:ascii="DFKai-SB" w:eastAsia="DFKai-SB" w:hAnsi="DFKai-SB" w:hint="eastAsia"/>
                <w:color w:val="000000"/>
                <w:sz w:val="24"/>
              </w:rPr>
              <w:t>投资商：新华联不动产股份XX〔中国500强，总部在〕，开发商：XX新华联房地产XX，物业管理：悦豪物业公司〔中国物业50强〕，全案推广：昆布友道品牌传播机构</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经济指标</w:t>
            </w:r>
          </w:p>
        </w:tc>
        <w:tc>
          <w:tcPr>
            <w:tcW w:w="7707" w:type="dxa"/>
            <w:gridSpan w:val="3"/>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占地约314亩，建筑面积72万㎡〔其中7万㎡步行街和沿街商业，12万㎡集群商业，17万㎡写字楼，10万㎡五星级酒店，</w:t>
            </w:r>
            <w:r w:rsidRPr="007B0488">
              <w:rPr>
                <w:rFonts w:ascii="DFKai-SB" w:eastAsia="DFKai-SB" w:hAnsi="DFKai-SB" w:hint="eastAsia"/>
                <w:sz w:val="24"/>
              </w:rPr>
              <w:t>4万</w:t>
            </w:r>
            <w:r w:rsidRPr="007B0488">
              <w:rPr>
                <w:rFonts w:ascii="DFKai-SB" w:eastAsia="DFKai-SB" w:hAnsi="DFKai-SB" w:hint="eastAsia"/>
                <w:color w:val="000000"/>
                <w:sz w:val="24"/>
              </w:rPr>
              <w:t>㎡单身公寓，普通住宅22万㎡〕，容积率为2.5，绿化率36%</w:t>
            </w:r>
            <w:r w:rsidRPr="007B0488">
              <w:rPr>
                <w:rFonts w:ascii="DFKai-SB" w:eastAsia="DFKai-SB" w:hAnsi="DFKai-SB" w:hint="eastAsia"/>
                <w:sz w:val="24"/>
              </w:rPr>
              <w:t>。</w:t>
            </w:r>
          </w:p>
        </w:tc>
      </w:tr>
    </w:tbl>
    <w:p>
      <w:pPr>
        <w:sectPr w:rsidSect="004D46C7">
          <w:headerReference w:type="default" r:id="rId59"/>
          <w:footerReference w:type="even" r:id="rId60"/>
          <w:footerReference w:type="default" r:id="rId61"/>
          <w:footerReference w:type="first" r:id="rId62"/>
          <w:type w:val="nextPage"/>
          <w:pgSz w:w="11906" w:h="16838" w:code="9"/>
          <w:pgMar w:top="1814" w:right="1418" w:bottom="1701" w:left="1814" w:header="1134" w:footer="1247" w:gutter="0"/>
          <w:pgNumType w:fmt="chineseLegalSimplified" w:start="13"/>
          <w:cols w:space="425"/>
          <w:titlePg w:val="0"/>
          <w:docGrid w:type="lines" w:linePitch="312"/>
        </w:sectPr>
      </w:pPr>
    </w:p>
    <w:tbl>
      <w:tblPr>
        <w:tblStyle w:val="TableNormal"/>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7"/>
        <w:gridCol w:w="7707"/>
      </w:tblGrid>
      <w:tr w:rsidTr="004D46C7">
        <w:tblPrEx>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Cs w:val="21"/>
              </w:rPr>
            </w:pPr>
            <w:r w:rsidRPr="007B0488">
              <w:rPr>
                <w:rFonts w:ascii="DFKai-SB" w:eastAsia="DFKai-SB" w:hAnsi="DFKai-SB" w:hint="eastAsia"/>
                <w:color w:val="000000"/>
                <w:sz w:val="24"/>
              </w:rPr>
              <w:t>物业简介</w:t>
            </w:r>
          </w:p>
        </w:tc>
        <w:tc>
          <w:tcPr>
            <w:tcW w:w="7707"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工程位于XX市海湖新区五四西路与文华路交汇处，距老城很近，位置非常优越。工程采用具有巴洛克元素的简欧风格，兵营式排列，工程比拟有品质感，但设计有一些缺点，住宅存在明显的设计硬伤，特别是阳台、客厅位置等。</w:t>
            </w:r>
          </w:p>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已签约准备进驻的商家及有新华百货、大润发超市、苏宁电器、嘉禾院线、迪卡侬运动用品超市和大风车幼儿园。</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房型概况</w:t>
            </w:r>
          </w:p>
        </w:tc>
        <w:tc>
          <w:tcPr>
            <w:tcW w:w="7707" w:type="dxa"/>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两梯两户和两梯三户设计，140㎡为三室两厅两卫XX台，138㎡为三室两厅两卫北阳台，130㎡为三室两厅两卫北阳台，96㎡为两室两厅两卫南小阳台，户型多在北侧设计了小阳台，透通性一般。</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营销要点</w:t>
            </w:r>
          </w:p>
        </w:tc>
        <w:tc>
          <w:tcPr>
            <w:tcW w:w="7707" w:type="dxa"/>
          </w:tcPr>
          <w:p w:rsidR="004D46C7" w:rsidRPr="007B0488" w:rsidP="004D46C7">
            <w:pPr>
              <w:spacing w:after="62" w:afterLines="20" w:line="500" w:lineRule="exact"/>
              <w:rPr>
                <w:rFonts w:ascii="DFKai-SB" w:eastAsia="DFKai-SB" w:hAnsi="DFKai-SB" w:hint="eastAsia"/>
                <w:sz w:val="24"/>
              </w:rPr>
            </w:pPr>
            <w:smartTag w:uri="urn:schemas-microsoft-com:office:smarttags" w:element="chsdate">
              <w:smartTagPr>
                <w:attr w:name="Day" w:val="10"/>
                <w:attr w:name="IsLunarDate" w:val="False"/>
                <w:attr w:name="IsROCDate" w:val="False"/>
                <w:attr w:name="Month" w:val="11"/>
                <w:attr w:name="Year" w:val="2012"/>
              </w:smartTagPr>
              <w:r w:rsidRPr="007B0488">
                <w:rPr>
                  <w:rFonts w:ascii="DFKai-SB" w:eastAsia="DFKai-SB" w:hAnsi="DFKai-SB"/>
                  <w:color w:val="000000"/>
                  <w:sz w:val="24"/>
                </w:rPr>
                <w:t>2012年11月10日</w:t>
              </w:r>
            </w:smartTag>
            <w:r w:rsidRPr="007B0488">
              <w:rPr>
                <w:rFonts w:ascii="DFKai-SB" w:eastAsia="DFKai-SB" w:hAnsi="DFKai-SB"/>
                <w:color w:val="000000"/>
                <w:sz w:val="24"/>
              </w:rPr>
              <w:t>开盘</w:t>
            </w:r>
            <w:r w:rsidRPr="007B0488">
              <w:rPr>
                <w:rFonts w:ascii="DFKai-SB" w:eastAsia="DFKai-SB" w:hAnsi="DFKai-SB" w:hint="eastAsia"/>
                <w:color w:val="000000"/>
                <w:sz w:val="24"/>
              </w:rPr>
              <w:t>，商业局部将于2014年底竣工投入使用。当前认筹住宅可享减10㎡的优惠〔优惠后价格6300元/㎡〕，销售中心非常气派奢华，接待人员很专业。</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Cs w:val="21"/>
              </w:rPr>
            </w:pPr>
            <w:r w:rsidRPr="007B0488">
              <w:rPr>
                <w:rFonts w:ascii="DFKai-SB" w:eastAsia="DFKai-SB" w:hAnsi="DFKai-SB" w:hint="eastAsia"/>
                <w:color w:val="000000"/>
                <w:sz w:val="24"/>
              </w:rPr>
              <w:t>工程点评</w:t>
            </w:r>
          </w:p>
        </w:tc>
        <w:tc>
          <w:tcPr>
            <w:tcW w:w="7707" w:type="dxa"/>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地段优越，产品品质感较高，开发商品牌力强大，但房型设计令人缺憾，预计销售难度较小，特别是商业运营后。</w:t>
            </w:r>
          </w:p>
        </w:tc>
      </w:tr>
    </w:tbl>
    <w:p>
      <w:pPr>
        <w:sectPr w:rsidSect="004D46C7">
          <w:headerReference w:type="default" r:id="rId63"/>
          <w:footerReference w:type="even" r:id="rId64"/>
          <w:footerReference w:type="default" r:id="rId65"/>
          <w:footerReference w:type="first" r:id="rId66"/>
          <w:type w:val="nextPage"/>
          <w:pgSz w:w="11906" w:h="16838" w:code="9"/>
          <w:pgMar w:top="1814" w:right="1418" w:bottom="1701" w:left="1814" w:header="1134" w:footer="1247" w:gutter="0"/>
          <w:pgNumType w:fmt="chineseLegalSimplified" w:start="14"/>
          <w:cols w:space="425"/>
          <w:titlePg w:val="0"/>
          <w:docGrid w:type="lines" w:linePitch="312"/>
        </w:sectPr>
      </w:pPr>
    </w:p>
    <w:p w:rsidR="004D46C7" w:rsidRPr="007B0488" w:rsidP="004D46C7">
      <w:pPr>
        <w:widowControl/>
        <w:jc w:val="left"/>
        <w:rPr>
          <w:rFonts w:ascii="DFKai-SB" w:eastAsia="DFKai-SB" w:hAnsi="DFKai-SB" w:cs="宋体"/>
          <w:kern w:val="0"/>
          <w:sz w:val="24"/>
        </w:rPr>
      </w:pPr>
      <w:r>
        <w:rPr>
          <w:rFonts w:ascii="DFKai-SB" w:eastAsia="DFKai-SB" w:hAnsi="DFKai-SB" w:cs="宋体"/>
          <w:kern w:val="0"/>
          <w:sz w:val="24"/>
        </w:rPr>
        <w:pict>
          <v:shape id="_x0000_i1029" type="#_x0000_t75" alt="../AppData/Roaming/Tencent/Users/280395947/QQ/WinTemp/RichOle/3U%60Z%25Y)SYYH$R%7bW9JBI%7dNR3.jpg" style="width:435.8pt;height:284.35pt" stroked="f">
            <v:imagedata r:id="rId67" r:href="rId68" o:title=""/>
          </v:shape>
        </w:pict>
      </w:r>
    </w:p>
    <w:p w:rsidR="004D46C7" w:rsidRPr="007B0488" w:rsidP="008918C2">
      <w:pPr>
        <w:spacing w:line="480" w:lineRule="auto"/>
        <w:ind w:firstLine="470" w:firstLineChars="196"/>
        <w:rPr>
          <w:rFonts w:ascii="DFKai-SB" w:eastAsia="DFKai-SB" w:hAnsi="DFKai-SB" w:hint="eastAsia"/>
          <w:b/>
          <w:kern w:val="0"/>
          <w:sz w:val="24"/>
          <w:szCs w:val="20"/>
        </w:rPr>
      </w:pPr>
      <w:r w:rsidRPr="007B0488">
        <w:rPr>
          <w:rFonts w:ascii="DFKai-SB" w:eastAsia="DFKai-SB" w:hAnsi="DFKai-SB" w:hint="eastAsia"/>
          <w:b/>
          <w:kern w:val="0"/>
          <w:sz w:val="24"/>
          <w:szCs w:val="20"/>
        </w:rPr>
        <w:t>新华联广场鸟瞰图</w:t>
      </w:r>
    </w:p>
    <w:p w:rsidR="004D46C7" w:rsidRPr="007B0488" w:rsidP="004D46C7">
      <w:pPr>
        <w:widowControl/>
        <w:jc w:val="left"/>
        <w:rPr>
          <w:rFonts w:ascii="DFKai-SB" w:eastAsia="DFKai-SB" w:hAnsi="DFKai-SB" w:cs="宋体"/>
          <w:kern w:val="0"/>
          <w:sz w:val="24"/>
        </w:rPr>
      </w:pPr>
      <w:r>
        <w:rPr>
          <w:rFonts w:ascii="DFKai-SB" w:eastAsia="DFKai-SB" w:hAnsi="DFKai-SB" w:cs="宋体"/>
          <w:kern w:val="0"/>
          <w:sz w:val="24"/>
        </w:rPr>
        <w:pict>
          <v:shape id="_x0000_i1030" type="#_x0000_t75" alt="../AppData/Roaming/Tencent/Users/280395947/QQ/WinTemp/RichOle/L$ZLSIL)CIM$YJLG%60S%7bLX)4.jpg" style="width:430.4pt;height:292.9pt" stroked="f">
            <v:imagedata r:id="rId69" r:href="rId70" o:title=""/>
          </v:shape>
        </w:pict>
      </w:r>
    </w:p>
    <w:p w:rsidR="004D46C7" w:rsidRPr="007B0488" w:rsidP="008918C2">
      <w:pPr>
        <w:spacing w:line="480" w:lineRule="auto"/>
        <w:ind w:firstLine="470" w:firstLineChars="196"/>
        <w:rPr>
          <w:rFonts w:ascii="DFKai-SB" w:eastAsia="DFKai-SB" w:hAnsi="DFKai-SB" w:hint="eastAsia"/>
          <w:b/>
          <w:kern w:val="0"/>
          <w:sz w:val="24"/>
          <w:szCs w:val="20"/>
        </w:rPr>
        <w:sectPr w:rsidSect="004D46C7">
          <w:headerReference w:type="default" r:id="rId71"/>
          <w:footerReference w:type="even" r:id="rId72"/>
          <w:footerReference w:type="default" r:id="rId73"/>
          <w:footerReference w:type="first" r:id="rId74"/>
          <w:type w:val="nextPage"/>
          <w:pgSz w:w="11906" w:h="16838" w:code="9"/>
          <w:pgMar w:top="1814" w:right="1418" w:bottom="1701" w:left="1814" w:header="1134" w:footer="1247" w:gutter="0"/>
          <w:pgNumType w:fmt="chineseLegalSimplified" w:start="15"/>
          <w:cols w:space="425"/>
          <w:titlePg w:val="0"/>
          <w:docGrid w:type="lines" w:linePitch="312"/>
        </w:sectPr>
      </w:pPr>
      <w:r w:rsidRPr="007B0488">
        <w:rPr>
          <w:rFonts w:ascii="DFKai-SB" w:eastAsia="DFKai-SB" w:hAnsi="DFKai-SB" w:hint="eastAsia"/>
          <w:b/>
          <w:kern w:val="0"/>
          <w:sz w:val="24"/>
          <w:szCs w:val="20"/>
        </w:rPr>
        <w:t>新华联广场内部景观效果图</w:t>
      </w:r>
    </w:p>
    <w:p w:rsidR="004D46C7" w:rsidRPr="007B0488" w:rsidP="008918C2">
      <w:pPr>
        <w:spacing w:line="480" w:lineRule="auto"/>
        <w:ind w:firstLine="470" w:firstLineChars="196"/>
        <w:rPr>
          <w:rFonts w:ascii="DFKai-SB" w:eastAsia="DFKai-SB" w:hAnsi="DFKai-SB" w:hint="eastAsia"/>
          <w:sz w:val="24"/>
        </w:rPr>
      </w:pPr>
      <w:r w:rsidRPr="007B0488">
        <w:rPr>
          <w:rFonts w:ascii="DFKai-SB" w:eastAsia="DFKai-SB" w:hAnsi="DFKai-SB" w:hint="eastAsia"/>
          <w:b/>
          <w:kern w:val="0"/>
          <w:sz w:val="24"/>
          <w:szCs w:val="20"/>
        </w:rPr>
        <w:t>2、XX万达广场</w:t>
      </w:r>
      <w:r w:rsidRPr="007B0488">
        <w:rPr>
          <w:rFonts w:ascii="DFKai-SB" w:eastAsia="DFKai-SB" w:hAnsi="DFKai-SB" w:hint="eastAsia"/>
          <w:sz w:val="24"/>
        </w:rPr>
        <w:t>〔：0971－5561111〕</w:t>
      </w:r>
    </w:p>
    <w:tbl>
      <w:tblPr>
        <w:tblStyle w:val="TableNormal"/>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7"/>
        <w:gridCol w:w="1942"/>
        <w:gridCol w:w="1080"/>
        <w:gridCol w:w="4685"/>
      </w:tblGrid>
      <w:tr w:rsidTr="004D46C7">
        <w:tblPrEx>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94"/>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物业属性</w:t>
            </w:r>
          </w:p>
        </w:tc>
        <w:tc>
          <w:tcPr>
            <w:tcW w:w="1942" w:type="dxa"/>
            <w:vAlign w:val="center"/>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城市综合体</w:t>
            </w:r>
          </w:p>
        </w:tc>
        <w:tc>
          <w:tcPr>
            <w:tcW w:w="1080" w:type="dxa"/>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平均价格</w:t>
            </w:r>
          </w:p>
        </w:tc>
        <w:tc>
          <w:tcPr>
            <w:tcW w:w="4685"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尚未公布</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开发团队</w:t>
            </w:r>
          </w:p>
        </w:tc>
        <w:tc>
          <w:tcPr>
            <w:tcW w:w="7707" w:type="dxa"/>
            <w:gridSpan w:val="3"/>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开发商：XX万达集团股份XXXX万达广场投资XX，建筑设计：万达商业规划研究院，商业运营及物业管理：万达商业管理XX</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经济指标</w:t>
            </w:r>
          </w:p>
        </w:tc>
        <w:tc>
          <w:tcPr>
            <w:tcW w:w="7707" w:type="dxa"/>
            <w:gridSpan w:val="3"/>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占地209亩，建筑面积88万㎡〔</w:t>
            </w:r>
            <w:r w:rsidRPr="007B0488">
              <w:rPr>
                <w:rFonts w:ascii="DFKai-SB" w:eastAsia="DFKai-SB" w:hAnsi="DFKai-SB" w:hint="eastAsia"/>
                <w:sz w:val="24"/>
              </w:rPr>
              <w:t>方案持有物业23.4</w:t>
            </w:r>
            <w:r w:rsidRPr="007B0488">
              <w:rPr>
                <w:rFonts w:ascii="DFKai-SB" w:eastAsia="DFKai-SB" w:hAnsi="DFKai-SB" w:hint="eastAsia"/>
                <w:color w:val="000000"/>
                <w:sz w:val="24"/>
              </w:rPr>
              <w:t>万㎡</w:t>
            </w:r>
            <w:r w:rsidRPr="007B0488">
              <w:rPr>
                <w:rFonts w:ascii="DFKai-SB" w:eastAsia="DFKai-SB" w:hAnsi="DFKai-SB" w:hint="eastAsia"/>
                <w:sz w:val="24"/>
              </w:rPr>
              <w:t>〕</w:t>
            </w:r>
            <w:r w:rsidRPr="007B0488">
              <w:rPr>
                <w:rFonts w:ascii="DFKai-SB" w:eastAsia="DFKai-SB" w:hAnsi="DFKai-SB" w:hint="eastAsia"/>
                <w:color w:val="000000"/>
                <w:sz w:val="24"/>
              </w:rPr>
              <w:t>，容积率6.3。</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Cs w:val="21"/>
              </w:rPr>
            </w:pPr>
            <w:r w:rsidRPr="007B0488">
              <w:rPr>
                <w:rFonts w:ascii="DFKai-SB" w:eastAsia="DFKai-SB" w:hAnsi="DFKai-SB" w:hint="eastAsia"/>
                <w:color w:val="000000"/>
                <w:sz w:val="24"/>
              </w:rPr>
              <w:t>物业简介</w:t>
            </w:r>
          </w:p>
        </w:tc>
        <w:tc>
          <w:tcPr>
            <w:tcW w:w="7707" w:type="dxa"/>
            <w:gridSpan w:val="3"/>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XX万达广场为万达集团旗下第84个城市综合体工程，本工程位于XX市海湖新区昆仑大道普丰路口东北，北接五四西路，东接同盛路，西关大街从中东西向通过，加上内部规划南北向街道，构成</w:t>
            </w:r>
            <w:r w:rsidRPr="007B0488">
              <w:rPr>
                <w:rFonts w:ascii="DFKai-SB" w:eastAsia="DFKai-SB" w:hAnsi="DFKai-SB" w:hint="eastAsia"/>
                <w:sz w:val="24"/>
              </w:rPr>
              <w:t>“</w:t>
            </w:r>
            <w:r w:rsidRPr="007B0488">
              <w:rPr>
                <w:rFonts w:ascii="DFKai-SB" w:eastAsia="DFKai-SB" w:hAnsi="DFKai-SB" w:hint="eastAsia"/>
                <w:sz w:val="24"/>
              </w:rPr>
              <w:t>田〞字形街区格局。</w:t>
            </w:r>
          </w:p>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工程</w:t>
            </w:r>
            <w:r w:rsidRPr="007B0488">
              <w:rPr>
                <w:rFonts w:ascii="DFKai-SB" w:eastAsia="DFKai-SB" w:hAnsi="DFKai-SB"/>
                <w:sz w:val="24"/>
              </w:rPr>
              <w:t>集甲级写字楼、商端住宅、城市步行街、SOHO为一体</w:t>
            </w:r>
            <w:r w:rsidRPr="007B0488">
              <w:rPr>
                <w:rFonts w:ascii="DFKai-SB" w:eastAsia="DFKai-SB" w:hAnsi="DFKai-SB" w:hint="eastAsia"/>
                <w:sz w:val="24"/>
              </w:rPr>
              <w:t>；其中写字楼高</w:t>
            </w:r>
            <w:smartTag w:uri="urn:schemas-microsoft-com:office:smarttags" w:element="chmetcnv">
              <w:smartTagPr>
                <w:attr w:name="HasSpace" w:val="False"/>
                <w:attr w:name="Negative" w:val="False"/>
                <w:attr w:name="NumberType" w:val="1"/>
                <w:attr w:name="SourceValue" w:val="180"/>
                <w:attr w:name="TCSC" w:val="0"/>
                <w:attr w:name="UnitName" w:val="米"/>
              </w:smartTagPr>
              <w:r w:rsidRPr="007B0488">
                <w:rPr>
                  <w:rFonts w:ascii="DFKai-SB" w:eastAsia="DFKai-SB" w:hAnsi="DFKai-SB" w:hint="eastAsia"/>
                  <w:sz w:val="24"/>
                </w:rPr>
                <w:t>180米</w:t>
              </w:r>
            </w:smartTag>
            <w:r w:rsidRPr="007B0488">
              <w:rPr>
                <w:rFonts w:ascii="DFKai-SB" w:eastAsia="DFKai-SB" w:hAnsi="DFKai-SB" w:hint="eastAsia"/>
                <w:sz w:val="24"/>
              </w:rPr>
              <w:t>，建筑面积15万㎡，为XX最高建筑；其中一栋已与金融系统答成协议，将构建XX金融大厦；住宅建筑面积31万㎡；步行街建筑面积6万㎡；SOHO建筑面积11万㎡。</w:t>
            </w:r>
          </w:p>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工程被多条城市主干道合围，交通和区位非常优越；在</w:t>
            </w:r>
            <w:r w:rsidRPr="007B0488">
              <w:rPr>
                <w:rFonts w:ascii="DFKai-SB" w:eastAsia="DFKai-SB" w:hAnsi="DFKai-SB" w:hint="eastAsia"/>
                <w:sz w:val="24"/>
              </w:rPr>
              <w:t>“</w:t>
            </w:r>
            <w:r w:rsidRPr="007B0488">
              <w:rPr>
                <w:rFonts w:ascii="DFKai-SB" w:eastAsia="DFKai-SB" w:hAnsi="DFKai-SB" w:hint="eastAsia"/>
                <w:sz w:val="24"/>
              </w:rPr>
              <w:t>田〞字形格局中，内部</w:t>
            </w:r>
            <w:r w:rsidRPr="007B0488">
              <w:rPr>
                <w:rFonts w:ascii="DFKai-SB" w:eastAsia="DFKai-SB" w:hAnsi="DFKai-SB" w:hint="eastAsia"/>
                <w:sz w:val="24"/>
              </w:rPr>
              <w:t>“</w:t>
            </w:r>
            <w:r w:rsidRPr="007B0488">
              <w:rPr>
                <w:rFonts w:ascii="DFKai-SB" w:eastAsia="DFKai-SB" w:hAnsi="DFKai-SB" w:hint="eastAsia"/>
                <w:sz w:val="24"/>
              </w:rPr>
              <w:t>十〞字街的二楼全部用走廊和天桥相贯穿，并有多条扶梯，从而营造出了地上步行街的效果。</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房型概况</w:t>
            </w:r>
          </w:p>
        </w:tc>
        <w:tc>
          <w:tcPr>
            <w:tcW w:w="7707" w:type="dxa"/>
            <w:gridSpan w:val="3"/>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住宅为两梯四户设计，主要分布在不临干道商业价值弱的区位，房型面积跨度较大；商铺层高</w:t>
            </w:r>
            <w:smartTag w:uri="urn:schemas-microsoft-com:office:smarttags" w:element="chmetcnv">
              <w:smartTagPr>
                <w:attr w:name="HasSpace" w:val="False"/>
                <w:attr w:name="Negative" w:val="False"/>
                <w:attr w:name="NumberType" w:val="1"/>
                <w:attr w:name="SourceValue" w:val="5"/>
                <w:attr w:name="TCSC" w:val="0"/>
                <w:attr w:name="UnitName" w:val="米"/>
              </w:smartTagPr>
              <w:r w:rsidRPr="007B0488">
                <w:rPr>
                  <w:rFonts w:ascii="DFKai-SB" w:eastAsia="DFKai-SB" w:hAnsi="DFKai-SB" w:hint="eastAsia"/>
                  <w:sz w:val="24"/>
                </w:rPr>
                <w:t>5米</w:t>
              </w:r>
            </w:smartTag>
            <w:r w:rsidRPr="007B0488">
              <w:rPr>
                <w:rFonts w:ascii="DFKai-SB" w:eastAsia="DFKai-SB" w:hAnsi="DFKai-SB" w:hint="eastAsia"/>
                <w:sz w:val="24"/>
              </w:rPr>
              <w:t>多，其它不详。</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营销要点</w:t>
            </w:r>
          </w:p>
        </w:tc>
        <w:tc>
          <w:tcPr>
            <w:tcW w:w="7707" w:type="dxa"/>
            <w:gridSpan w:val="3"/>
          </w:tcPr>
          <w:p w:rsidR="004D46C7" w:rsidRPr="007B0488" w:rsidP="004D46C7">
            <w:pPr>
              <w:spacing w:after="62" w:afterLines="20" w:line="500" w:lineRule="exact"/>
              <w:rPr>
                <w:rFonts w:ascii="DFKai-SB" w:eastAsia="DFKai-SB" w:hAnsi="DFKai-SB" w:hint="eastAsia"/>
                <w:sz w:val="24"/>
              </w:rPr>
            </w:pPr>
            <w:smartTag w:uri="urn:schemas-microsoft-com:office:smarttags" w:element="chsdate">
              <w:smartTagPr>
                <w:attr w:name="Day" w:val="23"/>
                <w:attr w:name="IsLunarDate" w:val="False"/>
                <w:attr w:name="IsROCDate" w:val="False"/>
                <w:attr w:name="Month" w:val="8"/>
                <w:attr w:name="Year" w:val="2013"/>
              </w:smartTagPr>
              <w:r w:rsidRPr="007B0488">
                <w:rPr>
                  <w:rFonts w:ascii="DFKai-SB" w:eastAsia="DFKai-SB" w:hAnsi="DFKai-SB" w:hint="eastAsia"/>
                  <w:sz w:val="24"/>
                </w:rPr>
                <w:t>8月23日</w:t>
              </w:r>
            </w:smartTag>
            <w:r w:rsidRPr="007B0488">
              <w:rPr>
                <w:rFonts w:ascii="DFKai-SB" w:eastAsia="DFKai-SB" w:hAnsi="DFKai-SB" w:hint="eastAsia"/>
                <w:sz w:val="24"/>
              </w:rPr>
              <w:t>奠基仪式，原方案当天在新宁广场举办的大型文艺演出因大雨推后到</w:t>
            </w:r>
            <w:smartTag w:uri="urn:schemas-microsoft-com:office:smarttags" w:element="chsdate">
              <w:smartTagPr>
                <w:attr w:name="Day" w:val="24"/>
                <w:attr w:name="IsLunarDate" w:val="False"/>
                <w:attr w:name="IsROCDate" w:val="False"/>
                <w:attr w:name="Month" w:val="8"/>
                <w:attr w:name="Year" w:val="2013"/>
              </w:smartTagPr>
              <w:r w:rsidRPr="007B0488">
                <w:rPr>
                  <w:rFonts w:ascii="DFKai-SB" w:eastAsia="DFKai-SB" w:hAnsi="DFKai-SB" w:hint="eastAsia"/>
                  <w:sz w:val="24"/>
                </w:rPr>
                <w:t>8月24日</w:t>
              </w:r>
            </w:smartTag>
            <w:r w:rsidRPr="007B0488">
              <w:rPr>
                <w:rFonts w:ascii="DFKai-SB" w:eastAsia="DFKai-SB" w:hAnsi="DFKai-SB" w:hint="eastAsia"/>
                <w:sz w:val="24"/>
              </w:rPr>
              <w:t>；注重提前造势，城市主干道旁均有道旗广场，在新宁广场XX省博物馆有企业文化展，进展品牌宣传和工程推广及客户积累，接待人员非常热情专业，在被接待的过程中会让客户感到很愉悦。</w:t>
            </w:r>
          </w:p>
        </w:tc>
      </w:tr>
    </w:tbl>
    <w:p>
      <w:pPr>
        <w:sectPr w:rsidSect="004D46C7">
          <w:headerReference w:type="default" r:id="rId75"/>
          <w:footerReference w:type="even" r:id="rId76"/>
          <w:footerReference w:type="default" r:id="rId77"/>
          <w:footerReference w:type="first" r:id="rId78"/>
          <w:type w:val="nextPage"/>
          <w:pgSz w:w="11906" w:h="16838" w:code="9"/>
          <w:pgMar w:top="1814" w:right="1418" w:bottom="1701" w:left="1814" w:header="1134" w:footer="1247" w:gutter="0"/>
          <w:pgNumType w:fmt="chineseLegalSimplified" w:start="16"/>
          <w:cols w:space="425"/>
          <w:titlePg w:val="0"/>
          <w:docGrid w:type="lines" w:linePitch="312"/>
        </w:sectPr>
      </w:pPr>
    </w:p>
    <w:tbl>
      <w:tblPr>
        <w:tblStyle w:val="TableNormal"/>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7"/>
        <w:gridCol w:w="7707"/>
      </w:tblGrid>
      <w:tr w:rsidTr="004D46C7">
        <w:tblPrEx>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137" w:type="dxa"/>
            <w:tcMar>
              <w:left w:w="57" w:type="dxa"/>
              <w:bottom w:w="57" w:type="dxa"/>
              <w:right w:w="57" w:type="dxa"/>
            </w:tcMar>
            <w:vAlign w:val="center"/>
          </w:tcPr>
          <w:p/>
        </w:tc>
        <w:tc>
          <w:tcPr>
            <w:tcW w:w="7707"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商业方案10月开盘，住宅11月份开盘。</w:t>
            </w:r>
          </w:p>
        </w:tc>
      </w:tr>
      <w:tr w:rsidTr="004D46C7">
        <w:tblPrEx>
          <w:tblW w:w="8844"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Cs w:val="21"/>
              </w:rPr>
            </w:pPr>
            <w:r w:rsidRPr="007B0488">
              <w:rPr>
                <w:rFonts w:ascii="DFKai-SB" w:eastAsia="DFKai-SB" w:hAnsi="DFKai-SB" w:hint="eastAsia"/>
                <w:color w:val="000000"/>
                <w:sz w:val="24"/>
              </w:rPr>
              <w:t>工程点评</w:t>
            </w:r>
          </w:p>
        </w:tc>
        <w:tc>
          <w:tcPr>
            <w:tcW w:w="7707"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地段非常好，开发商实力雄厚，品牌力非常强大，预计将开盘热销，而且通过成功运营将带热周边物业，实现万达所宣扬的</w:t>
            </w:r>
            <w:r w:rsidRPr="007B0488">
              <w:rPr>
                <w:rFonts w:ascii="DFKai-SB" w:eastAsia="DFKai-SB" w:hAnsi="DFKai-SB" w:hint="eastAsia"/>
                <w:sz w:val="24"/>
              </w:rPr>
              <w:t>“</w:t>
            </w:r>
            <w:r w:rsidRPr="007B0488">
              <w:rPr>
                <w:rFonts w:ascii="DFKai-SB" w:eastAsia="DFKai-SB" w:hAnsi="DFKai-SB" w:hint="eastAsia"/>
                <w:sz w:val="24"/>
              </w:rPr>
              <w:t>万达所至，中心所在〞。</w:t>
            </w:r>
          </w:p>
        </w:tc>
      </w:tr>
    </w:tbl>
    <w:p w:rsidR="004D46C7" w:rsidRPr="007B0488" w:rsidP="004D46C7">
      <w:pPr>
        <w:spacing w:line="480" w:lineRule="auto"/>
        <w:rPr>
          <w:rFonts w:ascii="DFKai-SB" w:eastAsia="DFKai-SB" w:hAnsi="DFKai-SB" w:hint="eastAsia"/>
          <w:b/>
          <w:kern w:val="0"/>
          <w:sz w:val="24"/>
          <w:szCs w:val="20"/>
        </w:rPr>
      </w:pPr>
      <w:r>
        <w:rPr>
          <w:rFonts w:ascii="DFKai-SB" w:eastAsia="DFKai-SB" w:hAnsi="DFKai-SB"/>
          <w:b/>
          <w:kern w:val="0"/>
          <w:sz w:val="24"/>
          <w:szCs w:val="20"/>
        </w:rPr>
        <w:pict>
          <v:shape id="_x0000_i1031" type="#_x0000_t75" style="width:430.1pt;height:305.3pt" stroked="f">
            <v:imagedata r:id="rId79" o:title="万达广场 (6)"/>
          </v:shape>
        </w:pict>
      </w:r>
    </w:p>
    <w:p w:rsidR="004D46C7" w:rsidRPr="007B0488" w:rsidP="008918C2">
      <w:pPr>
        <w:spacing w:line="480" w:lineRule="auto"/>
        <w:ind w:firstLine="470" w:firstLineChars="196"/>
        <w:rPr>
          <w:rFonts w:ascii="DFKai-SB" w:eastAsia="DFKai-SB" w:hAnsi="DFKai-SB" w:hint="eastAsia"/>
          <w:b/>
          <w:kern w:val="0"/>
          <w:sz w:val="24"/>
          <w:szCs w:val="20"/>
        </w:rPr>
        <w:sectPr w:rsidSect="004D46C7">
          <w:headerReference w:type="default" r:id="rId80"/>
          <w:footerReference w:type="even" r:id="rId81"/>
          <w:footerReference w:type="default" r:id="rId82"/>
          <w:footerReference w:type="first" r:id="rId83"/>
          <w:type w:val="nextPage"/>
          <w:pgSz w:w="11906" w:h="16838" w:code="9"/>
          <w:pgMar w:top="1814" w:right="1418" w:bottom="1701" w:left="1814" w:header="1134" w:footer="1247" w:gutter="0"/>
          <w:pgNumType w:fmt="chineseLegalSimplified" w:start="17"/>
          <w:cols w:space="425"/>
          <w:titlePg w:val="0"/>
          <w:docGrid w:type="lines" w:linePitch="312"/>
        </w:sectPr>
      </w:pPr>
      <w:r w:rsidRPr="007B0488">
        <w:rPr>
          <w:rFonts w:ascii="DFKai-SB" w:eastAsia="DFKai-SB" w:hAnsi="DFKai-SB" w:hint="eastAsia"/>
          <w:b/>
          <w:kern w:val="0"/>
          <w:sz w:val="24"/>
          <w:szCs w:val="20"/>
        </w:rPr>
        <w:t>XX万达广场沙盘全貌</w:t>
      </w:r>
    </w:p>
    <w:p w:rsidR="004D46C7" w:rsidRPr="007B0488" w:rsidP="004D46C7">
      <w:pPr>
        <w:spacing w:line="480" w:lineRule="auto"/>
        <w:rPr>
          <w:rFonts w:ascii="DFKai-SB" w:eastAsia="DFKai-SB" w:hAnsi="DFKai-SB" w:hint="eastAsia"/>
          <w:b/>
          <w:kern w:val="0"/>
          <w:sz w:val="24"/>
          <w:szCs w:val="20"/>
        </w:rPr>
      </w:pPr>
      <w:r>
        <w:rPr>
          <w:rFonts w:ascii="DFKai-SB" w:eastAsia="DFKai-SB" w:hAnsi="DFKai-SB"/>
          <w:b/>
          <w:kern w:val="0"/>
          <w:sz w:val="24"/>
          <w:szCs w:val="20"/>
        </w:rPr>
        <w:pict>
          <v:shape id="_x0000_i1032" type="#_x0000_t75" style="width:430.1pt;height:291.85pt" stroked="f">
            <v:imagedata r:id="rId84" o:title="万达广场 (18)"/>
          </v:shape>
        </w:pict>
      </w:r>
    </w:p>
    <w:p w:rsidR="004D46C7" w:rsidRPr="007B0488" w:rsidP="008918C2">
      <w:pPr>
        <w:spacing w:line="480" w:lineRule="auto"/>
        <w:ind w:firstLine="470" w:firstLineChars="196"/>
        <w:rPr>
          <w:rFonts w:ascii="DFKai-SB" w:eastAsia="DFKai-SB" w:hAnsi="DFKai-SB" w:hint="eastAsia"/>
          <w:b/>
          <w:kern w:val="0"/>
          <w:sz w:val="24"/>
          <w:szCs w:val="20"/>
        </w:rPr>
      </w:pPr>
      <w:r w:rsidRPr="007B0488">
        <w:rPr>
          <w:rFonts w:ascii="DFKai-SB" w:eastAsia="DFKai-SB" w:hAnsi="DFKai-SB" w:hint="eastAsia"/>
          <w:b/>
          <w:kern w:val="0"/>
          <w:sz w:val="24"/>
          <w:szCs w:val="20"/>
        </w:rPr>
        <w:t>XX万达广场展板</w:t>
      </w:r>
    </w:p>
    <w:p w:rsidR="004D46C7" w:rsidRPr="007B0488" w:rsidP="008918C2">
      <w:pPr>
        <w:spacing w:line="480" w:lineRule="auto"/>
        <w:ind w:firstLine="470" w:firstLineChars="196"/>
        <w:rPr>
          <w:rFonts w:ascii="DFKai-SB" w:eastAsia="DFKai-SB" w:hAnsi="DFKai-SB" w:hint="eastAsia"/>
          <w:color w:val="000000"/>
          <w:sz w:val="24"/>
        </w:rPr>
      </w:pPr>
      <w:r w:rsidRPr="007B0488">
        <w:rPr>
          <w:rFonts w:ascii="DFKai-SB" w:eastAsia="DFKai-SB" w:hAnsi="DFKai-SB" w:hint="eastAsia"/>
          <w:b/>
          <w:kern w:val="0"/>
          <w:sz w:val="24"/>
          <w:szCs w:val="20"/>
        </w:rPr>
        <w:t>3、恒昌卢浮公馆</w:t>
      </w:r>
      <w:r w:rsidRPr="007B0488">
        <w:rPr>
          <w:rFonts w:ascii="DFKai-SB" w:eastAsia="DFKai-SB" w:hAnsi="DFKai-SB" w:hint="eastAsia"/>
          <w:color w:val="000000"/>
          <w:sz w:val="24"/>
        </w:rPr>
        <w:t>〔：0971－5217999〕</w:t>
      </w:r>
    </w:p>
    <w:tbl>
      <w:tblPr>
        <w:tblStyle w:val="TableNormal"/>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7"/>
        <w:gridCol w:w="1942"/>
        <w:gridCol w:w="1080"/>
        <w:gridCol w:w="4685"/>
      </w:tblGrid>
      <w:tr w:rsidTr="004D46C7">
        <w:tblPrEx>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94"/>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物业属性</w:t>
            </w:r>
          </w:p>
        </w:tc>
        <w:tc>
          <w:tcPr>
            <w:tcW w:w="1942" w:type="dxa"/>
            <w:vAlign w:val="center"/>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高层商品住宅</w:t>
            </w:r>
          </w:p>
        </w:tc>
        <w:tc>
          <w:tcPr>
            <w:tcW w:w="1080" w:type="dxa"/>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平均价格</w:t>
            </w:r>
          </w:p>
        </w:tc>
        <w:tc>
          <w:tcPr>
            <w:tcW w:w="4685"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color w:val="000000"/>
                <w:sz w:val="24"/>
              </w:rPr>
              <w:t>毛坯7100元/㎡，精装12000元/㎡</w:t>
            </w:r>
          </w:p>
        </w:tc>
      </w:tr>
      <w:tr w:rsidTr="004D46C7">
        <w:tblPrEx>
          <w:tblW w:w="8895"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开发团队</w:t>
            </w:r>
          </w:p>
        </w:tc>
        <w:tc>
          <w:tcPr>
            <w:tcW w:w="7707" w:type="dxa"/>
            <w:gridSpan w:val="3"/>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投资商：阳光恒昌建立投资股份XX，开发商：阳光恒昌〔XX〕地产XX公司，建筑设计：中国建筑XX，景观设计：美国EDSA，全程营销：XX合富辉煌，整合推广：XX博思堂，装修设计：XX大易国际设计事务所，物业管理：高力国际〔全球5大行〕</w:t>
            </w:r>
          </w:p>
        </w:tc>
      </w:tr>
      <w:tr w:rsidTr="004D46C7">
        <w:tblPrEx>
          <w:tblW w:w="8895"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经济指标</w:t>
            </w:r>
          </w:p>
        </w:tc>
        <w:tc>
          <w:tcPr>
            <w:tcW w:w="7707" w:type="dxa"/>
            <w:gridSpan w:val="3"/>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占地约227亩，建筑面积38万㎡，容积率为2.5，绿化率40%，并</w:t>
            </w:r>
            <w:r w:rsidRPr="007B0488">
              <w:rPr>
                <w:rFonts w:ascii="DFKai-SB" w:eastAsia="DFKai-SB" w:hAnsi="DFKai-SB" w:hint="eastAsia"/>
                <w:sz w:val="24"/>
              </w:rPr>
              <w:t>有5万</w:t>
            </w:r>
            <w:r w:rsidRPr="007B0488">
              <w:rPr>
                <w:rFonts w:ascii="DFKai-SB" w:eastAsia="DFKai-SB" w:hAnsi="DFKai-SB" w:hint="eastAsia"/>
                <w:color w:val="000000"/>
                <w:sz w:val="24"/>
              </w:rPr>
              <w:t>㎡</w:t>
            </w:r>
            <w:r w:rsidRPr="007B0488">
              <w:rPr>
                <w:rFonts w:ascii="DFKai-SB" w:eastAsia="DFKai-SB" w:hAnsi="DFKai-SB" w:hint="eastAsia"/>
                <w:sz w:val="24"/>
              </w:rPr>
              <w:t>的超大地下车库。</w:t>
            </w:r>
          </w:p>
        </w:tc>
      </w:tr>
      <w:tr w:rsidTr="004D46C7">
        <w:tblPrEx>
          <w:tblW w:w="8895"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Cs w:val="21"/>
              </w:rPr>
            </w:pPr>
            <w:r w:rsidRPr="007B0488">
              <w:rPr>
                <w:rFonts w:ascii="DFKai-SB" w:eastAsia="DFKai-SB" w:hAnsi="DFKai-SB" w:hint="eastAsia"/>
                <w:color w:val="000000"/>
                <w:sz w:val="24"/>
              </w:rPr>
              <w:t>物业简介</w:t>
            </w:r>
          </w:p>
        </w:tc>
        <w:tc>
          <w:tcPr>
            <w:tcW w:w="7707" w:type="dxa"/>
            <w:gridSpan w:val="3"/>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工程位于XX市海湖新区五四西路91号，南临昆仑大道，东临学渊路，西临府城路，区位优越，闹中有静，地势略呈南低北高。</w:t>
            </w:r>
          </w:p>
          <w:p w:rsidR="004D46C7" w:rsidRPr="007B0488" w:rsidP="004D46C7">
            <w:pPr>
              <w:spacing w:after="0" w:line="500" w:lineRule="exact"/>
              <w:rPr>
                <w:rFonts w:ascii="DFKai-SB" w:eastAsia="DFKai-SB" w:hAnsi="DFKai-SB" w:hint="eastAsia"/>
                <w:sz w:val="24"/>
              </w:rPr>
            </w:pPr>
          </w:p>
        </w:tc>
      </w:tr>
    </w:tbl>
    <w:p>
      <w:pPr>
        <w:sectPr w:rsidSect="004D46C7">
          <w:headerReference w:type="default" r:id="rId85"/>
          <w:footerReference w:type="even" r:id="rId86"/>
          <w:footerReference w:type="default" r:id="rId87"/>
          <w:footerReference w:type="first" r:id="rId88"/>
          <w:type w:val="nextPage"/>
          <w:pgSz w:w="11906" w:h="16838" w:code="9"/>
          <w:pgMar w:top="1814" w:right="1418" w:bottom="1701" w:left="1814" w:header="1134" w:footer="1247" w:gutter="0"/>
          <w:pgNumType w:fmt="chineseLegalSimplified" w:start="18"/>
          <w:cols w:space="425"/>
          <w:titlePg w:val="0"/>
          <w:docGrid w:type="lines" w:linePitch="312"/>
        </w:sectPr>
      </w:pPr>
    </w:p>
    <w:tbl>
      <w:tblPr>
        <w:tblStyle w:val="TableNormal"/>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7"/>
        <w:gridCol w:w="7707"/>
      </w:tblGrid>
      <w:tr w:rsidTr="004D46C7">
        <w:tblPrEx>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137" w:type="dxa"/>
            <w:tcMar>
              <w:left w:w="57" w:type="dxa"/>
              <w:bottom w:w="57" w:type="dxa"/>
              <w:right w:w="57" w:type="dxa"/>
            </w:tcMar>
            <w:vAlign w:val="center"/>
          </w:tcPr>
          <w:p/>
        </w:tc>
        <w:tc>
          <w:tcPr>
            <w:tcW w:w="7707" w:type="dxa"/>
          </w:tcPr>
          <w:p w:rsidR="004D46C7" w:rsidRPr="007B0488" w:rsidP="004D46C7">
            <w:pPr>
              <w:spacing w:before="0" w:after="62" w:afterLines="20" w:line="500" w:lineRule="exact"/>
              <w:rPr>
                <w:rFonts w:ascii="DFKai-SB" w:eastAsia="DFKai-SB" w:hAnsi="DFKai-SB" w:hint="eastAsia"/>
                <w:sz w:val="24"/>
              </w:rPr>
            </w:pPr>
            <w:r w:rsidRPr="007B0488">
              <w:rPr>
                <w:rFonts w:ascii="DFKai-SB" w:eastAsia="DFKai-SB" w:hAnsi="DFKai-SB" w:hint="eastAsia"/>
                <w:sz w:val="24"/>
              </w:rPr>
              <w:t>纯粹法式阿卡迪亚风格，兵营式布局，台地园林，中庭大型景观，楼间距60－</w:t>
            </w:r>
            <w:smartTag w:uri="urn:schemas-microsoft-com:office:smarttags" w:element="chmetcnv">
              <w:smartTagPr>
                <w:attr w:name="HasSpace" w:val="False"/>
                <w:attr w:name="Negative" w:val="False"/>
                <w:attr w:name="NumberType" w:val="1"/>
                <w:attr w:name="SourceValue" w:val="108"/>
                <w:attr w:name="TCSC" w:val="0"/>
                <w:attr w:name="UnitName" w:val="米"/>
              </w:smartTagPr>
              <w:r w:rsidRPr="007B0488">
                <w:rPr>
                  <w:rFonts w:ascii="DFKai-SB" w:eastAsia="DFKai-SB" w:hAnsi="DFKai-SB" w:hint="eastAsia"/>
                  <w:sz w:val="24"/>
                </w:rPr>
                <w:t>108米</w:t>
              </w:r>
            </w:smartTag>
            <w:r w:rsidRPr="007B0488">
              <w:rPr>
                <w:rFonts w:ascii="DFKai-SB" w:eastAsia="DFKai-SB" w:hAnsi="DFKai-SB" w:hint="eastAsia"/>
                <w:sz w:val="24"/>
              </w:rPr>
              <w:t>，已建成3600</w:t>
            </w:r>
            <w:r w:rsidRPr="007B0488">
              <w:rPr>
                <w:rFonts w:ascii="DFKai-SB" w:eastAsia="DFKai-SB" w:hAnsi="DFKai-SB" w:hint="eastAsia"/>
                <w:color w:val="000000"/>
                <w:sz w:val="24"/>
              </w:rPr>
              <w:t>㎡的星级会所〔当前为售楼部〕，规划有</w:t>
            </w:r>
            <w:r w:rsidRPr="007B0488">
              <w:rPr>
                <w:rFonts w:ascii="DFKai-SB" w:eastAsia="DFKai-SB" w:hAnsi="DFKai-SB" w:hint="eastAsia"/>
                <w:sz w:val="24"/>
              </w:rPr>
              <w:t>红黄蓝国际知名双语幼儿园。</w:t>
            </w:r>
          </w:p>
          <w:p w:rsidR="004D46C7" w:rsidRPr="007B0488" w:rsidP="004D46C7">
            <w:pPr>
              <w:spacing w:after="62" w:afterLines="20" w:line="500" w:lineRule="exact"/>
              <w:rPr>
                <w:rFonts w:ascii="DFKai-SB" w:eastAsia="DFKai-SB" w:hAnsi="DFKai-SB" w:hint="eastAsia"/>
                <w:sz w:val="24"/>
              </w:rPr>
            </w:pPr>
            <w:smartTag w:uri="urn:schemas-microsoft-com:office:smarttags" w:element="chmetcnv">
              <w:smartTagPr>
                <w:attr w:name="HasSpace" w:val="False"/>
                <w:attr w:name="Negative" w:val="False"/>
                <w:attr w:name="NumberType" w:val="1"/>
                <w:attr w:name="SourceValue" w:val="6.3"/>
                <w:attr w:name="TCSC" w:val="0"/>
                <w:attr w:name="UnitName" w:val="米"/>
              </w:smartTagPr>
              <w:r w:rsidRPr="007B0488">
                <w:rPr>
                  <w:rFonts w:ascii="DFKai-SB" w:eastAsia="DFKai-SB" w:hAnsi="DFKai-SB" w:hint="eastAsia"/>
                  <w:sz w:val="24"/>
                </w:rPr>
                <w:t>6.3米</w:t>
              </w:r>
            </w:smartTag>
            <w:r w:rsidRPr="007B0488">
              <w:rPr>
                <w:rFonts w:ascii="DFKai-SB" w:eastAsia="DFKai-SB" w:hAnsi="DFKai-SB" w:hint="eastAsia"/>
                <w:sz w:val="24"/>
              </w:rPr>
              <w:t>双层挑高入户大堂，</w:t>
            </w:r>
            <w:smartTag w:uri="urn:schemas-microsoft-com:office:smarttags" w:element="chmetcnv">
              <w:smartTagPr>
                <w:attr w:name="HasSpace" w:val="False"/>
                <w:attr w:name="Negative" w:val="False"/>
                <w:attr w:name="NumberType" w:val="1"/>
                <w:attr w:name="SourceValue" w:val="3.15"/>
                <w:attr w:name="TCSC" w:val="0"/>
                <w:attr w:name="UnitName" w:val="米"/>
              </w:smartTagPr>
              <w:r w:rsidRPr="007B0488">
                <w:rPr>
                  <w:rFonts w:ascii="DFKai-SB" w:eastAsia="DFKai-SB" w:hAnsi="DFKai-SB" w:hint="eastAsia"/>
                  <w:sz w:val="24"/>
                </w:rPr>
                <w:t>3.15米</w:t>
              </w:r>
            </w:smartTag>
            <w:r w:rsidRPr="007B0488">
              <w:rPr>
                <w:rFonts w:ascii="DFKai-SB" w:eastAsia="DFKai-SB" w:hAnsi="DFKai-SB" w:hint="eastAsia"/>
                <w:sz w:val="24"/>
              </w:rPr>
              <w:t>层高，有同层排水系统，智能指纹锁，三层真空断桥钛合金门窗等亮点，非常注重细节，品质感极强。</w:t>
            </w:r>
          </w:p>
        </w:tc>
      </w:tr>
      <w:tr w:rsidTr="004D46C7">
        <w:tblPrEx>
          <w:tblW w:w="8895"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房型概况</w:t>
            </w:r>
          </w:p>
        </w:tc>
        <w:tc>
          <w:tcPr>
            <w:tcW w:w="7707" w:type="dxa"/>
          </w:tcPr>
          <w:p w:rsidR="004D46C7" w:rsidRPr="007B0488" w:rsidP="004D46C7">
            <w:pPr>
              <w:spacing w:after="62" w:afterLines="20" w:line="500" w:lineRule="exact"/>
              <w:rPr>
                <w:rFonts w:ascii="DFKai-SB" w:eastAsia="DFKai-SB" w:hAnsi="DFKai-SB" w:hint="eastAsia"/>
                <w:color w:val="000000"/>
                <w:sz w:val="24"/>
              </w:rPr>
            </w:pPr>
            <w:r w:rsidRPr="007B0488">
              <w:rPr>
                <w:rFonts w:ascii="DFKai-SB" w:eastAsia="DFKai-SB" w:hAnsi="DFKai-SB" w:hint="eastAsia"/>
                <w:color w:val="000000"/>
                <w:sz w:val="24"/>
              </w:rPr>
              <w:t>全部为两梯三户，三室两厅两卫为138、148㎡，四室两厅两卫为220㎡，所有户型带有椭圆形入户玄关，主卧配单独的衣帽间，四室户配有保姆房及保姆通道。但遗憾的是没有阳台。</w:t>
            </w:r>
          </w:p>
        </w:tc>
      </w:tr>
      <w:tr w:rsidTr="004D46C7">
        <w:tblPrEx>
          <w:tblW w:w="8895" w:type="dxa"/>
          <w:jc w:val="center"/>
          <w:tblLook w:val="01E0"/>
        </w:tblPrEx>
        <w:trPr>
          <w:jc w:val="center"/>
        </w:trPr>
        <w:tc>
          <w:tcPr>
            <w:tcW w:w="1137" w:type="dxa"/>
            <w:tcMar>
              <w:left w:w="57" w:type="dxa"/>
              <w:bottom w:w="57" w:type="dxa"/>
              <w:right w:w="57" w:type="dxa"/>
            </w:tcMar>
            <w:vAlign w:val="center"/>
          </w:tcPr>
          <w:p w:rsidR="004D46C7" w:rsidRPr="007B0488" w:rsidP="004D46C7">
            <w:pPr>
              <w:spacing w:line="440" w:lineRule="exact"/>
              <w:jc w:val="center"/>
              <w:rPr>
                <w:rFonts w:ascii="DFKai-SB" w:eastAsia="DFKai-SB" w:hAnsi="DFKai-SB" w:hint="eastAsia"/>
                <w:color w:val="000000"/>
                <w:sz w:val="24"/>
              </w:rPr>
            </w:pPr>
            <w:r w:rsidRPr="007B0488">
              <w:rPr>
                <w:rFonts w:ascii="DFKai-SB" w:eastAsia="DFKai-SB" w:hAnsi="DFKai-SB" w:hint="eastAsia"/>
                <w:color w:val="000000"/>
                <w:sz w:val="24"/>
              </w:rPr>
              <w:t>营销要点</w:t>
            </w:r>
          </w:p>
        </w:tc>
        <w:tc>
          <w:tcPr>
            <w:tcW w:w="7707" w:type="dxa"/>
          </w:tcPr>
          <w:p w:rsidR="004D46C7" w:rsidRPr="007B0488" w:rsidP="004D46C7">
            <w:pPr>
              <w:spacing w:line="440" w:lineRule="exact"/>
              <w:rPr>
                <w:rFonts w:ascii="DFKai-SB" w:eastAsia="DFKai-SB" w:hAnsi="DFKai-SB" w:hint="eastAsia"/>
                <w:sz w:val="24"/>
              </w:rPr>
            </w:pPr>
            <w:r w:rsidRPr="007B0488">
              <w:rPr>
                <w:rFonts w:ascii="DFKai-SB" w:eastAsia="DFKai-SB" w:hAnsi="DFKai-SB" w:hint="eastAsia"/>
                <w:color w:val="000000"/>
                <w:sz w:val="24"/>
              </w:rPr>
              <w:t>一期</w:t>
            </w:r>
            <w:smartTag w:uri="urn:schemas-microsoft-com:office:smarttags" w:element="chsdate">
              <w:smartTagPr>
                <w:attr w:name="Day" w:val="29"/>
                <w:attr w:name="IsLunarDate" w:val="False"/>
                <w:attr w:name="IsROCDate" w:val="False"/>
                <w:attr w:name="Month" w:val="7"/>
                <w:attr w:name="Year" w:val="2012"/>
              </w:smartTagPr>
              <w:r w:rsidRPr="007B0488">
                <w:rPr>
                  <w:rFonts w:ascii="DFKai-SB" w:eastAsia="DFKai-SB" w:hAnsi="DFKai-SB"/>
                  <w:color w:val="000000"/>
                  <w:sz w:val="24"/>
                </w:rPr>
                <w:t>2012年7月29日</w:t>
              </w:r>
            </w:smartTag>
            <w:r w:rsidRPr="007B0488">
              <w:rPr>
                <w:rFonts w:ascii="DFKai-SB" w:eastAsia="DFKai-SB" w:hAnsi="DFKai-SB"/>
                <w:color w:val="000000"/>
                <w:sz w:val="24"/>
              </w:rPr>
              <w:t>开</w:t>
            </w:r>
            <w:r w:rsidRPr="007B0488">
              <w:rPr>
                <w:rFonts w:ascii="DFKai-SB" w:eastAsia="DFKai-SB" w:hAnsi="DFKai-SB" w:hint="eastAsia"/>
                <w:color w:val="000000"/>
                <w:sz w:val="24"/>
              </w:rPr>
              <w:t>盘，</w:t>
            </w:r>
            <w:r w:rsidRPr="007B0488">
              <w:rPr>
                <w:rFonts w:ascii="DFKai-SB" w:eastAsia="DFKai-SB" w:hAnsi="DFKai-SB"/>
                <w:color w:val="000000"/>
                <w:sz w:val="24"/>
              </w:rPr>
              <w:t>2013年11月15号交房</w:t>
            </w:r>
            <w:r w:rsidRPr="007B0488">
              <w:rPr>
                <w:rFonts w:ascii="DFKai-SB" w:eastAsia="DFKai-SB" w:hAnsi="DFKai-SB" w:hint="eastAsia"/>
                <w:color w:val="000000"/>
                <w:sz w:val="24"/>
              </w:rPr>
              <w:t>，</w:t>
            </w:r>
            <w:r w:rsidRPr="007B0488">
              <w:rPr>
                <w:rFonts w:ascii="DFKai-SB" w:eastAsia="DFKai-SB" w:hAnsi="DFKai-SB" w:hint="eastAsia"/>
                <w:sz w:val="24"/>
              </w:rPr>
              <w:t>目前正在销售中。售楼部非常大气，配有专门的3D放映室展示厅，播放效果很震撼；物业公司提前进驻提供专业效劳，销售人员素养较好，非常热情专业；没有优惠措施。</w:t>
            </w:r>
          </w:p>
        </w:tc>
      </w:tr>
      <w:tr w:rsidTr="004D46C7">
        <w:tblPrEx>
          <w:tblW w:w="8895" w:type="dxa"/>
          <w:jc w:val="center"/>
          <w:tblLook w:val="01E0"/>
        </w:tblPrEx>
        <w:trPr>
          <w:jc w:val="center"/>
        </w:trPr>
        <w:tc>
          <w:tcPr>
            <w:tcW w:w="1137" w:type="dxa"/>
            <w:tcMar>
              <w:left w:w="57" w:type="dxa"/>
              <w:bottom w:w="57" w:type="dxa"/>
              <w:right w:w="57" w:type="dxa"/>
            </w:tcMar>
            <w:vAlign w:val="center"/>
          </w:tcPr>
          <w:p w:rsidR="004D46C7" w:rsidRPr="007B0488" w:rsidP="004D46C7">
            <w:pPr>
              <w:spacing w:after="62" w:afterLines="20" w:line="500" w:lineRule="exact"/>
              <w:jc w:val="center"/>
              <w:rPr>
                <w:rFonts w:ascii="DFKai-SB" w:eastAsia="DFKai-SB" w:hAnsi="DFKai-SB" w:hint="eastAsia"/>
                <w:color w:val="000000"/>
                <w:sz w:val="24"/>
              </w:rPr>
            </w:pPr>
            <w:r w:rsidRPr="007B0488">
              <w:rPr>
                <w:rFonts w:ascii="DFKai-SB" w:eastAsia="DFKai-SB" w:hAnsi="DFKai-SB" w:hint="eastAsia"/>
                <w:color w:val="000000"/>
                <w:sz w:val="24"/>
              </w:rPr>
              <w:t>工程点评</w:t>
            </w:r>
          </w:p>
        </w:tc>
        <w:tc>
          <w:tcPr>
            <w:tcW w:w="7707" w:type="dxa"/>
          </w:tcPr>
          <w:p w:rsidR="004D46C7" w:rsidRPr="007B0488" w:rsidP="004D46C7">
            <w:pPr>
              <w:spacing w:after="62" w:afterLines="20" w:line="500" w:lineRule="exact"/>
              <w:rPr>
                <w:rFonts w:ascii="DFKai-SB" w:eastAsia="DFKai-SB" w:hAnsi="DFKai-SB" w:hint="eastAsia"/>
                <w:sz w:val="24"/>
              </w:rPr>
            </w:pPr>
            <w:r w:rsidRPr="007B0488">
              <w:rPr>
                <w:rFonts w:ascii="DFKai-SB" w:eastAsia="DFKai-SB" w:hAnsi="DFKai-SB" w:hint="eastAsia"/>
                <w:sz w:val="24"/>
              </w:rPr>
              <w:t>地段好，品质感极强，非常注重营销，各个方面都几近完善，唯一的瑕疵是局部房型需改良后才有阳台。</w:t>
            </w:r>
          </w:p>
        </w:tc>
      </w:tr>
    </w:tbl>
    <w:p>
      <w:pPr>
        <w:sectPr w:rsidSect="004D46C7">
          <w:headerReference w:type="default" r:id="rId89"/>
          <w:footerReference w:type="even" r:id="rId90"/>
          <w:footerReference w:type="default" r:id="rId91"/>
          <w:footerReference w:type="first" r:id="rId92"/>
          <w:type w:val="nextPage"/>
          <w:pgSz w:w="11906" w:h="16838" w:code="9"/>
          <w:pgMar w:top="1814" w:right="1418" w:bottom="1701" w:left="1814" w:header="1134" w:footer="1247" w:gutter="0"/>
          <w:pgNumType w:fmt="chineseLegalSimplified" w:start="19"/>
          <w:cols w:space="425"/>
          <w:titlePg w:val="0"/>
          <w:docGrid w:type="lines" w:linePitch="312"/>
        </w:sectPr>
      </w:pPr>
    </w:p>
    <w:tbl>
      <w:tblPr>
        <w:tblStyle w:val="TableNormal"/>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0"/>
        <w:gridCol w:w="4365"/>
      </w:tblGrid>
      <w:tr w:rsidTr="004D46C7">
        <w:tblPrEx>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8895" w:type="dxa"/>
            <w:gridSpan w:val="2"/>
            <w:tcBorders>
              <w:top w:val="single" w:sz="4" w:space="0" w:color="FFFFFF"/>
              <w:left w:val="single" w:sz="4" w:space="0" w:color="FFFFFF"/>
              <w:bottom w:val="single" w:sz="4" w:space="0" w:color="FFFFFF"/>
              <w:right w:val="single" w:sz="4" w:space="0" w:color="FFFFFF"/>
            </w:tcBorders>
            <w:vAlign w:val="center"/>
          </w:tcPr>
          <w:p w:rsidR="004D46C7" w:rsidRPr="007B0488" w:rsidP="004D46C7">
            <w:pPr>
              <w:spacing w:line="480" w:lineRule="auto"/>
              <w:jc w:val="center"/>
              <w:rPr>
                <w:rFonts w:ascii="DFKai-SB" w:eastAsia="DFKai-SB" w:hAnsi="DFKai-SB"/>
                <w:b/>
                <w:kern w:val="0"/>
                <w:sz w:val="24"/>
                <w:szCs w:val="20"/>
              </w:rPr>
            </w:pPr>
            <w:r>
              <w:rPr>
                <w:rFonts w:ascii="DFKai-SB" w:eastAsia="DFKai-SB" w:hAnsi="DFKai-SB"/>
                <w:b/>
                <w:kern w:val="0"/>
                <w:sz w:val="24"/>
                <w:szCs w:val="20"/>
              </w:rPr>
              <w:pict>
                <v:shape id="_x0000_i1033" type="#_x0000_t75" style="width:336.2pt;height:435.55pt" stroked="f">
                  <v:imagedata r:id="rId93" o:title="卢浮公馆会所"/>
                </v:shape>
              </w:pict>
            </w:r>
          </w:p>
          <w:p w:rsidR="004D46C7" w:rsidRPr="007B0488" w:rsidP="004D46C7">
            <w:pPr>
              <w:spacing w:line="480" w:lineRule="auto"/>
              <w:jc w:val="center"/>
              <w:rPr>
                <w:rFonts w:ascii="DFKai-SB" w:eastAsia="DFKai-SB" w:hAnsi="DFKai-SB" w:hint="eastAsia"/>
                <w:b/>
                <w:kern w:val="0"/>
                <w:sz w:val="24"/>
                <w:szCs w:val="20"/>
              </w:rPr>
            </w:pPr>
            <w:r w:rsidRPr="007B0488">
              <w:rPr>
                <w:rFonts w:ascii="DFKai-SB" w:eastAsia="DFKai-SB" w:hAnsi="DFKai-SB" w:hint="eastAsia"/>
                <w:b/>
                <w:kern w:val="0"/>
                <w:sz w:val="24"/>
                <w:szCs w:val="20"/>
              </w:rPr>
              <w:t>卢浮公馆销售中心</w:t>
            </w:r>
          </w:p>
        </w:tc>
      </w:tr>
      <w:tr w:rsidTr="004D46C7">
        <w:tblPrEx>
          <w:tblW w:w="8895" w:type="dxa"/>
          <w:jc w:val="center"/>
          <w:tblLook w:val="01E0"/>
        </w:tblPrEx>
        <w:trPr>
          <w:jc w:val="center"/>
        </w:trPr>
        <w:tc>
          <w:tcPr>
            <w:tcW w:w="4530" w:type="dxa"/>
            <w:tcBorders>
              <w:top w:val="single" w:sz="4" w:space="0" w:color="FFFFFF"/>
              <w:left w:val="single" w:sz="4" w:space="0" w:color="FFFFFF"/>
              <w:bottom w:val="single" w:sz="4" w:space="0" w:color="FFFFFF"/>
              <w:right w:val="single" w:sz="4" w:space="0" w:color="FFFFFF"/>
            </w:tcBorders>
            <w:vAlign w:val="center"/>
          </w:tcPr>
          <w:p w:rsidR="004D46C7" w:rsidRPr="007B0488" w:rsidP="004D46C7">
            <w:pPr>
              <w:spacing w:line="480" w:lineRule="auto"/>
              <w:jc w:val="center"/>
              <w:rPr>
                <w:rFonts w:ascii="DFKai-SB" w:eastAsia="DFKai-SB" w:hAnsi="DFKai-SB" w:hint="eastAsia"/>
                <w:b/>
                <w:kern w:val="0"/>
                <w:sz w:val="24"/>
                <w:szCs w:val="20"/>
              </w:rPr>
            </w:pPr>
            <w:r>
              <w:rPr>
                <w:rFonts w:ascii="DFKai-SB" w:eastAsia="DFKai-SB" w:hAnsi="DFKai-SB"/>
                <w:b/>
                <w:kern w:val="0"/>
                <w:sz w:val="24"/>
                <w:szCs w:val="20"/>
              </w:rPr>
              <w:pict>
                <v:shape id="_x0000_i1034" type="#_x0000_t75" style="width:215.65pt;height:146.65pt" stroked="f">
                  <v:imagedata r:id="rId94" o:title="卢浮公馆样板间1"/>
                </v:shape>
              </w:pict>
            </w:r>
          </w:p>
        </w:tc>
        <w:tc>
          <w:tcPr>
            <w:tcW w:w="4365" w:type="dxa"/>
            <w:tcBorders>
              <w:top w:val="single" w:sz="4" w:space="0" w:color="FFFFFF"/>
              <w:left w:val="single" w:sz="4" w:space="0" w:color="FFFFFF"/>
              <w:bottom w:val="single" w:sz="4" w:space="0" w:color="FFFFFF"/>
              <w:right w:val="single" w:sz="4" w:space="0" w:color="FFFFFF"/>
            </w:tcBorders>
            <w:vAlign w:val="center"/>
          </w:tcPr>
          <w:p w:rsidR="004D46C7" w:rsidRPr="007B0488" w:rsidP="004D46C7">
            <w:pPr>
              <w:spacing w:line="480" w:lineRule="auto"/>
              <w:jc w:val="center"/>
              <w:rPr>
                <w:rFonts w:ascii="DFKai-SB" w:eastAsia="DFKai-SB" w:hAnsi="DFKai-SB" w:hint="eastAsia"/>
                <w:b/>
                <w:kern w:val="0"/>
                <w:sz w:val="24"/>
                <w:szCs w:val="20"/>
              </w:rPr>
            </w:pPr>
            <w:r>
              <w:rPr>
                <w:rFonts w:ascii="DFKai-SB" w:eastAsia="DFKai-SB" w:hAnsi="DFKai-SB"/>
                <w:b/>
                <w:kern w:val="0"/>
                <w:sz w:val="24"/>
                <w:szCs w:val="20"/>
              </w:rPr>
              <w:pict>
                <v:shape id="_x0000_i1035" type="#_x0000_t75" style="width:203.5pt;height:146.9pt" stroked="f">
                  <v:imagedata r:id="rId95" o:title="卢浮公馆 (12)"/>
                </v:shape>
              </w:pict>
            </w:r>
          </w:p>
        </w:tc>
      </w:tr>
      <w:tr w:rsidTr="004D46C7">
        <w:tblPrEx>
          <w:tblW w:w="8895" w:type="dxa"/>
          <w:jc w:val="center"/>
          <w:tblLook w:val="01E0"/>
        </w:tblPrEx>
        <w:trPr>
          <w:jc w:val="center"/>
        </w:trPr>
        <w:tc>
          <w:tcPr>
            <w:tcW w:w="4530" w:type="dxa"/>
            <w:tcBorders>
              <w:top w:val="single" w:sz="4" w:space="0" w:color="FFFFFF"/>
              <w:left w:val="single" w:sz="4" w:space="0" w:color="FFFFFF"/>
              <w:bottom w:val="single" w:sz="4" w:space="0" w:color="FFFFFF"/>
              <w:right w:val="single" w:sz="4" w:space="0" w:color="FFFFFF"/>
            </w:tcBorders>
            <w:vAlign w:val="center"/>
          </w:tcPr>
          <w:p w:rsidR="004D46C7" w:rsidRPr="007B0488" w:rsidP="004D46C7">
            <w:pPr>
              <w:spacing w:line="480" w:lineRule="auto"/>
              <w:jc w:val="center"/>
              <w:rPr>
                <w:rFonts w:ascii="DFKai-SB" w:eastAsia="DFKai-SB" w:hAnsi="DFKai-SB" w:hint="eastAsia"/>
                <w:b/>
                <w:kern w:val="0"/>
                <w:sz w:val="24"/>
                <w:szCs w:val="20"/>
              </w:rPr>
            </w:pPr>
            <w:r w:rsidRPr="007B0488">
              <w:rPr>
                <w:rFonts w:ascii="DFKai-SB" w:eastAsia="DFKai-SB" w:hAnsi="DFKai-SB" w:hint="eastAsia"/>
                <w:b/>
                <w:kern w:val="0"/>
                <w:sz w:val="24"/>
                <w:szCs w:val="20"/>
              </w:rPr>
              <w:t>卢浮公馆样板房客厅一角</w:t>
            </w:r>
          </w:p>
        </w:tc>
        <w:tc>
          <w:tcPr>
            <w:tcW w:w="4365" w:type="dxa"/>
            <w:tcBorders>
              <w:top w:val="single" w:sz="4" w:space="0" w:color="FFFFFF"/>
              <w:left w:val="single" w:sz="4" w:space="0" w:color="FFFFFF"/>
              <w:bottom w:val="single" w:sz="4" w:space="0" w:color="FFFFFF"/>
              <w:right w:val="single" w:sz="4" w:space="0" w:color="FFFFFF"/>
            </w:tcBorders>
            <w:vAlign w:val="center"/>
          </w:tcPr>
          <w:p w:rsidR="004D46C7" w:rsidRPr="007B0488" w:rsidP="004D46C7">
            <w:pPr>
              <w:spacing w:line="480" w:lineRule="auto"/>
              <w:jc w:val="center"/>
              <w:rPr>
                <w:rFonts w:ascii="DFKai-SB" w:eastAsia="DFKai-SB" w:hAnsi="DFKai-SB" w:hint="eastAsia"/>
                <w:b/>
                <w:kern w:val="0"/>
                <w:sz w:val="24"/>
                <w:szCs w:val="20"/>
              </w:rPr>
            </w:pPr>
            <w:r w:rsidRPr="007B0488">
              <w:rPr>
                <w:rFonts w:ascii="DFKai-SB" w:eastAsia="DFKai-SB" w:hAnsi="DFKai-SB" w:hint="eastAsia"/>
                <w:b/>
                <w:kern w:val="0"/>
                <w:sz w:val="24"/>
                <w:szCs w:val="20"/>
              </w:rPr>
              <w:t>卢浮公馆3D放映室画面截屏</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6" w:history="1">
        <w:r>
          <w:rPr>
            <w:rFonts w:ascii="SimSun" w:eastAsia="SimSun" w:hAnsi="SimSun" w:cs="SimSun"/>
            <w:b/>
            <w:bCs/>
            <w:color w:val="0000EE"/>
            <w:kern w:val="0"/>
            <w:sz w:val="30"/>
            <w:szCs w:val="30"/>
            <w:u w:val="single" w:color="0000EE"/>
          </w:rPr>
          <w:t>https://d.book118.com/476003212042010103</w:t>
        </w:r>
      </w:hyperlink>
    </w:p>
    <w:p/>
    <w:sectPr w:rsidSect="004D46C7">
      <w:headerReference w:type="default" r:id="rId97"/>
      <w:footerReference w:type="even" r:id="rId98"/>
      <w:footerReference w:type="default" r:id="rId99"/>
      <w:footerReference w:type="first" r:id="rId100"/>
      <w:type w:val="nextPage"/>
      <w:pgSz w:w="11906" w:h="16838" w:code="9"/>
      <w:pgMar w:top="1814" w:right="1418" w:bottom="1701" w:left="1814" w:header="1134" w:footer="1247" w:gutter="0"/>
      <w:pgNumType w:fmt="chineseLegalSimplified" w:start="2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贰</w:t>
    </w:r>
    <w:r>
      <w:rPr>
        <w:rStyle w:val="PageNumber"/>
      </w:rPr>
      <w:fldChar w:fldCharType="end"/>
    </w:r>
  </w:p>
  <w:p w:rsidR="004D46C7" w:rsidP="004D46C7">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w:t>
    </w:r>
    <w:r>
      <w:rPr>
        <w:rStyle w:val="PageNumber"/>
      </w:rPr>
      <w:fldChar w:fldCharType="end"/>
    </w:r>
  </w:p>
  <w:p w:rsidR="004D46C7" w:rsidP="004D46C7">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陆</w:t>
    </w:r>
    <w:r>
      <w:rPr>
        <w:rStyle w:val="PageNumber"/>
      </w:rPr>
      <w:fldChar w:fldCharType="end"/>
    </w:r>
  </w:p>
  <w:p w:rsidR="004D46C7" w:rsidP="004D46C7">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捌</w:t>
    </w:r>
    <w:r>
      <w:rPr>
        <w:rStyle w:val="PageNumber"/>
      </w:rPr>
      <w:fldChar w:fldCharType="end"/>
    </w:r>
  </w:p>
  <w:p w:rsidR="004D46C7" w:rsidP="004D46C7">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壹拾</w:t>
    </w:r>
    <w:r>
      <w:rPr>
        <w:rStyle w:val="PageNumber"/>
      </w:rPr>
      <w:fldChar w:fldCharType="end"/>
    </w:r>
  </w:p>
  <w:p w:rsidR="004D46C7" w:rsidP="004D46C7">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壹拾贰</w:t>
    </w:r>
    <w:r>
      <w:rPr>
        <w:rStyle w:val="PageNumber"/>
      </w:rPr>
      <w:fldChar w:fldCharType="end"/>
    </w:r>
  </w:p>
  <w:p w:rsidR="004D46C7" w:rsidP="004D46C7">
    <w:pPr>
      <w:pStyle w:val="Footer"/>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壹拾肆</w:t>
    </w:r>
    <w:r>
      <w:rPr>
        <w:rStyle w:val="PageNumber"/>
      </w:rPr>
      <w:fldChar w:fldCharType="end"/>
    </w:r>
  </w:p>
  <w:p w:rsidR="004D46C7" w:rsidP="004D46C7">
    <w:pPr>
      <w:pStyle w:val="Footer"/>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壹拾陆</w:t>
    </w:r>
    <w:r>
      <w:rPr>
        <w:rStyle w:val="PageNumber"/>
      </w:rPr>
      <w:fldChar w:fldCharType="end"/>
    </w:r>
  </w:p>
  <w:p w:rsidR="004D46C7" w:rsidP="004D46C7">
    <w:pPr>
      <w:pStyle w:val="Footer"/>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壹拾捌</w:t>
    </w:r>
    <w:r>
      <w:rPr>
        <w:rStyle w:val="PageNumber"/>
      </w:rPr>
      <w:fldChar w:fldCharType="end"/>
    </w:r>
  </w:p>
  <w:p w:rsidR="004D46C7" w:rsidP="004D46C7">
    <w:pPr>
      <w:pStyle w:val="Footer"/>
      <w:ind w:right="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肆拾陆</w:t>
    </w:r>
    <w:r>
      <w:rPr>
        <w:rStyle w:val="PageNumber"/>
      </w:rPr>
      <w:fldChar w:fldCharType="end"/>
    </w:r>
  </w:p>
  <w:p w:rsidR="004D46C7" w:rsidP="004D46C7">
    <w:pPr>
      <w:pStyle w:val="Footer"/>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rsidP="004D46C7">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rPr>
        <w:rStyle w:val="PageNumber"/>
      </w:rPr>
      <w:fldChar w:fldCharType="begin"/>
    </w:r>
    <w:r>
      <w:rPr>
        <w:rStyle w:val="PageNumber"/>
      </w:rPr>
      <w:instrText xml:space="preserve">PAGE  </w:instrText>
    </w:r>
    <w:r>
      <w:rPr>
        <w:rStyle w:val="PageNumber"/>
      </w:rPr>
      <w:fldChar w:fldCharType="separate"/>
    </w:r>
    <w:r>
      <w:rPr>
        <w:rStyle w:val="PageNumber"/>
      </w:rPr>
      <w:t>贰拾</w:t>
    </w:r>
    <w:r>
      <w:rPr>
        <w:rStyle w:val="PageNumber"/>
      </w:rPr>
      <w:fldChar w:fldCharType="end"/>
    </w:r>
  </w:p>
  <w:p w:rsidR="004D46C7" w:rsidP="004D46C7">
    <w:pPr>
      <w:pStyle w:val="Footer"/>
      <w:ind w:right="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6C7">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977F1"/>
    <w:multiLevelType w:val="hybridMultilevel"/>
    <w:tmpl w:val="4524E83C"/>
    <w:lvl w:ilvl="0">
      <w:start w:val="1"/>
      <w:numFmt w:val="decimal"/>
      <w:lvlText w:val="%1、"/>
      <w:lvlJc w:val="left"/>
      <w:pPr>
        <w:tabs>
          <w:tab w:val="num" w:pos="1191"/>
        </w:tabs>
        <w:ind w:left="1191" w:hanging="720"/>
      </w:pPr>
      <w:rPr>
        <w:rFonts w:hint="default"/>
      </w:rPr>
    </w:lvl>
    <w:lvl w:ilvl="1" w:tentative="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1">
    <w:nsid w:val="6AE76F7A"/>
    <w:multiLevelType w:val="hybridMultilevel"/>
    <w:tmpl w:val="84342664"/>
    <w:lvl w:ilvl="0">
      <w:start w:val="1"/>
      <w:numFmt w:val="decimal"/>
      <w:lvlText w:val="%1."/>
      <w:lvlJc w:val="left"/>
      <w:pPr>
        <w:tabs>
          <w:tab w:val="num" w:pos="795"/>
        </w:tabs>
        <w:ind w:left="795" w:hanging="360"/>
      </w:pPr>
      <w:rPr>
        <w:rFonts w:hint="default"/>
      </w:rPr>
    </w:lvl>
    <w:lvl w:ilvl="1">
      <w:start w:val="1"/>
      <w:numFmt w:val="decimal"/>
      <w:lvlText w:val="%2、"/>
      <w:lvlJc w:val="left"/>
      <w:pPr>
        <w:tabs>
          <w:tab w:val="num" w:pos="1575"/>
        </w:tabs>
        <w:ind w:left="1575" w:hanging="720"/>
      </w:pPr>
      <w:rPr>
        <w:rFonts w:hint="eastAsia"/>
      </w:r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evenAndOddHeader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7A74"/>
    <w:rsid w:val="00431D63"/>
    <w:rsid w:val="004D46C7"/>
    <w:rsid w:val="00642757"/>
    <w:rsid w:val="007B0488"/>
    <w:rsid w:val="008662D8"/>
    <w:rsid w:val="008918C2"/>
    <w:rsid w:val="00B155D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818"/>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27A7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027A74"/>
    <w:pPr>
      <w:tabs>
        <w:tab w:val="center" w:pos="4153"/>
        <w:tab w:val="right" w:pos="8306"/>
      </w:tabs>
      <w:snapToGrid w:val="0"/>
      <w:jc w:val="left"/>
    </w:pPr>
    <w:rPr>
      <w:sz w:val="18"/>
      <w:szCs w:val="18"/>
    </w:rPr>
  </w:style>
  <w:style w:type="table" w:styleId="TableGrid">
    <w:name w:val="Table Grid"/>
    <w:basedOn w:val="TableNormal"/>
    <w:rsid w:val="0063175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93CF9"/>
  </w:style>
  <w:style w:type="paragraph" w:styleId="Date">
    <w:name w:val="Date"/>
    <w:basedOn w:val="Normal"/>
    <w:next w:val="Normal"/>
    <w:rsid w:val="002958EA"/>
    <w:pPr>
      <w:ind w:left="100" w:leftChars="2500"/>
    </w:pPr>
  </w:style>
  <w:style w:type="character" w:styleId="Hyperlink">
    <w:name w:val="Hyperlink"/>
    <w:basedOn w:val="DefaultParagraphFont"/>
    <w:rsid w:val="00CE2F8B"/>
    <w:rPr>
      <w:color w:val="666666"/>
      <w:u w:val="none"/>
      <w:effect w:val="none"/>
    </w:rPr>
  </w:style>
  <w:style w:type="character" w:customStyle="1" w:styleId="zib1">
    <w:name w:val="zib1"/>
    <w:basedOn w:val="DefaultParagraphFont"/>
    <w:rsid w:val="00CA6DA3"/>
    <w:rPr>
      <w:color w:val="333333"/>
      <w:u w:val="single"/>
    </w:rPr>
  </w:style>
  <w:style w:type="character" w:customStyle="1" w:styleId="c48">
    <w:name w:val="c48"/>
    <w:basedOn w:val="DefaultParagraphFont"/>
    <w:rsid w:val="00955AD5"/>
  </w:style>
  <w:style w:type="character" w:styleId="Strong">
    <w:name w:val="Strong"/>
    <w:basedOn w:val="DefaultParagraphFont"/>
    <w:qFormat/>
    <w:rsid w:val="00292F9F"/>
    <w:rPr>
      <w:b/>
      <w:bCs/>
    </w:rPr>
  </w:style>
  <w:style w:type="character" w:customStyle="1" w:styleId="fontbt1">
    <w:name w:val="fontbt1"/>
    <w:basedOn w:val="DefaultParagraphFont"/>
    <w:rsid w:val="00A54774"/>
    <w:rPr>
      <w:b/>
      <w:bCs/>
      <w:color w:val="000066"/>
      <w:sz w:val="36"/>
      <w:szCs w:val="36"/>
      <w:u w:val="none"/>
      <w:effect w:val="none"/>
    </w:rPr>
  </w:style>
  <w:style w:type="character" w:styleId="Emphasis">
    <w:name w:val="Emphasis"/>
    <w:basedOn w:val="DefaultParagraphFont"/>
    <w:qFormat/>
    <w:rsid w:val="00DF2FF1"/>
    <w:rPr>
      <w:color w:val="CC0000"/>
    </w:rPr>
  </w:style>
  <w:style w:type="paragraph" w:customStyle="1" w:styleId="dpostcontent">
    <w:name w:val="d_post_content"/>
    <w:basedOn w:val="Normal"/>
    <w:rsid w:val="00D468D6"/>
    <w:pPr>
      <w:widowControl/>
      <w:wordWrap w:val="0"/>
      <w:spacing w:before="100" w:beforeAutospacing="1" w:after="100" w:afterAutospacing="1" w:line="360" w:lineRule="atLeast"/>
      <w:jc w:val="left"/>
    </w:pPr>
    <w:rPr>
      <w:rFonts w:ascii="宋体" w:hAnsi="宋体" w:cs="宋体"/>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00" Type="http://schemas.openxmlformats.org/officeDocument/2006/relationships/footer" Target="footer60.xml" /><Relationship Id="rId101" Type="http://schemas.openxmlformats.org/officeDocument/2006/relationships/theme" Target="theme/theme1.xml" /><Relationship Id="rId102" Type="http://schemas.openxmlformats.org/officeDocument/2006/relationships/numbering" Target="numbering.xml" /><Relationship Id="rId103" Type="http://schemas.openxmlformats.org/officeDocument/2006/relationships/styles" Target="styles.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image" Target="media/image1.jpeg" /><Relationship Id="rId25" Type="http://schemas.openxmlformats.org/officeDocument/2006/relationships/header" Target="header6.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image" Target="media/image2.jpeg" /><Relationship Id="rId3" Type="http://schemas.openxmlformats.org/officeDocument/2006/relationships/fontTable" Target="fontTable.xml" /><Relationship Id="rId30" Type="http://schemas.openxmlformats.org/officeDocument/2006/relationships/image" Target="http://www.china-up.com:8080/project/161d/04.jpg" TargetMode="External" /><Relationship Id="rId31" Type="http://schemas.openxmlformats.org/officeDocument/2006/relationships/header" Target="header7.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footer" Target="footer21.xml" /><Relationship Id="rId35" Type="http://schemas.openxmlformats.org/officeDocument/2006/relationships/header" Target="header8.xml" /><Relationship Id="rId36" Type="http://schemas.openxmlformats.org/officeDocument/2006/relationships/footer" Target="footer22.xml" /><Relationship Id="rId37" Type="http://schemas.openxmlformats.org/officeDocument/2006/relationships/footer" Target="footer23.xml" /><Relationship Id="rId38" Type="http://schemas.openxmlformats.org/officeDocument/2006/relationships/footer" Target="footer24.xml" /><Relationship Id="rId39" Type="http://schemas.openxmlformats.org/officeDocument/2006/relationships/image" Target="media/image3.emf" /><Relationship Id="rId4" Type="http://schemas.openxmlformats.org/officeDocument/2006/relationships/header" Target="header1.xml" /><Relationship Id="rId40" Type="http://schemas.openxmlformats.org/officeDocument/2006/relationships/oleObject" Target="embeddings/oleObject1.bin" /><Relationship Id="rId41" Type="http://schemas.openxmlformats.org/officeDocument/2006/relationships/header" Target="header9.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footer" Target="footer27.xml" /><Relationship Id="rId45" Type="http://schemas.openxmlformats.org/officeDocument/2006/relationships/header" Target="header10.xml" /><Relationship Id="rId46" Type="http://schemas.openxmlformats.org/officeDocument/2006/relationships/footer" Target="footer28.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1.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footer" Target="footer33.xml" /><Relationship Id="rId53" Type="http://schemas.openxmlformats.org/officeDocument/2006/relationships/header" Target="header12.xml" /><Relationship Id="rId54" Type="http://schemas.openxmlformats.org/officeDocument/2006/relationships/footer" Target="footer34.xml" /><Relationship Id="rId55" Type="http://schemas.openxmlformats.org/officeDocument/2006/relationships/footer" Target="footer35.xml" /><Relationship Id="rId56" Type="http://schemas.openxmlformats.org/officeDocument/2006/relationships/footer" Target="footer36.xml" /><Relationship Id="rId57" Type="http://schemas.openxmlformats.org/officeDocument/2006/relationships/image" Target="media/image4.png" /><Relationship Id="rId58" Type="http://schemas.openxmlformats.org/officeDocument/2006/relationships/image" Target="http://img0.bjsoyo.com/images/gn/gqn/qh/dt/2012/03/27/E3F5BD8CA0D98FACFD38A11AC41BE327.gif" TargetMode="External" /><Relationship Id="rId59" Type="http://schemas.openxmlformats.org/officeDocument/2006/relationships/header" Target="header13.xml" /><Relationship Id="rId6" Type="http://schemas.openxmlformats.org/officeDocument/2006/relationships/footer" Target="footer2.xml" /><Relationship Id="rId60" Type="http://schemas.openxmlformats.org/officeDocument/2006/relationships/footer" Target="footer37.xml" /><Relationship Id="rId61" Type="http://schemas.openxmlformats.org/officeDocument/2006/relationships/footer" Target="footer38.xml" /><Relationship Id="rId62" Type="http://schemas.openxmlformats.org/officeDocument/2006/relationships/footer" Target="footer39.xml" /><Relationship Id="rId63" Type="http://schemas.openxmlformats.org/officeDocument/2006/relationships/header" Target="header14.xml" /><Relationship Id="rId64" Type="http://schemas.openxmlformats.org/officeDocument/2006/relationships/footer" Target="footer40.xml" /><Relationship Id="rId65" Type="http://schemas.openxmlformats.org/officeDocument/2006/relationships/footer" Target="footer41.xml" /><Relationship Id="rId66" Type="http://schemas.openxmlformats.org/officeDocument/2006/relationships/footer" Target="footer42.xml" /><Relationship Id="rId67" Type="http://schemas.openxmlformats.org/officeDocument/2006/relationships/image" Target="media/image5.jpeg" /><Relationship Id="rId68" Type="http://schemas.openxmlformats.org/officeDocument/2006/relationships/image" Target="../../AppData/Roaming/Tencent/Users/280395947/QQ/WinTemp/RichOle/3U%60Z%25Y)SYYH$R%7bW9JBI%7dNR3.jpg" TargetMode="External" /><Relationship Id="rId69" Type="http://schemas.openxmlformats.org/officeDocument/2006/relationships/image" Target="media/image6.jpeg" /><Relationship Id="rId7" Type="http://schemas.openxmlformats.org/officeDocument/2006/relationships/footer" Target="footer3.xml" /><Relationship Id="rId70" Type="http://schemas.openxmlformats.org/officeDocument/2006/relationships/image" Target="../../AppData/Roaming/Tencent/Users/280395947/QQ/WinTemp/RichOle/L$ZLSIL)CIM$YJLG%60S%7bLX)4.jpg" TargetMode="External" /><Relationship Id="rId71" Type="http://schemas.openxmlformats.org/officeDocument/2006/relationships/header" Target="header15.xml" /><Relationship Id="rId72" Type="http://schemas.openxmlformats.org/officeDocument/2006/relationships/footer" Target="footer43.xml" /><Relationship Id="rId73" Type="http://schemas.openxmlformats.org/officeDocument/2006/relationships/footer" Target="footer44.xml" /><Relationship Id="rId74" Type="http://schemas.openxmlformats.org/officeDocument/2006/relationships/footer" Target="footer45.xml" /><Relationship Id="rId75" Type="http://schemas.openxmlformats.org/officeDocument/2006/relationships/header" Target="header16.xml" /><Relationship Id="rId76" Type="http://schemas.openxmlformats.org/officeDocument/2006/relationships/footer" Target="footer46.xml" /><Relationship Id="rId77" Type="http://schemas.openxmlformats.org/officeDocument/2006/relationships/footer" Target="footer47.xml" /><Relationship Id="rId78" Type="http://schemas.openxmlformats.org/officeDocument/2006/relationships/footer" Target="footer48.xml" /><Relationship Id="rId79" Type="http://schemas.openxmlformats.org/officeDocument/2006/relationships/image" Target="media/image7.jpeg" /><Relationship Id="rId8" Type="http://schemas.openxmlformats.org/officeDocument/2006/relationships/header" Target="header2.xml" /><Relationship Id="rId80" Type="http://schemas.openxmlformats.org/officeDocument/2006/relationships/header" Target="header17.xml" /><Relationship Id="rId81" Type="http://schemas.openxmlformats.org/officeDocument/2006/relationships/footer" Target="footer49.xml" /><Relationship Id="rId82" Type="http://schemas.openxmlformats.org/officeDocument/2006/relationships/footer" Target="footer50.xml" /><Relationship Id="rId83" Type="http://schemas.openxmlformats.org/officeDocument/2006/relationships/footer" Target="footer51.xml" /><Relationship Id="rId84" Type="http://schemas.openxmlformats.org/officeDocument/2006/relationships/image" Target="media/image8.jpeg" /><Relationship Id="rId85" Type="http://schemas.openxmlformats.org/officeDocument/2006/relationships/header" Target="header18.xml" /><Relationship Id="rId86" Type="http://schemas.openxmlformats.org/officeDocument/2006/relationships/footer" Target="footer52.xml" /><Relationship Id="rId87" Type="http://schemas.openxmlformats.org/officeDocument/2006/relationships/footer" Target="footer53.xml" /><Relationship Id="rId88" Type="http://schemas.openxmlformats.org/officeDocument/2006/relationships/footer" Target="footer54.xml" /><Relationship Id="rId89" Type="http://schemas.openxmlformats.org/officeDocument/2006/relationships/header" Target="header19.xml" /><Relationship Id="rId9" Type="http://schemas.openxmlformats.org/officeDocument/2006/relationships/footer" Target="footer4.xml" /><Relationship Id="rId90" Type="http://schemas.openxmlformats.org/officeDocument/2006/relationships/footer" Target="footer55.xml" /><Relationship Id="rId91" Type="http://schemas.openxmlformats.org/officeDocument/2006/relationships/footer" Target="footer56.xml" /><Relationship Id="rId92" Type="http://schemas.openxmlformats.org/officeDocument/2006/relationships/footer" Target="footer57.xml" /><Relationship Id="rId93" Type="http://schemas.openxmlformats.org/officeDocument/2006/relationships/image" Target="media/image9.jpeg" /><Relationship Id="rId94" Type="http://schemas.openxmlformats.org/officeDocument/2006/relationships/image" Target="media/image10.jpeg" /><Relationship Id="rId95" Type="http://schemas.openxmlformats.org/officeDocument/2006/relationships/image" Target="media/image11.jpeg" /><Relationship Id="rId96" Type="http://schemas.openxmlformats.org/officeDocument/2006/relationships/hyperlink" Target="https://d.book118.com/476003212042010103" TargetMode="External" /><Relationship Id="rId97" Type="http://schemas.openxmlformats.org/officeDocument/2006/relationships/header" Target="header20.xml" /><Relationship Id="rId98" Type="http://schemas.openxmlformats.org/officeDocument/2006/relationships/footer" Target="footer58.xml" /><Relationship Id="rId99" Type="http://schemas.openxmlformats.org/officeDocument/2006/relationships/footer" Target="footer5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3687</Words>
  <Characters>21018</Characters>
  <Application>Microsoft Office Word</Application>
  <DocSecurity>0</DocSecurity>
  <Lines>175</Lines>
  <Paragraphs>49</Paragraphs>
  <ScaleCrop>false</ScaleCrop>
  <Company/>
  <LinksUpToDate>false</LinksUpToDate>
  <CharactersWithSpaces>24656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二OO八年一月十九日</dc:title>
  <dc:creator>hoolan</dc:creator>
  <cp:lastModifiedBy>JonMMx 2000</cp:lastModifiedBy>
  <cp:revision>3</cp:revision>
  <cp:lastPrinted>2013-08-31T10:28:00Z</cp:lastPrinted>
  <dcterms:created xsi:type="dcterms:W3CDTF">2021-11-07T21:04:00Z</dcterms:created>
  <dcterms:modified xsi:type="dcterms:W3CDTF">2021-11-30T01:31:00Z</dcterms:modified>
</cp:coreProperties>
</file>