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2018-2023年新疆石河子职业技术学院高职单招（数学／语文／英语）历年常考试题库含答案解析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关于《陌上桑》一诗，下列表述错误的是（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A.是一首汉乐府民歌。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B.是一首叙事诗。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C.诗中主人公是罗敷。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D.是一首表达青年男女爱情的诗歌。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下列句子中，划线部分翻译错误的是（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429360" cy="217192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360" cy="217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《我爱这土地》中诗人着力刻画的一个象征形象是（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A.土地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B.暴风雨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D.温柔的黎明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《箱子岩》一文叙述的是（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A.军旅生活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B.边地湘西生活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C.都市生活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D.市井生活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被誉为“世界短篇小说之王”的法国说家是（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“多行不义必自毙”出自（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《往事（一之十四）》一文创作于（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A.1923年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B.1922年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C.1920年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D.1925年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《发现》一诗被收录于闻一多的诗集（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《杜陵叟》是一首（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D.古题乐府诗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下列诗歌中，体裁不属于乐府诗的一项是（）。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下列选项中，加点的字“是”表示判断的一项是（）。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A.当是时，弃城而图存者，不可一二数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B.是以泰山不让土壤，故能成其大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D.夫如是，故远人不服，则修文德以来之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在《寡人之于国也》中，孟子认为达到“数口之家，可以无饥”这一目标的主要措施是（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A.五亩之宅，树之以桑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B.鸡豚狗彘之畜，无失其时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C.百亩之田，勿夺其时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D.谨庠序之教，申之以孝悌之义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https://d.book118.com/476142023231010052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476142023231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