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11658600</wp:posOffset>
            </wp:positionH>
            <wp:positionV relativeFrom="topMargin">
              <wp:posOffset>10833100</wp:posOffset>
            </wp:positionV>
            <wp:extent cx="457200" cy="469900"/>
            <wp:wrapNone/>
            <wp:docPr id="1000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2023~2024 </w:t>
      </w:r>
      <w:r>
        <w:rPr>
          <w:rFonts w:ascii="宋体" w:eastAsia="宋体" w:hAnsi="宋体" w:cs="宋体"/>
          <w:b/>
          <w:color w:val="auto"/>
          <w:sz w:val="32"/>
        </w:rPr>
        <w:t>学年度第一学期期末质量检测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二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生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 </w:t>
      </w:r>
      <w:r>
        <w:rPr>
          <w:rFonts w:ascii="宋体" w:eastAsia="宋体" w:hAnsi="宋体" w:cs="宋体"/>
          <w:b/>
          <w:color w:val="auto"/>
          <w:sz w:val="32"/>
        </w:rPr>
        <w:t>物</w:t>
      </w:r>
    </w:p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2024.1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本试卷分第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卷（选择题）和第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卷（非选择题）两部分，共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90 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答卷前，考生务必用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2B </w:t>
      </w:r>
      <w:r>
        <w:rPr>
          <w:rFonts w:ascii="宋体" w:eastAsia="宋体" w:hAnsi="宋体" w:cs="宋体"/>
          <w:b/>
          <w:color w:val="auto"/>
          <w:sz w:val="24"/>
        </w:rPr>
        <w:t>铅笔和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0.5 </w:t>
      </w:r>
      <w:r>
        <w:rPr>
          <w:rFonts w:ascii="宋体" w:eastAsia="宋体" w:hAnsi="宋体" w:cs="宋体"/>
          <w:b/>
          <w:color w:val="auto"/>
          <w:sz w:val="24"/>
        </w:rPr>
        <w:t>毫米黑色签字笔（中性笔）将姓名、准考证号、考试科目、试卷类型填涂在答题卡规定的位置上。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卷每小题选出答案后，用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铅笔把答题卡上对应的答案标号涂黑；如需改动，用橡皮擦干净后，再选涂其他答案标号。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卷必须用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0.5 </w:t>
      </w:r>
      <w:r>
        <w:rPr>
          <w:rFonts w:ascii="宋体" w:eastAsia="宋体" w:hAnsi="宋体" w:cs="宋体"/>
          <w:b/>
          <w:color w:val="auto"/>
          <w:sz w:val="24"/>
        </w:rPr>
        <w:t>毫米黑色签字笔（中性笔）作答，答案写在答题卡的相应位置上。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Ⅰ </w:t>
      </w:r>
      <w:r>
        <w:rPr>
          <w:rFonts w:ascii="宋体" w:eastAsia="宋体" w:hAnsi="宋体" w:cs="宋体"/>
          <w:b/>
          <w:color w:val="auto"/>
          <w:sz w:val="24"/>
        </w:rPr>
        <w:t>卷（共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45 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15 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2 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30 </w:t>
      </w:r>
      <w:r>
        <w:rPr>
          <w:rFonts w:ascii="宋体" w:eastAsia="宋体" w:hAnsi="宋体" w:cs="宋体"/>
          <w:b/>
          <w:color w:val="auto"/>
          <w:sz w:val="24"/>
        </w:rPr>
        <w:t>分。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每小题给出的四个选项中，只有一个选项是最符合题目要求的。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当你走在放学的路上突然遇到一只凶猛狂躁的大狗，会感到毛骨悚然，心跳加快，甚至打寒颤、出冷汗，吓得脸色苍白。下列有关说法不正确的是（　　）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在上述过程中，自主神经系统中起主要作用的是交感神经，它使你的呼吸加快、心脏跳动加快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在上述过程中，消化系统的各项功能将下降，交感神经支配胰岛</w:t>
      </w:r>
      <w:r>
        <w:rPr>
          <w:rFonts w:ascii="Times New Roman" w:eastAsia="Times New Roman" w:hAnsi="Times New Roman" w:cs="Times New Roman"/>
          <w:color w:val="auto"/>
        </w:rPr>
        <w:t xml:space="preserve"> B </w:t>
      </w:r>
      <w:r>
        <w:rPr>
          <w:rFonts w:ascii="宋体" w:eastAsia="宋体" w:hAnsi="宋体" w:cs="宋体"/>
          <w:color w:val="auto"/>
        </w:rPr>
        <w:t>细胞分泌胰岛素增加，肝糖原转化为葡萄糖减少</w:t>
      </w:r>
    </w:p>
    <w:p>
      <w:pPr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打寒颤时产热增多；出冷汗是汗腺分泌加强，增加散热</w:t>
      </w:r>
    </w:p>
    <w:p>
      <w:pPr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这一幕的细节储存进了大脑皮层里的某个区域，成为经验的一部分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神经系统包括中枢神经系统和外周神经系统，中枢神经系统由脑和脊髓组成，脑分为大脑、小脑和脑干；外周神经系统包括脊神经、脑神经，自主神经系统包括交感神经和副交感神经。交感神经和副交感神经是调节人体内脏功能的神经组成，所以也叫内脏神经系统，因为其功能不完全受人类的意识支配，所以又叫自主神经系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、自主神经系统包括交感神经和副交感神经。交感神经兴奋时，可使呼吸加快、心脏跳动加快，支气管扩张，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、放学的路上突然遇到一只凶猛狂躁的大狗，会感到恐惧、紧张，此时交感神经会兴奋，副交感神经受抑制，交感神经兴奋时会抑制胃肠蠕动，使消化系统的各项功能下降，同时交感神经支配胰岛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细胞分泌胰高血糖素增加，促进肝糖原转化为葡萄糖，因此该过程中肝糖原转化为葡萄糖增加，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、打寒颤是骨骼肌战栗的结果，会使产热增多，汗腺分泌加强，可增加散热，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D、</w:t>
      </w:r>
      <w:r>
        <w:rPr>
          <w:rFonts w:ascii="宋体" w:eastAsia="宋体" w:hAnsi="宋体" w:cs="宋体"/>
          <w:color w:val="000000"/>
        </w:rPr>
        <w:t>此过程会产生惊恐的感觉，有大脑皮层的参与，因此这一幕的细节储存进了大脑皮层里的某个区域，成为经验的一部分，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神经系统、内分泌系统和免疫系统之间相互调节，形成一个复杂网络，各自以特有的方式在内环境稳态的维持中发挥作用，如图所示，则下列说法错误的是（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105150" cy="18669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神经系统、内分泌系统与免疫系统之间相互调节共同维持内环境稳态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神经调节、体液调节和免疫调节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0004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实现离不开信号分子与受体的直接接触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神经系统上存在甲状腺激素的受体，也存在肾上腺素的受体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免疫系统识别和清除机体突变的细胞体现了免疫自稳功能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神经系统、内分泌系统与免疫系统之间存在着相互调节，通过信息分子构成一个复杂网络。这三个系统各自以特有的方式在内环境稳态的维持中发挥作用，它们之间的任何一方都不能取代另外两方。神经调节、体液调节和免疫调节的实现都离不开信号分子（如神经递质、激素和细胞因子等），这些信号分子的作用方式，都是直接与受体接触。受体一般是蛋白质分子，不同受体的结构各异，因此信号分子与受体的结合具有特异性。通过这些信号分子，复杂的机体才能够实现统一协调，稳态才能够得以保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A、神经系统、内分泌系统与免疫系统三大系统相互配合，借助信息分子相互作用，构成了神经—体液—免疫调节网络，共同维持内环境的稳态，A正确；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B、神经调节中存在神经递质、体液调节主要依靠激素等化学物质调节、免疫调节中细胞因子属于信号分子，这些信号分子的作用需要与受体接触，进而引起细胞的生理活动变化，B正确；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7"/>
          <w:cols w:space="720"/>
          <w:titlePg w:val="0"/>
          <w:docGrid w:type="lines" w:linePitch="312"/>
        </w:sectPr>
      </w:pPr>
      <w:r>
        <w:rPr>
          <w:color w:val="000000"/>
        </w:rPr>
        <w:t>C、甲状腺激素可以提高神经系统兴奋性，并影响神经系统发育，肾上腺素可以提高机体应激能力，因此神经系统上既存在甲状腺激素的受体，也存在肾上腺素的受体，C正确；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D、机体免疫系统识别和清除突变的细胞，防止肿瘤发生，体现了免疫系统的免疫监视功能，D错误。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如图所示为人体细胞间信息交流的常见模型，</w:t>
      </w:r>
      <w:r>
        <w:rPr>
          <w:rFonts w:ascii="Times New Roman" w:eastAsia="Times New Roman" w:hAnsi="Times New Roman" w:cs="Times New Roman"/>
          <w:color w:val="000000"/>
        </w:rPr>
        <w:t xml:space="preserve">A 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 xml:space="preserve"> C </w:t>
      </w:r>
      <w:r>
        <w:rPr>
          <w:rFonts w:ascii="宋体" w:eastAsia="宋体" w:hAnsi="宋体" w:cs="宋体"/>
          <w:color w:val="000000"/>
        </w:rPr>
        <w:t>分别表示某种物质，</w:t>
      </w:r>
      <w:r>
        <w:rPr>
          <w:rFonts w:ascii="Times New Roman" w:eastAsia="Times New Roman" w:hAnsi="Times New Roman" w:cs="Times New Roman"/>
          <w:color w:val="000000"/>
        </w:rPr>
        <w:t xml:space="preserve">B 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的靶细胞。下列有关叙述正确的是（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676400" cy="9048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为胰高血糖素，则细胞</w:t>
      </w:r>
      <w:r>
        <w:rPr>
          <w:rFonts w:ascii="Times New Roman" w:eastAsia="Times New Roman" w:hAnsi="Times New Roman" w:cs="Times New Roman"/>
          <w:color w:val="000000"/>
        </w:rPr>
        <w:t xml:space="preserve"> B </w:t>
      </w:r>
      <w:r>
        <w:rPr>
          <w:rFonts w:ascii="宋体" w:eastAsia="宋体" w:hAnsi="宋体" w:cs="宋体"/>
          <w:color w:val="000000"/>
        </w:rPr>
        <w:t>可以是胰岛</w:t>
      </w:r>
      <w:r>
        <w:rPr>
          <w:rFonts w:ascii="Times New Roman" w:eastAsia="Times New Roman" w:hAnsi="Times New Roman" w:cs="Times New Roman"/>
          <w:color w:val="000000"/>
        </w:rPr>
        <w:t xml:space="preserve"> B </w:t>
      </w:r>
      <w:r>
        <w:rPr>
          <w:rFonts w:ascii="宋体" w:eastAsia="宋体" w:hAnsi="宋体" w:cs="宋体"/>
          <w:color w:val="000000"/>
        </w:rPr>
        <w:t>细胞或肝脏细胞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为神经递质，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为胰岛</w:t>
      </w:r>
      <w:r>
        <w:rPr>
          <w:rFonts w:ascii="Times New Roman" w:eastAsia="Times New Roman" w:hAnsi="Times New Roman" w:cs="Times New Roman"/>
          <w:color w:val="000000"/>
        </w:rPr>
        <w:t xml:space="preserve"> B</w:t>
      </w:r>
      <w:r>
        <w:rPr>
          <w:rFonts w:ascii="宋体" w:eastAsia="宋体" w:hAnsi="宋体" w:cs="宋体"/>
          <w:color w:val="000000"/>
        </w:rPr>
        <w:t>细胞，则</w:t>
      </w:r>
      <w:r>
        <w:rPr>
          <w:rFonts w:ascii="Times New Roman" w:eastAsia="Times New Roman" w:hAnsi="Times New Roman" w:cs="Times New Roman"/>
          <w:color w:val="000000"/>
        </w:rPr>
        <w:t xml:space="preserve"> C </w:t>
      </w:r>
      <w:r>
        <w:rPr>
          <w:rFonts w:ascii="宋体" w:eastAsia="宋体" w:hAnsi="宋体" w:cs="宋体"/>
          <w:color w:val="000000"/>
        </w:rPr>
        <w:t>分泌过程的调节方式为神经一体液调节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color w:val="000000"/>
        </w:rPr>
        <w:t xml:space="preserve">C </w:t>
      </w:r>
      <w:r>
        <w:rPr>
          <w:rFonts w:ascii="宋体" w:eastAsia="宋体" w:hAnsi="宋体" w:cs="宋体"/>
          <w:color w:val="000000"/>
        </w:rPr>
        <w:t>为肾上腺素，参与血糖平衡调节，则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可能是葡萄糖，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是效应器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若</w:t>
      </w:r>
      <w:r>
        <w:rPr>
          <w:rFonts w:ascii="Times New Roman" w:eastAsia="Times New Roman" w:hAnsi="Times New Roman" w:cs="Times New Roman"/>
          <w:color w:val="000000"/>
        </w:rPr>
        <w:t xml:space="preserve"> A </w:t>
      </w:r>
      <w:r>
        <w:rPr>
          <w:rFonts w:ascii="宋体" w:eastAsia="宋体" w:hAnsi="宋体" w:cs="宋体"/>
          <w:color w:val="000000"/>
        </w:rPr>
        <w:t>为细胞因子，则接受信息后细胞</w:t>
      </w:r>
      <w:r>
        <w:rPr>
          <w:rFonts w:ascii="Times New Roman" w:eastAsia="Times New Roman" w:hAnsi="Times New Roman" w:cs="Times New Roman"/>
          <w:color w:val="000000"/>
        </w:rPr>
        <w:t xml:space="preserve"> B</w:t>
      </w:r>
      <w:r>
        <w:rPr>
          <w:rFonts w:ascii="宋体" w:eastAsia="宋体" w:hAnsi="宋体" w:cs="宋体"/>
          <w:color w:val="000000"/>
        </w:rPr>
        <w:t>可分泌大量的抗体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1、寒冷环境中，下丘脑分泌促甲状腺激素释放激素增多，促甲状腺激素释放激素促进垂体分泌促甲状腺激素，促甲状腺激素促进甲状腺分泌甲状腺激素，甲状腺激素促进细胞代谢，抵抗寒冷。下丘脑调节垂体的分泌，垂体调节甲状腺的分泌，存在分级调节。甲状腺激素分泌过多，会抑制下丘脑和垂体的分泌活动，存在负反馈调节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2、水盐平衡调节：饮水不足，体内失水过多或吃的食物过咸，使细胞外液渗透压升高，刺激下丘脑渗透压感受器，使垂体释放抗利尿激素增多，促进肾小管、集合管重吸收水，使尿量减少，同时刺激大脑皮层产生渴感，主动饮水补充水分。而细胞外液渗透压下降时，对下丘脑渗透压感受器的刺激会减弱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、胰高血糖素能促进胰岛B细胞分泌胰岛素、促进肝糖原分解为葡萄糖，若A为胰高血糖素，则细胞B可以是胰岛B细胞或肝脏细胞，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为胰岛素，由于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（胰岛素）由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（胰岛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细胞）分泌，而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受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（神经递质）调节，所以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分泌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过程的调节方式应为神经调节，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为肾上腺素，参与血糖平衡调节，则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可能是神经递质，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是效应器，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D、B</w:t>
      </w:r>
      <w:r>
        <w:rPr>
          <w:rFonts w:ascii="宋体" w:eastAsia="宋体" w:hAnsi="宋体" w:cs="宋体"/>
          <w:color w:val="000000"/>
        </w:rPr>
        <w:t>细胞受到细胞因子的刺激，可增殖分化形成浆细胞，浆细胞产生大量的抗体，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结核分枝杆菌（</w:t>
      </w:r>
      <w:r>
        <w:rPr>
          <w:rFonts w:ascii="Times New Roman" w:eastAsia="Times New Roman" w:hAnsi="Times New Roman" w:cs="Times New Roman"/>
          <w:color w:val="000000"/>
        </w:rPr>
        <w:t>MTB</w:t>
      </w:r>
      <w:r>
        <w:rPr>
          <w:rFonts w:ascii="宋体" w:eastAsia="宋体" w:hAnsi="宋体" w:cs="宋体"/>
          <w:color w:val="000000"/>
        </w:rPr>
        <w:t>）为一种胞内感染菌，科研人员用适量</w:t>
      </w:r>
      <w:r>
        <w:rPr>
          <w:rFonts w:ascii="Times New Roman" w:eastAsia="Times New Roman" w:hAnsi="Times New Roman" w:cs="Times New Roman"/>
          <w:color w:val="000000"/>
        </w:rPr>
        <w:t xml:space="preserve"> MTB</w:t>
      </w:r>
      <w:r>
        <w:rPr>
          <w:rFonts w:ascii="宋体" w:eastAsia="宋体" w:hAnsi="宋体" w:cs="宋体"/>
          <w:color w:val="000000"/>
        </w:rPr>
        <w:t>感染小鼠，使小鼠产生对</w:t>
      </w:r>
      <w:r>
        <w:rPr>
          <w:rFonts w:ascii="Times New Roman" w:eastAsia="Times New Roman" w:hAnsi="Times New Roman" w:cs="Times New Roman"/>
          <w:color w:val="000000"/>
        </w:rPr>
        <w:t>MTB</w:t>
      </w:r>
      <w:r>
        <w:rPr>
          <w:rFonts w:ascii="宋体" w:eastAsia="宋体" w:hAnsi="宋体" w:cs="宋体"/>
          <w:color w:val="000000"/>
        </w:rPr>
        <w:t>的特异性免疫。采集这些小鼠（供体）的血清、吞噬细胞和淋巴细胞分别注射给未经免疫的正常小鼠（受体），再用</w:t>
      </w:r>
      <w:r>
        <w:rPr>
          <w:rFonts w:ascii="Times New Roman" w:eastAsia="Times New Roman" w:hAnsi="Times New Roman" w:cs="Times New Roman"/>
          <w:color w:val="000000"/>
        </w:rPr>
        <w:t xml:space="preserve"> MTB</w:t>
      </w:r>
      <w:r>
        <w:rPr>
          <w:rFonts w:ascii="宋体" w:eastAsia="宋体" w:hAnsi="宋体" w:cs="宋体"/>
          <w:color w:val="000000"/>
        </w:rPr>
        <w:t>感染这些受体小鼠，结果只有注射了淋巴细胞的受体小鼠能够抵御</w:t>
      </w:r>
      <w:r>
        <w:rPr>
          <w:rFonts w:ascii="Times New Roman" w:eastAsia="Times New Roman" w:hAnsi="Times New Roman" w:cs="Times New Roman"/>
          <w:color w:val="000000"/>
        </w:rPr>
        <w:t xml:space="preserve"> MTB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https://d.book118.com/477016053000006043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8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hyperlink" Target="https://d.book118.com/477016053000006043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3428832263569408</dc:description>
  <cp:lastModifiedBy>学科网试题生产平台</cp:lastModifiedBy>
  <cp:revision>8</cp:revision>
  <dcterms:created xsi:type="dcterms:W3CDTF">2024-02-13T15:00:02Z</dcterms:created>
  <dcterms:modified xsi:type="dcterms:W3CDTF">2024-02-13T15:00:02Z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