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8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动漫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周边项目创业计划书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65553005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一、动漫周边项目可行性研究报告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2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二)、动漫周边项目总平面设计要求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五、动漫周边项目建设背景及必要性</w:t>
          </w:r>
          <w:r>
            <w:rPr>
              <w:rFonts w:ascii="FangSong" w:eastAsia="FangSong" w:hAnsi="FangSong" w:cs="FangSong"/>
              <w:sz w:val="21"/>
              <w:szCs w:val="21"/>
            </w:rPr>
            <w:t>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)、动漫周边项目对环境的主要影响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5536570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二)、社会责任动漫周边项目与计划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72741025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旨在规范和指导动漫周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边项目</w:t>
      </w:r>
      <w:r>
        <w:rPr>
          <w:rFonts w:ascii="FangSong" w:eastAsia="FangSong" w:hAnsi="FangSong" w:cs="FangSong"/>
          <w:spacing w:val="-6"/>
          <w:sz w:val="28"/>
          <w:szCs w:val="28"/>
        </w:rPr>
        <w:t>的实施过程。本方案的开展将包括动漫周边项目的目的和背景、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需求分析、项目</w:t>
      </w:r>
      <w:r>
        <w:rPr>
          <w:rFonts w:ascii="FangSong" w:eastAsia="FangSong" w:hAnsi="FangSong" w:cs="FangSong"/>
          <w:spacing w:val="-5"/>
          <w:sz w:val="28"/>
          <w:szCs w:val="28"/>
        </w:rPr>
        <w:t>范</w:t>
      </w:r>
      <w:r>
        <w:rPr>
          <w:rFonts w:ascii="FangSong" w:eastAsia="FangSong" w:hAnsi="FangSong" w:cs="FangSong"/>
          <w:spacing w:val="-3"/>
          <w:sz w:val="28"/>
          <w:szCs w:val="28"/>
        </w:rPr>
        <w:t>围、时间计划、资源分配等重要内容。此方案的编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写</w:t>
      </w:r>
      <w:r>
        <w:rPr>
          <w:rFonts w:ascii="FangSong" w:eastAsia="FangSong" w:hAnsi="FangSong" w:cs="FangSong"/>
          <w:spacing w:val="-10"/>
          <w:sz w:val="28"/>
          <w:szCs w:val="28"/>
        </w:rPr>
        <w:t>旨</w:t>
      </w:r>
      <w:r>
        <w:rPr>
          <w:rFonts w:ascii="FangSong" w:eastAsia="FangSong" w:hAnsi="FangSong" w:cs="FangSong"/>
          <w:spacing w:val="-6"/>
          <w:sz w:val="28"/>
          <w:szCs w:val="28"/>
        </w:rPr>
        <w:t>在促进知识和经验的交流，为相关人员提供一个共同认知的平台。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一、动漫周边项目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在动</w:t>
      </w:r>
      <w:r>
        <w:rPr>
          <w:rFonts w:ascii="FangSong" w:eastAsia="FangSong" w:hAnsi="FangSong" w:cs="FangSong"/>
          <w:spacing w:val="-15"/>
          <w:sz w:val="28"/>
          <w:szCs w:val="28"/>
        </w:rPr>
        <w:t>漫</w:t>
      </w:r>
      <w:r>
        <w:rPr>
          <w:rFonts w:ascii="FangSong" w:eastAsia="FangSong" w:hAnsi="FangSong" w:cs="FangSong"/>
          <w:spacing w:val="-8"/>
          <w:sz w:val="28"/>
          <w:szCs w:val="28"/>
        </w:rPr>
        <w:t>周边行业，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right="1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9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</w:p>
    <w:p>
      <w:pPr>
        <w:sectPr>
          <w:pgSz w:w="11906" w:h="16839"/>
          <w:pgMar w:top="1431" w:right="1603" w:bottom="0" w:left="1785" w:header="0" w:footer="0" w:gutter="0"/>
          <w:pgNumType w:start="5"/>
          <w:cols w:space="708"/>
        </w:sectPr>
      </w:pPr>
    </w:p>
    <w:p>
      <w:pPr>
        <w:spacing w:before="182" w:line="355" w:lineRule="auto"/>
        <w:ind w:left="37" w:right="8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</w:t>
      </w:r>
      <w:r>
        <w:rPr>
          <w:rFonts w:ascii="FangSong" w:eastAsia="FangSong" w:hAnsi="FangSong" w:cs="FangSong"/>
          <w:spacing w:val="-2"/>
          <w:sz w:val="28"/>
          <w:szCs w:val="28"/>
        </w:rPr>
        <w:t>为消费者首选的动漫周边产品。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动漫周边项目总投资</w:t>
      </w:r>
    </w:p>
    <w:p>
      <w:pPr>
        <w:spacing w:before="287" w:line="411" w:lineRule="auto"/>
        <w:ind w:left="37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建设规模旨在实现一个全面、可持续的动漫周边项目。动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漫</w:t>
      </w:r>
      <w:r>
        <w:rPr>
          <w:rFonts w:ascii="FangSong" w:eastAsia="FangSong" w:hAnsi="FangSong" w:cs="FangSong"/>
          <w:spacing w:val="-4"/>
          <w:sz w:val="28"/>
          <w:szCs w:val="28"/>
        </w:rPr>
        <w:t>周边项目总投资将主要用于以下几个方面：</w:t>
      </w:r>
    </w:p>
    <w:p>
      <w:pPr>
        <w:spacing w:before="1" w:line="411" w:lineRule="auto"/>
        <w:ind w:left="37" w:right="82" w:firstLine="6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漫周边项目的顺利进行。</w:t>
      </w:r>
    </w:p>
    <w:p>
      <w:pPr>
        <w:spacing w:before="1" w:line="416" w:lineRule="auto"/>
        <w:ind w:left="42" w:right="82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一部分资金将用于技术研发，以确保动漫周边项目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引领行业发展潮流，保持技术创新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18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动漫周边项目规模与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pacing w:before="288" w:line="339" w:lineRule="auto"/>
        <w:ind w:left="38" w:right="1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10"/>
          <w:sz w:val="28"/>
          <w:szCs w:val="28"/>
        </w:rPr>
        <w:t>量：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我们计划在动漫周边项目建设后的第一年实现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FangSong" w:eastAsia="FangSong" w:hAnsi="FangSong" w:cs="FangSong"/>
          <w:spacing w:val="-10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  <w:r>
        <w:rPr>
          <w:rFonts w:ascii="FangSong" w:eastAsia="FangSong" w:hAnsi="FangSong" w:cs="FangSong"/>
          <w:spacing w:val="-8"/>
          <w:sz w:val="28"/>
          <w:szCs w:val="28"/>
        </w:rPr>
        <w:t>产量水平。</w:t>
      </w:r>
    </w:p>
    <w:p>
      <w:pPr>
        <w:spacing w:before="4" w:line="371" w:lineRule="auto"/>
        <w:ind w:left="34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动</w:t>
      </w:r>
      <w:r>
        <w:rPr>
          <w:rFonts w:ascii="FangSong" w:eastAsia="FangSong" w:hAnsi="FangSong" w:cs="FangSong"/>
          <w:spacing w:val="-17"/>
          <w:sz w:val="28"/>
          <w:szCs w:val="28"/>
        </w:rPr>
        <w:t>漫周边项目规模：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动漫周边项目将建设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，包括生产厂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房、办公区域、仓储设施等。这将确保动漫周边项目能够满足预</w:t>
      </w:r>
      <w:r>
        <w:rPr>
          <w:rFonts w:ascii="FangSong" w:eastAsia="FangSong" w:hAnsi="FangSong" w:cs="FangSong"/>
          <w:spacing w:val="-3"/>
          <w:sz w:val="28"/>
          <w:szCs w:val="28"/>
        </w:rPr>
        <w:t>期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产能需求，并为未</w:t>
      </w:r>
      <w:r>
        <w:rPr>
          <w:rFonts w:ascii="FangSong" w:eastAsia="FangSong" w:hAnsi="FangSong" w:cs="FangSong"/>
          <w:spacing w:val="-2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</w:t>
      </w:r>
      <w:r>
        <w:rPr>
          <w:rFonts w:ascii="FangSong" w:eastAsia="FangSong" w:hAnsi="FangSong" w:cs="FangSong"/>
          <w:spacing w:val="-3"/>
          <w:sz w:val="28"/>
          <w:szCs w:val="28"/>
        </w:rPr>
        <w:t>理</w:t>
      </w:r>
      <w:r>
        <w:rPr>
          <w:rFonts w:ascii="FangSong" w:eastAsia="FangSong" w:hAnsi="FangSong" w:cs="FangSong"/>
          <w:spacing w:val="-2"/>
          <w:sz w:val="28"/>
          <w:szCs w:val="28"/>
        </w:rPr>
        <w:t>、废气处理等，以确保动漫周边项目的环保性。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动漫周边项目总投资与用</w:t>
      </w:r>
      <w:r>
        <w:rPr>
          <w:rFonts w:ascii="FangSong" w:eastAsia="FangSong" w:hAnsi="FangSong" w:cs="FangSong"/>
          <w:sz w:val="28"/>
          <w:szCs w:val="28"/>
        </w:rPr>
        <w:t>地规模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该</w:t>
      </w:r>
      <w:r>
        <w:rPr>
          <w:rFonts w:ascii="FangSong" w:eastAsia="FangSong" w:hAnsi="FangSong" w:cs="FangSong"/>
          <w:spacing w:val="-9"/>
          <w:sz w:val="28"/>
          <w:szCs w:val="28"/>
        </w:rPr>
        <w:t>动漫周边项目总征地面积为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亩)，其中：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firstLine="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6"/>
          <w:sz w:val="28"/>
          <w:szCs w:val="28"/>
        </w:rPr>
        <w:t>净用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亩)。动漫周边项目规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划的</w:t>
      </w:r>
      <w:r>
        <w:rPr>
          <w:rFonts w:ascii="FangSong" w:eastAsia="FangSong" w:hAnsi="FangSong" w:cs="FangSong"/>
          <w:spacing w:val="-15"/>
          <w:sz w:val="28"/>
          <w:szCs w:val="28"/>
        </w:rPr>
        <w:t>总</w:t>
      </w:r>
      <w:r>
        <w:rPr>
          <w:rFonts w:ascii="FangSong" w:eastAsia="FangSong" w:hAnsi="FangSong" w:cs="FangSong"/>
          <w:spacing w:val="-8"/>
          <w:sz w:val="28"/>
          <w:szCs w:val="28"/>
        </w:rPr>
        <w:t>建筑面积为XXXX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平方米，包括规划建设主体工程XXXX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2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动漫周边项目</w:t>
      </w:r>
      <w:r>
        <w:rPr>
          <w:rFonts w:ascii="FangSong" w:eastAsia="FangSong" w:hAnsi="FangSong" w:cs="FangSong"/>
          <w:spacing w:val="-3"/>
          <w:sz w:val="28"/>
          <w:szCs w:val="28"/>
        </w:rPr>
        <w:t>计划购置设备共计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元</w:t>
      </w:r>
      <w:r>
        <w:rPr>
          <w:rFonts w:ascii="FangSong" w:eastAsia="FangSong" w:hAnsi="FangSong" w:cs="FangSong"/>
          <w:spacing w:val="-8"/>
          <w:sz w:val="28"/>
          <w:szCs w:val="28"/>
        </w:rPr>
        <w:t>。这些设备将在动漫周边项目运营中发挥关键作用，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动漫周边项目计划总投资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和设备购置费等多个方面的支出。预计年实现营业收入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动漫周边项目未来的发展提供可观的经济回报。</w:t>
      </w:r>
    </w:p>
    <w:p>
      <w:pPr>
        <w:spacing w:before="1" w:line="416" w:lineRule="auto"/>
        <w:ind w:left="32" w:right="8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动漫周边行业作为一个充满活力的领域，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</w:t>
      </w:r>
      <w:r>
        <w:rPr>
          <w:rFonts w:ascii="FangSong" w:eastAsia="FangSong" w:hAnsi="FangSong" w:cs="FangSong"/>
          <w:spacing w:val="-4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5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着科技的迅猛发展，动漫周边行业在技术上取得了显著的突破。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415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**动漫周边行业**是一片充满活力的领域，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ectPr>
          <w:pgSz w:w="11906" w:h="16839"/>
          <w:pgMar w:top="1431" w:right="1603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41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动漫周边行业市场规模庞大，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</w:t>
      </w:r>
      <w:r>
        <w:rPr>
          <w:rFonts w:ascii="FangSong" w:eastAsia="FangSong" w:hAnsi="FangSong" w:cs="FangSong"/>
          <w:spacing w:val="-4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着科技的飞速发展，动漫周边行业在技术上取得了显著的突破。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5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体运作效果。</w:t>
      </w:r>
    </w:p>
    <w:p>
      <w:pPr>
        <w:spacing w:before="3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219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90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before="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" w:line="411" w:lineRule="auto"/>
        <w:ind w:left="34" w:right="10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2" w:line="222" w:lineRule="auto"/>
        <w:ind w:left="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before="287"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5" w:lineRule="auto"/>
        <w:ind w:left="33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6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ectPr>
          <w:pgSz w:w="11906" w:h="16839"/>
          <w:pgMar w:top="1431" w:right="1603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6" w:lineRule="auto"/>
        <w:ind w:left="32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激发员工的积极性。</w:t>
      </w:r>
    </w:p>
    <w:p>
      <w:pPr>
        <w:spacing w:before="29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在动</w:t>
      </w:r>
      <w:r>
        <w:rPr>
          <w:rFonts w:ascii="FangSong" w:eastAsia="FangSong" w:hAnsi="FangSong" w:cs="FangSong"/>
          <w:spacing w:val="-15"/>
          <w:sz w:val="28"/>
          <w:szCs w:val="28"/>
        </w:rPr>
        <w:t>漫</w:t>
      </w:r>
      <w:r>
        <w:rPr>
          <w:rFonts w:ascii="FangSong" w:eastAsia="FangSong" w:hAnsi="FangSong" w:cs="FangSong"/>
          <w:spacing w:val="-8"/>
          <w:sz w:val="28"/>
          <w:szCs w:val="28"/>
        </w:rPr>
        <w:t>周边项目的建筑工程设计过程中，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计原则，以确保动漫周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动漫周边项目总平面设计要求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动漫周边项目总平面设计将充分考虑以下要求，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7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</w:p>
    <w:p>
      <w:pPr>
        <w:sectPr>
          <w:pgSz w:w="11906" w:h="16839"/>
          <w:pgMar w:top="1431" w:right="1718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1" w:right="14" w:firstLine="5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6"/>
          <w:sz w:val="28"/>
          <w:szCs w:val="28"/>
        </w:rPr>
        <w:t>们</w:t>
      </w:r>
      <w:r>
        <w:rPr>
          <w:rFonts w:ascii="FangSong" w:eastAsia="FangSong" w:hAnsi="FangSong" w:cs="FangSong"/>
          <w:spacing w:val="-10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定，适应动漫周边项目的实际使用需要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动</w:t>
      </w:r>
      <w:r>
        <w:rPr>
          <w:rFonts w:ascii="FangSong" w:eastAsia="FangSong" w:hAnsi="FangSong" w:cs="FangSong"/>
          <w:spacing w:val="-8"/>
          <w:sz w:val="28"/>
          <w:szCs w:val="28"/>
        </w:rPr>
        <w:t>漫周边项目所处地区的地质条件和地震风险，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结合动漫周边项目的实际需求和环境条件，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筑工程的设计总体要求是确保动漫周边项目实现预期功能、安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建筑的功能布局满足动漫周边项目需求，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4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102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102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102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219" w:lineRule="auto"/>
        <w:ind w:right="99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90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能够达到高标准，满足动漫周边项目的长期发展需求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5" w:line="416" w:lineRule="auto"/>
        <w:ind w:left="37" w:right="7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动漫周边项目规划</w:t>
      </w:r>
      <w:r>
        <w:rPr>
          <w:rFonts w:ascii="FangSong" w:eastAsia="FangSong" w:hAnsi="FangSong" w:cs="FangSong"/>
          <w:spacing w:val="-3"/>
          <w:sz w:val="28"/>
          <w:szCs w:val="28"/>
        </w:rPr>
        <w:t>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漫</w:t>
      </w:r>
      <w:r>
        <w:rPr>
          <w:rFonts w:ascii="FangSong" w:eastAsia="FangSong" w:hAnsi="FangSong" w:cs="FangSong"/>
          <w:spacing w:val="-2"/>
          <w:sz w:val="28"/>
          <w:szCs w:val="28"/>
        </w:rPr>
        <w:t>周边项目的功能布局和需求，确保各功能区域得到合理的利用。</w:t>
      </w:r>
    </w:p>
    <w:p>
      <w:pPr>
        <w:sectPr>
          <w:pgSz w:w="11906" w:h="16839"/>
          <w:pgMar w:top="1431" w:right="1724" w:bottom="0" w:left="1785" w:header="0" w:footer="0" w:gutter="0"/>
          <w:pgNumType w:start="22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动漫周边项目总投资比例：</w:t>
      </w:r>
    </w:p>
    <w:p>
      <w:pPr>
        <w:spacing w:before="287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动</w:t>
      </w:r>
      <w:r>
        <w:rPr>
          <w:rFonts w:ascii="FangSong" w:eastAsia="FangSong" w:hAnsi="FangSong" w:cs="FangSong"/>
          <w:spacing w:val="-3"/>
          <w:sz w:val="28"/>
          <w:szCs w:val="28"/>
        </w:rPr>
        <w:t>漫周边项目总投资的比例为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未来动漫周边项目运营的需求，同时避免了过度浪费。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动漫周边项目整体布局：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使动漫周边项目更好地适应当地的自然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245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五、动漫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周边项目建设背景及必要性分析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2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02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2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8" w:line="416" w:lineRule="auto"/>
        <w:ind w:left="4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为</w:t>
      </w:r>
      <w:r>
        <w:rPr>
          <w:rFonts w:ascii="FangSong" w:eastAsia="FangSong" w:hAnsi="FangSong" w:cs="FangSong"/>
          <w:spacing w:val="-13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2" w:line="414" w:lineRule="auto"/>
        <w:ind w:left="34" w:right="176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人才培养和科技创新。通过设立研发基地、提供奖学金和实习机会</w:t>
      </w:r>
      <w:r>
        <w:rPr>
          <w:rFonts w:ascii="FangSong" w:eastAsia="FangSong" w:hAnsi="FangSong" w:cs="FangSong"/>
          <w:spacing w:val="-2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六、环境影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动</w:t>
      </w:r>
      <w:r>
        <w:rPr>
          <w:rFonts w:ascii="FangSong" w:eastAsia="FangSong" w:hAnsi="FangSong" w:cs="FangSong"/>
          <w:spacing w:val="-4"/>
          <w:sz w:val="28"/>
          <w:szCs w:val="28"/>
        </w:rPr>
        <w:t>漫周边项目的环境影响评估旨在全面了解、评估动漫周边项目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</w:t>
      </w:r>
      <w:r>
        <w:rPr>
          <w:rFonts w:ascii="FangSong" w:eastAsia="FangSong" w:hAnsi="FangSong" w:cs="FangSong"/>
          <w:spacing w:val="-8"/>
          <w:sz w:val="28"/>
          <w:szCs w:val="28"/>
        </w:rPr>
        <w:t>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从而为决策者提供科学、客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观</w:t>
      </w:r>
      <w:r>
        <w:rPr>
          <w:rFonts w:ascii="FangSong" w:eastAsia="FangSong" w:hAnsi="FangSong" w:cs="FangSong"/>
          <w:spacing w:val="-6"/>
          <w:sz w:val="28"/>
          <w:szCs w:val="28"/>
        </w:rPr>
        <w:t>的依据。具体目的包括：</w:t>
      </w:r>
    </w:p>
    <w:p>
      <w:pPr>
        <w:spacing w:before="1" w:line="411" w:lineRule="auto"/>
        <w:ind w:left="31" w:right="8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评估影响范围：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确定动漫周边项目可能对自然环境、生态系统</w:t>
      </w:r>
      <w:r>
        <w:rPr>
          <w:rFonts w:ascii="FangSong" w:eastAsia="FangSong" w:hAnsi="FangSong" w:cs="FangSong"/>
          <w:spacing w:val="-9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水源、空气质量</w:t>
      </w:r>
      <w:r>
        <w:rPr>
          <w:rFonts w:ascii="FangSong" w:eastAsia="FangSong" w:hAnsi="FangSong" w:cs="FangSong"/>
          <w:spacing w:val="-2"/>
          <w:sz w:val="28"/>
          <w:szCs w:val="28"/>
        </w:rPr>
        <w:t>等产生的直接或潜在影响。</w:t>
      </w:r>
    </w:p>
    <w:p>
      <w:pPr>
        <w:spacing w:before="1" w:line="411" w:lineRule="auto"/>
        <w:ind w:left="34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5" w:lineRule="auto"/>
        <w:ind w:left="34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遵循国家和地方环境法规，确保动漫周边项目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在环保</w:t>
      </w:r>
      <w:r>
        <w:rPr>
          <w:rFonts w:ascii="FangSong" w:eastAsia="FangSong" w:hAnsi="FangSong" w:cs="FangSong"/>
          <w:spacing w:val="-4"/>
          <w:sz w:val="28"/>
          <w:szCs w:val="28"/>
        </w:rPr>
        <w:t>方</w:t>
      </w:r>
      <w:r>
        <w:rPr>
          <w:rFonts w:ascii="FangSong" w:eastAsia="FangSong" w:hAnsi="FangSong" w:cs="FangSong"/>
          <w:spacing w:val="-3"/>
          <w:sz w:val="28"/>
          <w:szCs w:val="28"/>
        </w:rPr>
        <w:t>面的合法性和可持续性。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https://d.book118.com/477031126151006052</w:t>
        </w:r>
      </w:hyperlink>
    </w:p>
    <w:p/>
    <w:sectPr>
      <w:pgSz w:w="11906" w:h="16839"/>
      <w:pgMar w:top="1431" w:right="1623" w:bottom="0" w:left="1785" w:header="0" w:footer="0" w:gutter="0"/>
      <w:pgNumType w:start="2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77031126151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2024-03-13T13:05:19Z</vt:filetime>
  </property>
  <property fmtid="{D5CDD505-2E9C-101B-9397-08002B2CF9AE}" pid="3" name="CRO">
    <vt:lpwstr>wqlLaW5nc29mdCBQREYgdG8gV1BTIDgw</vt:lpwstr>
  </property>
</Properties>
</file>