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2018-2023年武汉工程职业技术学院高职单招（数学／语文／英语）历年常考试题库含答案解析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1.</w:t>
      </w:r>
      <w:r>
        <w:rPr>
          <w:rFonts w:ascii="黑体" w:eastAsia="黑体" w:hAnsi="黑体" w:cs="Times New Roman"/>
          <w:sz w:val="24"/>
          <w:lang w:val="en-US" w:eastAsia="ja-JP" w:bidi="ar-SA"/>
        </w:rPr>
        <w:t>下列句中加横线的词属意动用法的是（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A.左右皆笑之，以告。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B.冯谖客孟尝君。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C.左右以君贱之也，食以草具。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D.我尝闻少仲尼之闻而轻伯夷之义者。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0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下列句子中，画线部分翻译错误的是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3915186" cy="2152876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15186" cy="2152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提出“创造这中国历史上未曾有过的第三样时代，则是现在的青年的使命！”的是（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A.梁启超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B.胡适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D.陈独秀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下列文章中，属于奏章的是（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D.《报刘一丈书》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柳永《八声甘州（对潇潇暮雨洒江天）》中表达思归情感委婉曲折的词句是（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A.对潇潇暮雨洒江天，一番洗清秋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B.惟有长江水，无语东流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C.不忍登高临远，望故乡渺邈，归思难收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D.想佳人妆楼颙望，误几回，天际识归舟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《陈情表》《张中丞传后叙》《报刘一丈书》的作者依次是（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A.李密、宗臣、韩愈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B.宗臣、李密、韩愈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C.韩愈、李密、宗臣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D.李密、韩愈、宗臣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《冯谖客孟尝君》采用了欲扬先抑的表现手法，下列不属于贬抑手法的一项是（）。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A.孟尝君曰：“客何好”曰：“客无好也。”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B.左右皆恶之，以为贪而不知足。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C.孟尝君不悦，曰：“诺，先生休矣!”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D.孟尝君为相数十年，无纤介之祸者，冯谖之计也。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被誉为“世界短篇小说之王”的法国说家是（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C.巴尔扎克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“山不厌高，水不厌深”的作者是（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C.曹操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D.司马迁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苏轼的《水调歌头》（明月几时有）是一首（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A.清明词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B.重阳词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C.端午词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D.中秋词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下列属于闻一多的作品是（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A.《女神》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《五代史伶官传序》中，告诫人们要居安思危的警戒性语句是（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A.祸患常积于忽微，智勇多困于所溺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B.满招损，谦得益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C.忧劳可以兴国，逸豫可以亡身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https://d.book118.com/477103166156006044</w:t>
        </w:r>
      </w:hyperlink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477103166156006044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