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465B3" w:rsidP="00202111">
      <w:pPr>
        <w:bidi w:val="0"/>
        <w:spacing w:before="156" w:after="156" w:line="360" w:lineRule="auto"/>
        <w:jc w:val="center"/>
        <w:rPr>
          <w:rFonts w:ascii="微软雅黑" w:eastAsia="微软雅黑" w:hAnsi="微软雅黑"/>
          <w:b/>
          <w:sz w:val="96"/>
          <w:szCs w:val="36"/>
        </w:rPr>
      </w:pPr>
      <w:r w:rsidRPr="00B465B3">
        <w:rPr>
          <w:rFonts w:ascii="微软雅黑" w:eastAsia="微软雅黑" w:hAnsi="微软雅黑" w:hint="eastAsia"/>
          <w:b/>
          <w:sz w:val="96"/>
          <w:szCs w:val="36"/>
        </w:rPr>
        <w:t>华夏</w:t>
      </w:r>
      <w:r w:rsidRPr="00B465B3">
        <w:rPr>
          <w:rFonts w:ascii="微软雅黑" w:eastAsia="微软雅黑" w:hAnsi="微软雅黑" w:hint="eastAsia"/>
          <w:b/>
          <w:sz w:val="96"/>
          <w:szCs w:val="36"/>
        </w:rPr>
        <w:t>华蜜</w:t>
      </w:r>
    </w:p>
    <w:p w:rsidR="00B465B3" w:rsidP="00B465B3">
      <w:pPr>
        <w:bidi w:val="0"/>
        <w:spacing w:before="156" w:after="156" w:line="360" w:lineRule="auto"/>
        <w:jc w:val="center"/>
        <w:rPr>
          <w:rFonts w:ascii="微软雅黑" w:eastAsia="微软雅黑" w:hAnsi="微软雅黑"/>
          <w:b/>
          <w:sz w:val="56"/>
          <w:szCs w:val="36"/>
        </w:rPr>
      </w:pPr>
      <w:r w:rsidRPr="00B465B3">
        <w:rPr>
          <w:rFonts w:ascii="宋体" w:eastAsia="宋体" w:hAnsi="宋体" w:cs="宋体" w:hint="eastAsia"/>
          <w:b/>
          <w:color w:val="000000"/>
          <w:sz w:val="26"/>
          <w:szCs w:val="36"/>
        </w:rPr>
        <w:t>工业地产片区开发模式</w:t>
      </w:r>
    </w:p>
    <w:p w:rsidR="006D3BBD" w:rsidRPr="00B465B3" w:rsidP="00B465B3">
      <w:pPr>
        <w:bidi w:val="0"/>
        <w:spacing w:before="156" w:after="156" w:line="360" w:lineRule="auto"/>
        <w:jc w:val="center"/>
        <w:rPr>
          <w:rFonts w:ascii="微软雅黑" w:eastAsia="微软雅黑" w:hAnsi="微软雅黑"/>
          <w:b/>
          <w:sz w:val="56"/>
          <w:szCs w:val="36"/>
        </w:rPr>
      </w:pPr>
      <w:r w:rsidRPr="00B465B3" w:rsidR="00B465B3">
        <w:rPr>
          <w:rFonts w:ascii="宋体" w:eastAsia="宋体" w:hAnsi="宋体" w:cs="宋体" w:hint="eastAsia"/>
          <w:b/>
          <w:color w:val="000000"/>
          <w:sz w:val="26"/>
          <w:szCs w:val="36"/>
        </w:rPr>
        <w:t>分析调研报告</w:t>
      </w:r>
    </w:p>
    <w:p w:rsidR="006D3BBD" w:rsidP="00202111">
      <w:pPr>
        <w:bidi w:val="0"/>
        <w:spacing w:before="156" w:after="156" w:line="360" w:lineRule="auto"/>
        <w:jc w:val="center"/>
        <w:rPr>
          <w:rFonts w:ascii="微软雅黑" w:eastAsia="微软雅黑" w:hAnsi="微软雅黑"/>
          <w:b/>
          <w:sz w:val="36"/>
          <w:szCs w:val="36"/>
        </w:rPr>
      </w:pPr>
      <w:r w:rsidRPr="006D3BBD">
        <w:rPr>
          <w:rFonts w:ascii="宋体" w:eastAsia="宋体" w:hAnsi="宋体" w:cs="宋体" w:hint="eastAsia"/>
          <w:b/>
          <w:color w:val="000000"/>
          <w:sz w:val="26"/>
          <w:szCs w:val="36"/>
        </w:rPr>
        <w:t>2017年9月30日</w:t>
      </w:r>
    </w:p>
    <w:p w:rsidR="00300AC5" w:rsidRPr="006D3BBD" w:rsidP="00202111">
      <w:pPr>
        <w:bidi w:val="0"/>
        <w:spacing w:after="312" w:line="480" w:lineRule="auto"/>
        <w:jc w:val="center"/>
        <w:rPr>
          <w:rFonts w:ascii="微软雅黑" w:eastAsia="微软雅黑" w:hAnsi="微软雅黑"/>
          <w:b/>
          <w:sz w:val="36"/>
          <w:szCs w:val="32"/>
        </w:rPr>
      </w:pPr>
      <w:r w:rsidRPr="006D3BBD">
        <w:rPr>
          <w:rFonts w:ascii="宋体" w:eastAsia="宋体" w:hAnsi="宋体" w:cs="宋体" w:hint="eastAsia"/>
          <w:b/>
          <w:color w:val="000000"/>
          <w:sz w:val="26"/>
          <w:szCs w:val="32"/>
        </w:rPr>
        <w:t>目</w:t>
      </w:r>
      <w:r w:rsidRPr="006D3BBD">
        <w:rPr>
          <w:rFonts w:ascii="宋体" w:eastAsia="宋体" w:hAnsi="宋体" w:cs="宋体"/>
          <w:b/>
          <w:color w:val="000000"/>
          <w:sz w:val="26"/>
          <w:szCs w:val="32"/>
        </w:rPr>
        <w:t xml:space="preserve">  </w:t>
      </w:r>
      <w:r w:rsidRPr="006D3BBD">
        <w:rPr>
          <w:rFonts w:ascii="宋体" w:eastAsia="宋体" w:hAnsi="宋体" w:cs="宋体" w:hint="eastAsia"/>
          <w:b/>
          <w:color w:val="000000"/>
          <w:sz w:val="26"/>
          <w:szCs w:val="32"/>
        </w:rPr>
        <w:t>录</w:t>
      </w:r>
    </w:p>
    <w:p w:rsidR="00300AC5" w:rsidRPr="006D3BBD" w:rsidP="0080415B">
      <w:pPr>
        <w:bidi w:val="0"/>
        <w:spacing w:line="720" w:lineRule="auto"/>
        <w:rPr>
          <w:rFonts w:ascii="微软雅黑" w:eastAsia="微软雅黑" w:hAnsi="微软雅黑"/>
          <w:b/>
          <w:sz w:val="30"/>
          <w:szCs w:val="30"/>
        </w:rPr>
      </w:pPr>
      <w:r>
        <w:rPr>
          <w:rFonts w:ascii="微软雅黑" w:eastAsia="微软雅黑" w:hAnsi="微软雅黑"/>
          <w:noProof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25" type="#_x0000_t32" style="width:175.75pt;height:0;margin-top:24.45pt;margin-left:246pt;position:absolute;z-index:251658240" o:connectortype="straight" strokeweight="1.5pt">
            <v:stroke dashstyle="1 1"/>
          </v:shape>
        </w:pict>
      </w:r>
      <w:r w:rsidRPr="006D3BBD">
        <w:rPr>
          <w:rFonts w:ascii="宋体" w:eastAsia="宋体" w:hAnsi="宋体" w:cs="宋体" w:hint="eastAsia"/>
          <w:b/>
          <w:color w:val="000000"/>
          <w:sz w:val="26"/>
          <w:szCs w:val="30"/>
        </w:rPr>
        <w:t>一、华夏</w:t>
      </w:r>
      <w:r w:rsidRPr="006D3BBD">
        <w:rPr>
          <w:rFonts w:ascii="宋体" w:eastAsia="宋体" w:hAnsi="宋体" w:cs="宋体" w:hint="eastAsia"/>
          <w:b/>
          <w:color w:val="000000"/>
          <w:sz w:val="26"/>
          <w:szCs w:val="30"/>
        </w:rPr>
        <w:t>华蜜</w:t>
      </w:r>
      <w:r w:rsidRPr="006D3BBD">
        <w:rPr>
          <w:rFonts w:ascii="宋体" w:eastAsia="宋体" w:hAnsi="宋体" w:cs="宋体" w:hint="eastAsia"/>
          <w:b/>
          <w:color w:val="000000"/>
          <w:sz w:val="26"/>
          <w:szCs w:val="30"/>
        </w:rPr>
        <w:t>公司的背景和业绩状况</w:t>
      </w:r>
      <w:r w:rsidRPr="006D3BBD">
        <w:rPr>
          <w:rFonts w:ascii="宋体" w:eastAsia="宋体" w:hAnsi="宋体" w:cs="宋体"/>
          <w:b/>
          <w:color w:val="000000"/>
          <w:sz w:val="26"/>
          <w:szCs w:val="30"/>
        </w:rPr>
        <w:t xml:space="preserve">                        1</w:t>
      </w:r>
    </w:p>
    <w:p w:rsidR="00300AC5" w:rsidRPr="006D3BBD" w:rsidP="00F95B71">
      <w:pPr>
        <w:tabs>
          <w:tab w:val="right" w:pos="8690"/>
        </w:tabs>
        <w:bidi w:val="0"/>
        <w:spacing w:line="720" w:lineRule="auto"/>
        <w:rPr>
          <w:rFonts w:ascii="微软雅黑" w:eastAsia="微软雅黑" w:hAnsi="微软雅黑"/>
          <w:b/>
          <w:sz w:val="30"/>
          <w:szCs w:val="30"/>
        </w:rPr>
      </w:pPr>
      <w:r>
        <w:rPr>
          <w:rFonts w:ascii="微软雅黑" w:eastAsia="微软雅黑" w:hAnsi="微软雅黑"/>
          <w:noProof/>
        </w:rPr>
        <w:pict>
          <v:shape id="_x0000_s1026" type="#_x0000_t32" style="width:249.45pt;height:0;margin-top:24.15pt;margin-left:169.5pt;position:absolute;z-index:251659264" o:connectortype="straight" strokeweight="1.5pt">
            <v:stroke dashstyle="1 1"/>
          </v:shape>
        </w:pict>
      </w:r>
      <w:r w:rsidRPr="006D3BBD">
        <w:rPr>
          <w:rFonts w:ascii="宋体" w:eastAsia="宋体" w:hAnsi="宋体" w:cs="宋体" w:hint="eastAsia"/>
          <w:b/>
          <w:color w:val="000000"/>
          <w:sz w:val="26"/>
          <w:szCs w:val="30"/>
        </w:rPr>
        <w:t>二、华夏</w:t>
      </w:r>
      <w:r w:rsidRPr="006D3BBD">
        <w:rPr>
          <w:rFonts w:ascii="宋体" w:eastAsia="宋体" w:hAnsi="宋体" w:cs="宋体" w:hint="eastAsia"/>
          <w:b/>
          <w:color w:val="000000"/>
          <w:sz w:val="26"/>
          <w:szCs w:val="30"/>
        </w:rPr>
        <w:t>华蜜</w:t>
      </w:r>
      <w:r w:rsidRPr="006D3BBD">
        <w:rPr>
          <w:rFonts w:ascii="宋体" w:eastAsia="宋体" w:hAnsi="宋体" w:cs="宋体" w:hint="eastAsia"/>
          <w:b/>
          <w:color w:val="000000"/>
          <w:sz w:val="26"/>
          <w:szCs w:val="30"/>
        </w:rPr>
        <w:t>的模式分析</w:t>
      </w:r>
      <w:r w:rsidRPr="006D3BBD">
        <w:rPr>
          <w:rFonts w:ascii="宋体" w:eastAsia="宋体" w:hAnsi="宋体" w:cs="宋体"/>
          <w:b/>
          <w:color w:val="000000"/>
          <w:sz w:val="26"/>
          <w:szCs w:val="30"/>
        </w:rPr>
        <w:t xml:space="preserve">                                  3</w:t>
      </w:r>
    </w:p>
    <w:p w:rsidR="00124CAB" w:rsidRPr="006D3BBD" w:rsidP="00124CAB">
      <w:pPr>
        <w:autoSpaceDE w:val="0"/>
        <w:autoSpaceDN w:val="0"/>
        <w:bidi w:val="0"/>
        <w:adjustRightInd w:val="0"/>
        <w:spacing w:line="360" w:lineRule="auto"/>
        <w:jc w:val="left"/>
        <w:rPr>
          <w:rFonts w:ascii="微软雅黑" w:eastAsia="微软雅黑" w:hAnsi="微软雅黑"/>
          <w:b/>
          <w:kern w:val="0"/>
          <w:sz w:val="28"/>
          <w:szCs w:val="28"/>
        </w:rPr>
      </w:pPr>
      <w:r w:rsidRPr="006D3BBD">
        <w:rPr>
          <w:rFonts w:ascii="宋体" w:eastAsia="宋体" w:hAnsi="宋体" w:cs="宋体" w:hint="eastAsia"/>
          <w:b/>
          <w:color w:val="000000"/>
          <w:sz w:val="26"/>
          <w:szCs w:val="24"/>
        </w:rPr>
        <w:t>（一）组织架构设置：</w:t>
      </w:r>
    </w:p>
    <w:p w:rsidR="00124CAB" w:rsidRPr="006D3BBD" w:rsidP="00124CAB">
      <w:pPr>
        <w:autoSpaceDE w:val="0"/>
        <w:autoSpaceDN w:val="0"/>
        <w:bidi w:val="0"/>
        <w:adjustRightInd w:val="0"/>
        <w:spacing w:line="360" w:lineRule="auto"/>
        <w:jc w:val="left"/>
        <w:rPr>
          <w:rFonts w:ascii="微软雅黑" w:eastAsia="微软雅黑" w:hAnsi="微软雅黑"/>
          <w:b/>
          <w:sz w:val="24"/>
          <w:szCs w:val="24"/>
        </w:rPr>
      </w:pPr>
      <w:r w:rsidRPr="006D3BBD">
        <w:rPr>
          <w:rFonts w:ascii="宋体" w:eastAsia="宋体" w:hAnsi="宋体" w:cs="宋体" w:hint="eastAsia"/>
          <w:b/>
          <w:color w:val="000000"/>
          <w:sz w:val="26"/>
          <w:szCs w:val="24"/>
        </w:rPr>
        <w:t>（二）项目拓展策略：</w:t>
      </w:r>
    </w:p>
    <w:p w:rsidR="00124CAB" w:rsidRPr="006D3BBD" w:rsidP="00124CAB">
      <w:pPr>
        <w:autoSpaceDE w:val="0"/>
        <w:autoSpaceDN w:val="0"/>
        <w:bidi w:val="0"/>
        <w:adjustRightInd w:val="0"/>
        <w:spacing w:line="360" w:lineRule="auto"/>
        <w:jc w:val="left"/>
        <w:rPr>
          <w:rFonts w:ascii="微软雅黑" w:eastAsia="微软雅黑" w:hAnsi="微软雅黑"/>
          <w:b/>
          <w:sz w:val="24"/>
          <w:szCs w:val="24"/>
        </w:rPr>
      </w:pPr>
      <w:r w:rsidRPr="006D3BBD">
        <w:rPr>
          <w:rFonts w:ascii="宋体" w:eastAsia="宋体" w:hAnsi="宋体" w:cs="宋体" w:hint="eastAsia"/>
          <w:b/>
          <w:color w:val="000000"/>
          <w:sz w:val="26"/>
          <w:szCs w:val="24"/>
        </w:rPr>
        <w:t>（三）业务开展类型</w:t>
      </w:r>
    </w:p>
    <w:p w:rsidR="00124CAB" w:rsidRPr="006D3BBD" w:rsidP="00124CAB">
      <w:pPr>
        <w:autoSpaceDE w:val="0"/>
        <w:autoSpaceDN w:val="0"/>
        <w:bidi w:val="0"/>
        <w:adjustRightInd w:val="0"/>
        <w:spacing w:line="360" w:lineRule="auto"/>
        <w:jc w:val="left"/>
        <w:rPr>
          <w:rFonts w:ascii="微软雅黑" w:eastAsia="微软雅黑" w:hAnsi="微软雅黑"/>
          <w:b/>
          <w:sz w:val="24"/>
          <w:szCs w:val="24"/>
        </w:rPr>
      </w:pPr>
      <w:r w:rsidRPr="006D3BBD">
        <w:rPr>
          <w:rFonts w:ascii="宋体" w:eastAsia="宋体" w:hAnsi="宋体" w:cs="宋体" w:hint="eastAsia"/>
          <w:b/>
          <w:color w:val="000000"/>
          <w:sz w:val="26"/>
          <w:szCs w:val="24"/>
        </w:rPr>
        <w:t>（四）园区开发步骤：</w:t>
      </w:r>
    </w:p>
    <w:p w:rsidR="00124CAB" w:rsidRPr="006D3BBD" w:rsidP="00124CAB">
      <w:pPr>
        <w:autoSpaceDE w:val="0"/>
        <w:autoSpaceDN w:val="0"/>
        <w:bidi w:val="0"/>
        <w:adjustRightInd w:val="0"/>
        <w:spacing w:line="360" w:lineRule="auto"/>
        <w:jc w:val="left"/>
        <w:rPr>
          <w:rFonts w:ascii="微软雅黑" w:eastAsia="微软雅黑" w:hAnsi="微软雅黑" w:hint="eastAsia"/>
          <w:b/>
          <w:sz w:val="24"/>
          <w:szCs w:val="24"/>
        </w:rPr>
      </w:pPr>
      <w:r w:rsidRPr="006D3BBD">
        <w:rPr>
          <w:rFonts w:ascii="宋体" w:eastAsia="宋体" w:hAnsi="宋体" w:cs="宋体" w:hint="eastAsia"/>
          <w:b/>
          <w:color w:val="000000"/>
          <w:sz w:val="26"/>
          <w:szCs w:val="24"/>
        </w:rPr>
        <w:t>（五）盈利模式</w:t>
      </w:r>
    </w:p>
    <w:p w:rsidR="00124CAB" w:rsidRPr="006D3BBD" w:rsidP="00124CAB">
      <w:pPr>
        <w:bidi w:val="0"/>
        <w:spacing w:line="360" w:lineRule="auto"/>
        <w:rPr>
          <w:rFonts w:ascii="微软雅黑" w:eastAsia="微软雅黑" w:hAnsi="微软雅黑" w:cs="宋体" w:hint="eastAsia"/>
          <w:b/>
          <w:color w:val="000000"/>
          <w:kern w:val="0"/>
          <w:sz w:val="23"/>
          <w:szCs w:val="23"/>
        </w:rPr>
      </w:pPr>
      <w:r w:rsidRPr="006D3BBD">
        <w:rPr>
          <w:rFonts w:ascii="宋体" w:eastAsia="宋体" w:hAnsi="宋体" w:cs="宋体" w:hint="eastAsia"/>
          <w:b/>
          <w:color w:val="000000"/>
          <w:kern w:val="0"/>
          <w:sz w:val="26"/>
          <w:szCs w:val="23"/>
        </w:rPr>
        <w:t>（六）核心竞争力分析</w:t>
      </w:r>
    </w:p>
    <w:p w:rsidR="00124CAB" w:rsidRPr="006D3BBD" w:rsidP="00124CAB">
      <w:pPr>
        <w:bidi w:val="0"/>
        <w:spacing w:line="360" w:lineRule="auto"/>
        <w:rPr>
          <w:rFonts w:ascii="微软雅黑" w:eastAsia="微软雅黑" w:hAnsi="微软雅黑" w:cs="宋体" w:hint="eastAsia"/>
          <w:b/>
          <w:color w:val="000000"/>
          <w:kern w:val="0"/>
          <w:sz w:val="23"/>
          <w:szCs w:val="23"/>
        </w:rPr>
      </w:pPr>
      <w:r w:rsidRPr="006D3BBD">
        <w:rPr>
          <w:rFonts w:ascii="宋体" w:eastAsia="宋体" w:hAnsi="宋体" w:cs="宋体" w:hint="eastAsia"/>
          <w:b/>
          <w:color w:val="000000"/>
          <w:kern w:val="0"/>
          <w:sz w:val="26"/>
          <w:szCs w:val="23"/>
        </w:rPr>
        <w:t>（七）城镇化分析</w:t>
      </w:r>
    </w:p>
    <w:p w:rsidR="00300AC5" w:rsidRPr="006D3BBD" w:rsidP="0080415B">
      <w:pPr>
        <w:bidi w:val="0"/>
        <w:spacing w:line="720" w:lineRule="auto"/>
        <w:rPr>
          <w:rFonts w:ascii="微软雅黑" w:eastAsia="微软雅黑" w:hAnsi="微软雅黑" w:hint="eastAsia"/>
          <w:b/>
          <w:sz w:val="30"/>
          <w:szCs w:val="30"/>
        </w:rPr>
        <w:sectPr w:rsidSect="00597DDA">
          <w:pgSz w:w="11906" w:h="16838"/>
          <w:pgMar w:top="1440" w:right="1416" w:bottom="1440" w:left="1800" w:header="851" w:footer="992" w:gutter="0"/>
          <w:cols w:space="425"/>
          <w:titlePg w:val="0"/>
          <w:docGrid w:type="lines" w:linePitch="312"/>
        </w:sectPr>
      </w:pPr>
      <w:r>
        <w:rPr>
          <w:rFonts w:ascii="微软雅黑" w:eastAsia="微软雅黑" w:hAnsi="微软雅黑"/>
          <w:noProof/>
        </w:rPr>
        <w:pict>
          <v:shape id="_x0000_s1027" type="#_x0000_t32" style="width:249.45pt;height:0;margin-top:23.4pt;margin-left:108pt;position:absolute;z-index:251661312" o:connectortype="straight" strokeweight="1.5pt">
            <v:stroke dashstyle="1 1"/>
          </v:shape>
        </w:pict>
      </w:r>
      <w:r>
        <w:rPr>
          <w:rFonts w:ascii="微软雅黑" w:eastAsia="微软雅黑" w:hAnsi="微软雅黑"/>
          <w:noProof/>
        </w:rPr>
        <w:pict>
          <v:shape id="_x0000_s1028" type="#_x0000_t32" style="width:198.45pt;height:0;margin-top:24.15pt;margin-left:3in;position:absolute;z-index:251660288" o:connectortype="straight" strokeweight="1.5pt">
            <v:stroke dashstyle="1 1"/>
          </v:shape>
        </w:pict>
      </w:r>
      <w:r w:rsidRPr="006D3BBD">
        <w:rPr>
          <w:rFonts w:ascii="宋体" w:eastAsia="宋体" w:hAnsi="宋体" w:cs="宋体" w:hint="eastAsia"/>
          <w:b/>
          <w:color w:val="000000"/>
          <w:sz w:val="26"/>
          <w:szCs w:val="30"/>
        </w:rPr>
        <w:t>三、</w:t>
      </w:r>
      <w:r w:rsidRPr="006D3BBD" w:rsidR="00966423">
        <w:rPr>
          <w:rFonts w:ascii="宋体" w:eastAsia="宋体" w:hAnsi="宋体" w:cs="宋体" w:hint="eastAsia"/>
          <w:b/>
          <w:color w:val="000000"/>
          <w:sz w:val="26"/>
          <w:szCs w:val="30"/>
        </w:rPr>
        <w:t>结论与建议</w:t>
      </w:r>
      <w:r w:rsidRPr="006D3BBD">
        <w:rPr>
          <w:rFonts w:ascii="宋体" w:eastAsia="宋体" w:hAnsi="宋体" w:cs="宋体"/>
          <w:b/>
          <w:color w:val="000000"/>
          <w:sz w:val="26"/>
          <w:szCs w:val="30"/>
        </w:rPr>
        <w:t xml:space="preserve">                            </w:t>
      </w:r>
      <w:r w:rsidRPr="006D3BBD" w:rsidR="00966423">
        <w:rPr>
          <w:rFonts w:ascii="宋体" w:eastAsia="宋体" w:hAnsi="宋体" w:cs="宋体" w:hint="eastAsia"/>
          <w:b/>
          <w:color w:val="000000"/>
          <w:sz w:val="26"/>
          <w:szCs w:val="30"/>
        </w:rPr>
        <w:t xml:space="preserve">             18</w:t>
      </w:r>
    </w:p>
    <w:p w:rsidR="00300AC5" w:rsidRPr="006D3BBD" w:rsidP="00202111">
      <w:pPr>
        <w:bidi w:val="0"/>
        <w:spacing w:before="156" w:after="156" w:line="360" w:lineRule="auto"/>
        <w:rPr>
          <w:rFonts w:ascii="微软雅黑" w:eastAsia="微软雅黑" w:hAnsi="微软雅黑"/>
          <w:b/>
          <w:sz w:val="30"/>
          <w:szCs w:val="30"/>
        </w:rPr>
      </w:pPr>
      <w:r w:rsidRPr="006D3BBD">
        <w:rPr>
          <w:rFonts w:ascii="宋体" w:eastAsia="宋体" w:hAnsi="宋体" w:cs="宋体" w:hint="eastAsia"/>
          <w:b/>
          <w:color w:val="000000"/>
          <w:sz w:val="26"/>
          <w:szCs w:val="30"/>
        </w:rPr>
        <w:t>一、华夏</w:t>
      </w:r>
      <w:r w:rsidRPr="006D3BBD">
        <w:rPr>
          <w:rFonts w:ascii="宋体" w:eastAsia="宋体" w:hAnsi="宋体" w:cs="宋体" w:hint="eastAsia"/>
          <w:b/>
          <w:color w:val="000000"/>
          <w:sz w:val="26"/>
          <w:szCs w:val="30"/>
        </w:rPr>
        <w:t>华蜜</w:t>
      </w:r>
      <w:r w:rsidRPr="006D3BBD">
        <w:rPr>
          <w:rFonts w:ascii="宋体" w:eastAsia="宋体" w:hAnsi="宋体" w:cs="宋体" w:hint="eastAsia"/>
          <w:b/>
          <w:color w:val="000000"/>
          <w:sz w:val="26"/>
          <w:szCs w:val="30"/>
        </w:rPr>
        <w:t>公司的背景和业绩状况</w:t>
      </w:r>
    </w:p>
    <w:p w:rsidR="00300AC5" w:rsidRPr="006D3BBD" w:rsidP="00202111">
      <w:pPr>
        <w:pStyle w:val="duanlue"/>
        <w:bidi w:val="0"/>
        <w:spacing w:before="156" w:after="156" w:line="360" w:lineRule="auto"/>
        <w:ind w:firstLine="0"/>
        <w:rPr>
          <w:rFonts w:ascii="微软雅黑" w:eastAsia="微软雅黑" w:hAnsi="微软雅黑" w:cs="Times New Roman"/>
          <w:b/>
          <w:color w:val="auto"/>
        </w:rPr>
      </w:pPr>
      <w:r w:rsidRPr="006D3BBD">
        <w:rPr>
          <w:rFonts w:ascii="宋体" w:eastAsia="宋体" w:hAnsi="宋体" w:cs="宋体" w:hint="eastAsia"/>
          <w:b/>
          <w:color w:val="000000"/>
          <w:sz w:val="26"/>
        </w:rPr>
        <w:t>（一）公司背景</w:t>
      </w:r>
    </w:p>
    <w:p w:rsidR="00300AC5" w:rsidRPr="006D3BBD" w:rsidP="00293911">
      <w:pPr>
        <w:pStyle w:val="duanlue"/>
        <w:bidi w:val="0"/>
        <w:spacing w:line="360" w:lineRule="auto"/>
        <w:rPr>
          <w:rFonts w:ascii="微软雅黑" w:eastAsia="微软雅黑" w:hAnsi="微软雅黑" w:cs="Times New Roman"/>
          <w:color w:val="auto"/>
        </w:rPr>
      </w:pPr>
      <w:r w:rsidRPr="006D3BBD">
        <w:rPr>
          <w:rFonts w:ascii="宋体" w:eastAsia="宋体" w:hAnsi="宋体" w:cs="宋体" w:hint="eastAsia"/>
          <w:color w:val="000000"/>
          <w:sz w:val="26"/>
        </w:rPr>
        <w:t>华夏</w:t>
      </w:r>
      <w:r w:rsidRPr="006D3BBD">
        <w:rPr>
          <w:rFonts w:ascii="宋体" w:eastAsia="宋体" w:hAnsi="宋体" w:cs="宋体" w:hint="eastAsia"/>
          <w:color w:val="000000"/>
          <w:sz w:val="26"/>
        </w:rPr>
        <w:t>华蜜</w:t>
      </w:r>
      <w:r w:rsidRPr="006D3BBD">
        <w:rPr>
          <w:rFonts w:ascii="宋体" w:eastAsia="宋体" w:hAnsi="宋体" w:cs="宋体" w:hint="eastAsia"/>
          <w:color w:val="000000"/>
          <w:sz w:val="26"/>
        </w:rPr>
        <w:t>成立于</w:t>
      </w:r>
      <w:r w:rsidRPr="006D3BBD">
        <w:rPr>
          <w:rFonts w:ascii="宋体" w:eastAsia="宋体" w:hAnsi="宋体" w:cs="宋体"/>
          <w:color w:val="000000"/>
          <w:sz w:val="26"/>
        </w:rPr>
        <w:t>1998</w:t>
      </w:r>
      <w:r w:rsidRPr="006D3BBD">
        <w:rPr>
          <w:rFonts w:ascii="宋体" w:eastAsia="宋体" w:hAnsi="宋体" w:cs="宋体" w:hint="eastAsia"/>
          <w:color w:val="000000"/>
          <w:sz w:val="26"/>
        </w:rPr>
        <w:t>年，早前致力于河北省内的城市住宅开发。</w:t>
      </w:r>
      <w:r w:rsidRPr="006D3BBD">
        <w:rPr>
          <w:rFonts w:ascii="宋体" w:eastAsia="宋体" w:hAnsi="宋体" w:cs="宋体"/>
          <w:color w:val="000000"/>
          <w:sz w:val="26"/>
        </w:rPr>
        <w:t>2002</w:t>
      </w:r>
      <w:r w:rsidRPr="006D3BBD">
        <w:rPr>
          <w:rFonts w:ascii="宋体" w:eastAsia="宋体" w:hAnsi="宋体" w:cs="宋体" w:hint="eastAsia"/>
          <w:color w:val="000000"/>
          <w:sz w:val="26"/>
        </w:rPr>
        <w:t>年</w:t>
      </w:r>
      <w:r w:rsidRPr="006D3BBD">
        <w:rPr>
          <w:rFonts w:ascii="宋体" w:eastAsia="宋体" w:hAnsi="宋体" w:cs="宋体" w:hint="eastAsia"/>
          <w:color w:val="000000"/>
          <w:sz w:val="26"/>
        </w:rPr>
        <w:t>起先</w:t>
      </w:r>
      <w:r w:rsidRPr="006D3BBD">
        <w:rPr>
          <w:rFonts w:ascii="宋体" w:eastAsia="宋体" w:hAnsi="宋体" w:cs="宋体" w:hint="eastAsia"/>
          <w:color w:val="000000"/>
          <w:sz w:val="26"/>
        </w:rPr>
        <w:t>运营固安工业园区后，</w:t>
      </w:r>
      <w:r w:rsidRPr="006D3BBD">
        <w:rPr>
          <w:rFonts w:ascii="宋体" w:eastAsia="宋体" w:hAnsi="宋体" w:cs="宋体" w:hint="eastAsia"/>
          <w:color w:val="000000"/>
          <w:sz w:val="26"/>
        </w:rPr>
        <w:t>慢慢</w:t>
      </w:r>
      <w:r w:rsidRPr="006D3BBD">
        <w:rPr>
          <w:rFonts w:ascii="宋体" w:eastAsia="宋体" w:hAnsi="宋体" w:cs="宋体" w:hint="eastAsia"/>
          <w:color w:val="000000"/>
          <w:sz w:val="26"/>
        </w:rPr>
        <w:t>向工业园区域运营开发商转型，目前已形成</w:t>
      </w:r>
      <w:r w:rsidRPr="006D3BBD">
        <w:rPr>
          <w:rFonts w:ascii="宋体" w:eastAsia="宋体" w:hAnsi="宋体" w:cs="宋体" w:hint="eastAsia"/>
          <w:color w:val="000000"/>
          <w:sz w:val="26"/>
        </w:rPr>
        <w:t>“</w:t>
      </w:r>
      <w:r w:rsidRPr="006D3BBD">
        <w:rPr>
          <w:rFonts w:ascii="宋体" w:eastAsia="宋体" w:hAnsi="宋体" w:cs="宋体" w:hint="eastAsia"/>
          <w:color w:val="000000"/>
          <w:sz w:val="26"/>
        </w:rPr>
        <w:t>园区</w:t>
      </w:r>
      <w:r w:rsidRPr="006D3BBD">
        <w:rPr>
          <w:rFonts w:ascii="宋体" w:eastAsia="宋体" w:hAnsi="宋体" w:cs="宋体"/>
          <w:color w:val="000000"/>
          <w:sz w:val="26"/>
        </w:rPr>
        <w:t>+</w:t>
      </w:r>
      <w:r w:rsidRPr="006D3BBD">
        <w:rPr>
          <w:rFonts w:ascii="宋体" w:eastAsia="宋体" w:hAnsi="宋体" w:cs="宋体" w:hint="eastAsia"/>
          <w:color w:val="000000"/>
          <w:sz w:val="26"/>
        </w:rPr>
        <w:t>地产</w:t>
      </w:r>
      <w:r w:rsidRPr="006D3BBD">
        <w:rPr>
          <w:rFonts w:ascii="宋体" w:eastAsia="宋体" w:hAnsi="宋体" w:cs="宋体" w:hint="eastAsia"/>
          <w:color w:val="000000"/>
          <w:sz w:val="26"/>
        </w:rPr>
        <w:t>”</w:t>
      </w:r>
      <w:r w:rsidRPr="006D3BBD">
        <w:rPr>
          <w:rFonts w:ascii="宋体" w:eastAsia="宋体" w:hAnsi="宋体" w:cs="宋体" w:hint="eastAsia"/>
          <w:color w:val="000000"/>
          <w:sz w:val="26"/>
        </w:rPr>
        <w:t>的运营模式。</w:t>
      </w:r>
    </w:p>
    <w:p w:rsidR="00300AC5" w:rsidRPr="006D3BBD" w:rsidP="006657F7">
      <w:pPr>
        <w:pStyle w:val="duanlue"/>
        <w:bidi w:val="0"/>
        <w:spacing w:line="360" w:lineRule="auto"/>
        <w:rPr>
          <w:rFonts w:ascii="微软雅黑" w:eastAsia="微软雅黑" w:hAnsi="微软雅黑" w:cs="Times New Roman"/>
          <w:color w:val="auto"/>
        </w:rPr>
      </w:pPr>
      <w:r w:rsidRPr="006D3BBD">
        <w:rPr>
          <w:rFonts w:ascii="宋体" w:eastAsia="宋体" w:hAnsi="宋体" w:cs="宋体" w:hint="eastAsia"/>
          <w:color w:val="000000"/>
          <w:sz w:val="26"/>
        </w:rPr>
        <w:t>在园区开发方面，该公司主要业务内容包括对开发区域进行前期规划、基础设施投资建设与管理、市政公用设施建设与管理、土地整理、产业发展服务（招商引资服务）、物业管理、厂房建设租赁等。</w:t>
      </w:r>
    </w:p>
    <w:p w:rsidR="00300AC5" w:rsidRPr="006D3BBD" w:rsidP="00293911">
      <w:pPr>
        <w:widowControl/>
        <w:bidi w:val="0"/>
        <w:spacing w:line="360" w:lineRule="auto"/>
        <w:ind w:firstLine="480"/>
        <w:rPr>
          <w:rFonts w:ascii="微软雅黑" w:eastAsia="微软雅黑" w:hAnsi="微软雅黑"/>
          <w:sz w:val="24"/>
          <w:szCs w:val="24"/>
        </w:rPr>
      </w:pPr>
      <w:r w:rsidRPr="006D3BBD">
        <w:rPr>
          <w:rFonts w:ascii="宋体" w:eastAsia="宋体" w:hAnsi="宋体" w:cs="宋体" w:hint="eastAsia"/>
          <w:color w:val="000000"/>
          <w:sz w:val="26"/>
          <w:szCs w:val="24"/>
        </w:rPr>
        <w:t>在房地产开发方面，该公司目前已经形成以孔雀城、大卫城、华夏系列等产品系列。</w:t>
      </w:r>
    </w:p>
    <w:p w:rsidR="00300AC5" w:rsidRPr="006D3BBD" w:rsidP="00202111">
      <w:pPr>
        <w:widowControl/>
        <w:bidi w:val="0"/>
        <w:spacing w:before="156" w:after="156" w:line="360" w:lineRule="auto"/>
        <w:rPr>
          <w:rFonts w:ascii="微软雅黑" w:eastAsia="微软雅黑" w:hAnsi="微软雅黑"/>
          <w:b/>
          <w:sz w:val="24"/>
          <w:szCs w:val="24"/>
        </w:rPr>
      </w:pPr>
      <w:r w:rsidRPr="006D3BBD">
        <w:rPr>
          <w:rFonts w:ascii="宋体" w:eastAsia="宋体" w:hAnsi="宋体" w:cs="宋体" w:hint="eastAsia"/>
          <w:b/>
          <w:color w:val="000000"/>
          <w:sz w:val="26"/>
          <w:szCs w:val="24"/>
        </w:rPr>
        <w:t>（二）公司业绩呈现爆发式增长</w:t>
      </w:r>
    </w:p>
    <w:p w:rsidR="00300AC5" w:rsidRPr="006D3BBD" w:rsidP="00907DDF">
      <w:pPr>
        <w:widowControl/>
        <w:bidi w:val="0"/>
        <w:spacing w:before="100" w:beforeAutospacing="1" w:after="100" w:afterAutospacing="1" w:line="390" w:lineRule="atLeast"/>
        <w:ind w:firstLine="480"/>
        <w:jc w:val="left"/>
        <w:rPr>
          <w:rFonts w:ascii="微软雅黑" w:eastAsia="微软雅黑" w:hAnsi="微软雅黑"/>
          <w:kern w:val="0"/>
          <w:sz w:val="24"/>
          <w:szCs w:val="24"/>
        </w:rPr>
      </w:pPr>
      <w:r w:rsidRPr="006D3BBD">
        <w:rPr>
          <w:rFonts w:ascii="宋体" w:eastAsia="宋体" w:hAnsi="宋体" w:cs="宋体"/>
          <w:color w:val="000000"/>
          <w:kern w:val="0"/>
          <w:sz w:val="26"/>
          <w:szCs w:val="24"/>
        </w:rPr>
        <w:t>2012</w:t>
      </w:r>
      <w:r w:rsidRPr="006D3BBD">
        <w:rPr>
          <w:rFonts w:ascii="宋体" w:eastAsia="宋体" w:hAnsi="宋体" w:cs="宋体" w:hint="eastAsia"/>
          <w:color w:val="000000"/>
          <w:kern w:val="0"/>
          <w:sz w:val="26"/>
          <w:szCs w:val="24"/>
        </w:rPr>
        <w:t>年，华夏</w:t>
      </w:r>
      <w:r w:rsidRPr="006D3BBD">
        <w:rPr>
          <w:rFonts w:ascii="宋体" w:eastAsia="宋体" w:hAnsi="宋体" w:cs="宋体" w:hint="eastAsia"/>
          <w:color w:val="000000"/>
          <w:kern w:val="0"/>
          <w:sz w:val="26"/>
          <w:szCs w:val="24"/>
        </w:rPr>
        <w:t>华蜜</w:t>
      </w:r>
      <w:r w:rsidRPr="006D3BBD">
        <w:rPr>
          <w:rFonts w:ascii="宋体" w:eastAsia="宋体" w:hAnsi="宋体" w:cs="宋体" w:hint="eastAsia"/>
          <w:color w:val="000000"/>
          <w:kern w:val="0"/>
          <w:sz w:val="26"/>
          <w:szCs w:val="24"/>
        </w:rPr>
        <w:t>全年完成销售额</w:t>
      </w:r>
      <w:r w:rsidRPr="006D3BBD">
        <w:rPr>
          <w:rFonts w:ascii="宋体" w:eastAsia="宋体" w:hAnsi="宋体" w:cs="宋体"/>
          <w:color w:val="000000"/>
          <w:kern w:val="0"/>
          <w:sz w:val="26"/>
          <w:szCs w:val="24"/>
        </w:rPr>
        <w:t>211.35</w:t>
      </w:r>
      <w:r w:rsidRPr="006D3BBD">
        <w:rPr>
          <w:rFonts w:ascii="宋体" w:eastAsia="宋体" w:hAnsi="宋体" w:cs="宋体" w:hint="eastAsia"/>
          <w:color w:val="000000"/>
          <w:kern w:val="0"/>
          <w:sz w:val="26"/>
          <w:szCs w:val="24"/>
        </w:rPr>
        <w:t>亿元，同比增长</w:t>
      </w:r>
      <w:r w:rsidRPr="006D3BBD">
        <w:rPr>
          <w:rFonts w:ascii="宋体" w:eastAsia="宋体" w:hAnsi="宋体" w:cs="宋体"/>
          <w:color w:val="000000"/>
          <w:kern w:val="0"/>
          <w:sz w:val="26"/>
          <w:szCs w:val="24"/>
        </w:rPr>
        <w:t>28.09%</w:t>
      </w:r>
      <w:r w:rsidRPr="006D3BBD">
        <w:rPr>
          <w:rFonts w:ascii="宋体" w:eastAsia="宋体" w:hAnsi="宋体" w:cs="宋体" w:hint="eastAsia"/>
          <w:color w:val="000000"/>
          <w:kern w:val="0"/>
          <w:sz w:val="26"/>
          <w:szCs w:val="24"/>
        </w:rPr>
        <w:t>。公司实现营业收入</w:t>
      </w:r>
      <w:r w:rsidRPr="006D3BBD">
        <w:rPr>
          <w:rFonts w:ascii="宋体" w:eastAsia="宋体" w:hAnsi="宋体" w:cs="宋体"/>
          <w:color w:val="000000"/>
          <w:kern w:val="0"/>
          <w:sz w:val="26"/>
          <w:szCs w:val="24"/>
        </w:rPr>
        <w:t>120.77</w:t>
      </w:r>
      <w:r w:rsidRPr="006D3BBD">
        <w:rPr>
          <w:rFonts w:ascii="宋体" w:eastAsia="宋体" w:hAnsi="宋体" w:cs="宋体" w:hint="eastAsia"/>
          <w:color w:val="000000"/>
          <w:kern w:val="0"/>
          <w:sz w:val="26"/>
          <w:szCs w:val="24"/>
        </w:rPr>
        <w:t>亿元，同比增长</w:t>
      </w:r>
      <w:r w:rsidRPr="006D3BBD">
        <w:rPr>
          <w:rFonts w:ascii="宋体" w:eastAsia="宋体" w:hAnsi="宋体" w:cs="宋体"/>
          <w:color w:val="000000"/>
          <w:kern w:val="0"/>
          <w:sz w:val="26"/>
          <w:szCs w:val="24"/>
        </w:rPr>
        <w:t>55.03%</w:t>
      </w:r>
      <w:r w:rsidRPr="006D3BBD">
        <w:rPr>
          <w:rFonts w:ascii="宋体" w:eastAsia="宋体" w:hAnsi="宋体" w:cs="宋体" w:hint="eastAsia"/>
          <w:color w:val="000000"/>
          <w:kern w:val="0"/>
          <w:sz w:val="26"/>
          <w:szCs w:val="24"/>
        </w:rPr>
        <w:t>；实现营业利润</w:t>
      </w:r>
      <w:r w:rsidRPr="006D3BBD">
        <w:rPr>
          <w:rFonts w:ascii="宋体" w:eastAsia="宋体" w:hAnsi="宋体" w:cs="宋体"/>
          <w:color w:val="000000"/>
          <w:kern w:val="0"/>
          <w:sz w:val="26"/>
          <w:szCs w:val="24"/>
        </w:rPr>
        <w:t>25.18</w:t>
      </w:r>
      <w:r w:rsidRPr="006D3BBD">
        <w:rPr>
          <w:rFonts w:ascii="宋体" w:eastAsia="宋体" w:hAnsi="宋体" w:cs="宋体" w:hint="eastAsia"/>
          <w:color w:val="000000"/>
          <w:kern w:val="0"/>
          <w:sz w:val="26"/>
          <w:szCs w:val="24"/>
        </w:rPr>
        <w:t>亿元，同比增长</w:t>
      </w:r>
      <w:r w:rsidRPr="006D3BBD">
        <w:rPr>
          <w:rFonts w:ascii="宋体" w:eastAsia="宋体" w:hAnsi="宋体" w:cs="宋体"/>
          <w:color w:val="000000"/>
          <w:kern w:val="0"/>
          <w:sz w:val="26"/>
          <w:szCs w:val="24"/>
        </w:rPr>
        <w:t>43.95%</w:t>
      </w:r>
      <w:r w:rsidRPr="006D3BBD">
        <w:rPr>
          <w:rFonts w:ascii="宋体" w:eastAsia="宋体" w:hAnsi="宋体" w:cs="宋体" w:hint="eastAsia"/>
          <w:color w:val="000000"/>
          <w:kern w:val="0"/>
          <w:sz w:val="26"/>
          <w:szCs w:val="24"/>
        </w:rPr>
        <w:t>；实现归属于母公司</w:t>
      </w:r>
      <w:r w:rsidRPr="006D3BBD">
        <w:rPr>
          <w:rFonts w:ascii="宋体" w:eastAsia="宋体" w:hAnsi="宋体" w:cs="宋体" w:hint="eastAsia"/>
          <w:color w:val="000000"/>
          <w:kern w:val="0"/>
          <w:sz w:val="26"/>
          <w:szCs w:val="24"/>
        </w:rPr>
        <w:t>全部</w:t>
      </w:r>
      <w:r w:rsidRPr="006D3BBD">
        <w:rPr>
          <w:rFonts w:ascii="宋体" w:eastAsia="宋体" w:hAnsi="宋体" w:cs="宋体" w:hint="eastAsia"/>
          <w:color w:val="000000"/>
          <w:kern w:val="0"/>
          <w:sz w:val="26"/>
          <w:szCs w:val="24"/>
        </w:rPr>
        <w:t>者的净利润</w:t>
      </w:r>
      <w:r w:rsidRPr="006D3BBD">
        <w:rPr>
          <w:rFonts w:ascii="宋体" w:eastAsia="宋体" w:hAnsi="宋体" w:cs="宋体"/>
          <w:color w:val="000000"/>
          <w:kern w:val="0"/>
          <w:sz w:val="26"/>
          <w:szCs w:val="24"/>
        </w:rPr>
        <w:t>17.83</w:t>
      </w:r>
      <w:r w:rsidRPr="006D3BBD">
        <w:rPr>
          <w:rFonts w:ascii="宋体" w:eastAsia="宋体" w:hAnsi="宋体" w:cs="宋体" w:hint="eastAsia"/>
          <w:color w:val="000000"/>
          <w:kern w:val="0"/>
          <w:sz w:val="26"/>
          <w:szCs w:val="24"/>
        </w:rPr>
        <w:t>亿元，同比增长</w:t>
      </w:r>
      <w:r w:rsidRPr="006D3BBD">
        <w:rPr>
          <w:rFonts w:ascii="宋体" w:eastAsia="宋体" w:hAnsi="宋体" w:cs="宋体"/>
          <w:color w:val="000000"/>
          <w:kern w:val="0"/>
          <w:sz w:val="26"/>
          <w:szCs w:val="24"/>
        </w:rPr>
        <w:t>31.34%</w:t>
      </w:r>
      <w:r w:rsidRPr="006D3BBD">
        <w:rPr>
          <w:rFonts w:ascii="宋体" w:eastAsia="宋体" w:hAnsi="宋体" w:cs="宋体" w:hint="eastAsia"/>
          <w:color w:val="000000"/>
          <w:kern w:val="0"/>
          <w:sz w:val="26"/>
          <w:szCs w:val="24"/>
        </w:rPr>
        <w:t>。</w:t>
      </w:r>
      <w:r w:rsidRPr="006D3BBD">
        <w:rPr>
          <w:rFonts w:ascii="宋体" w:eastAsia="宋体" w:hAnsi="宋体" w:cs="宋体"/>
          <w:color w:val="000000"/>
          <w:kern w:val="0"/>
          <w:sz w:val="26"/>
          <w:szCs w:val="24"/>
        </w:rPr>
        <w:t>2012</w:t>
      </w:r>
      <w:r w:rsidRPr="006D3BBD">
        <w:rPr>
          <w:rFonts w:ascii="宋体" w:eastAsia="宋体" w:hAnsi="宋体" w:cs="宋体" w:hint="eastAsia"/>
          <w:color w:val="000000"/>
          <w:kern w:val="0"/>
          <w:sz w:val="26"/>
          <w:szCs w:val="24"/>
        </w:rPr>
        <w:t>年度公司加权平均净资产收益率为</w:t>
      </w:r>
      <w:r w:rsidRPr="006D3BBD">
        <w:rPr>
          <w:rFonts w:ascii="宋体" w:eastAsia="宋体" w:hAnsi="宋体" w:cs="宋体"/>
          <w:color w:val="000000"/>
          <w:kern w:val="0"/>
          <w:sz w:val="26"/>
          <w:szCs w:val="24"/>
        </w:rPr>
        <w:t>51.42%</w:t>
      </w:r>
      <w:r w:rsidRPr="006D3BBD">
        <w:rPr>
          <w:rFonts w:ascii="宋体" w:eastAsia="宋体" w:hAnsi="宋体" w:cs="宋体" w:hint="eastAsia"/>
          <w:color w:val="000000"/>
          <w:kern w:val="0"/>
          <w:sz w:val="26"/>
          <w:szCs w:val="24"/>
        </w:rPr>
        <w:t>，处于行业较高水平。截至</w:t>
      </w:r>
      <w:r w:rsidRPr="006D3BBD">
        <w:rPr>
          <w:rFonts w:ascii="宋体" w:eastAsia="宋体" w:hAnsi="宋体" w:cs="宋体"/>
          <w:color w:val="000000"/>
          <w:kern w:val="0"/>
          <w:sz w:val="26"/>
          <w:szCs w:val="24"/>
        </w:rPr>
        <w:t>2012</w:t>
      </w:r>
      <w:r w:rsidRPr="006D3BBD">
        <w:rPr>
          <w:rFonts w:ascii="宋体" w:eastAsia="宋体" w:hAnsi="宋体" w:cs="宋体" w:hint="eastAsia"/>
          <w:color w:val="000000"/>
          <w:kern w:val="0"/>
          <w:sz w:val="26"/>
          <w:szCs w:val="24"/>
        </w:rPr>
        <w:t>年末，公司货币资金余额</w:t>
      </w:r>
      <w:r w:rsidRPr="006D3BBD">
        <w:rPr>
          <w:rFonts w:ascii="宋体" w:eastAsia="宋体" w:hAnsi="宋体" w:cs="宋体"/>
          <w:color w:val="000000"/>
          <w:kern w:val="0"/>
          <w:sz w:val="26"/>
          <w:szCs w:val="24"/>
        </w:rPr>
        <w:t>55.56</w:t>
      </w:r>
      <w:r w:rsidRPr="006D3BBD">
        <w:rPr>
          <w:rFonts w:ascii="宋体" w:eastAsia="宋体" w:hAnsi="宋体" w:cs="宋体" w:hint="eastAsia"/>
          <w:color w:val="000000"/>
          <w:kern w:val="0"/>
          <w:sz w:val="26"/>
          <w:szCs w:val="24"/>
        </w:rPr>
        <w:t>亿元，公司持续实现经营活动净现金流为正。</w:t>
      </w:r>
    </w:p>
    <w:p w:rsidR="00300AC5" w:rsidRPr="006D3BBD" w:rsidP="00907DDF">
      <w:pPr>
        <w:widowControl/>
        <w:bidi w:val="0"/>
        <w:spacing w:before="100" w:beforeAutospacing="1" w:after="100" w:afterAutospacing="1" w:line="390" w:lineRule="atLeast"/>
        <w:ind w:firstLine="480"/>
        <w:jc w:val="left"/>
        <w:rPr>
          <w:rFonts w:ascii="微软雅黑" w:eastAsia="微软雅黑" w:hAnsi="微软雅黑"/>
          <w:kern w:val="0"/>
          <w:sz w:val="24"/>
          <w:szCs w:val="24"/>
        </w:rPr>
        <w:sectPr w:rsidSect="00960489">
          <w:pgSz w:w="11906" w:h="16838"/>
          <w:pgMar w:top="1440" w:right="1416" w:bottom="1440" w:left="1800" w:header="851" w:footer="992" w:gutter="0"/>
          <w:pgNumType w:start="1"/>
          <w:cols w:space="425"/>
          <w:docGrid w:type="lines" w:linePitch="312"/>
        </w:sectPr>
      </w:pPr>
      <w:r w:rsidRPr="006D3BBD">
        <w:rPr>
          <w:rFonts w:ascii="宋体" w:eastAsia="宋体" w:hAnsi="宋体" w:cs="宋体" w:hint="eastAsia"/>
          <w:color w:val="000000"/>
          <w:kern w:val="0"/>
          <w:sz w:val="26"/>
          <w:szCs w:val="24"/>
        </w:rPr>
        <w:t>公司在产业促进方面的收入也实现了较大提升，</w:t>
      </w:r>
      <w:r w:rsidRPr="006D3BBD">
        <w:rPr>
          <w:rFonts w:ascii="宋体" w:eastAsia="宋体" w:hAnsi="宋体" w:cs="宋体"/>
          <w:color w:val="000000"/>
          <w:kern w:val="0"/>
          <w:sz w:val="26"/>
          <w:szCs w:val="24"/>
        </w:rPr>
        <w:t>2012</w:t>
      </w:r>
      <w:r w:rsidRPr="006D3BBD">
        <w:rPr>
          <w:rFonts w:ascii="宋体" w:eastAsia="宋体" w:hAnsi="宋体" w:cs="宋体" w:hint="eastAsia"/>
          <w:color w:val="000000"/>
          <w:kern w:val="0"/>
          <w:sz w:val="26"/>
          <w:szCs w:val="24"/>
        </w:rPr>
        <w:t>年，公司主营业务收入</w:t>
      </w:r>
      <w:r w:rsidRPr="006D3BBD">
        <w:rPr>
          <w:rFonts w:ascii="宋体" w:eastAsia="宋体" w:hAnsi="宋体" w:cs="宋体"/>
          <w:color w:val="000000"/>
          <w:kern w:val="0"/>
          <w:sz w:val="26"/>
          <w:szCs w:val="24"/>
        </w:rPr>
        <w:t>120.13</w:t>
      </w:r>
      <w:r w:rsidRPr="006D3BBD">
        <w:rPr>
          <w:rFonts w:ascii="宋体" w:eastAsia="宋体" w:hAnsi="宋体" w:cs="宋体" w:hint="eastAsia"/>
          <w:color w:val="000000"/>
          <w:kern w:val="0"/>
          <w:sz w:val="26"/>
          <w:szCs w:val="24"/>
        </w:rPr>
        <w:t>亿，其中产业发展服务收入为</w:t>
      </w:r>
      <w:r w:rsidRPr="006D3BBD">
        <w:rPr>
          <w:rFonts w:ascii="宋体" w:eastAsia="宋体" w:hAnsi="宋体" w:cs="宋体"/>
          <w:color w:val="000000"/>
          <w:kern w:val="0"/>
          <w:sz w:val="26"/>
          <w:szCs w:val="24"/>
        </w:rPr>
        <w:t>15.46</w:t>
      </w:r>
    </w:p>
    <w:p w:rsidR="00300AC5" w:rsidRPr="006D3BBD" w:rsidP="00907DDF">
      <w:pPr>
        <w:widowControl/>
        <w:bidi w:val="0"/>
        <w:spacing w:before="100" w:beforeAutospacing="1" w:after="100" w:afterAutospacing="1" w:line="390" w:lineRule="atLeast"/>
        <w:ind w:firstLine="480"/>
        <w:jc w:val="left"/>
        <w:rPr>
          <w:rFonts w:ascii="微软雅黑" w:eastAsia="微软雅黑" w:hAnsi="微软雅黑"/>
          <w:kern w:val="0"/>
          <w:sz w:val="24"/>
          <w:szCs w:val="24"/>
        </w:rPr>
      </w:pPr>
      <w:r w:rsidRPr="006D3BBD">
        <w:rPr>
          <w:rFonts w:ascii="宋体" w:eastAsia="宋体" w:hAnsi="宋体" w:cs="宋体" w:hint="eastAsia"/>
          <w:color w:val="000000"/>
          <w:kern w:val="0"/>
          <w:sz w:val="26"/>
          <w:szCs w:val="24"/>
        </w:rPr>
        <w:t>亿，加上与之相关的业务包括土地整理、园区建设、综合服务等的收入达到</w:t>
      </w:r>
      <w:r w:rsidRPr="006D3BBD">
        <w:rPr>
          <w:rFonts w:ascii="宋体" w:eastAsia="宋体" w:hAnsi="宋体" w:cs="宋体"/>
          <w:color w:val="000000"/>
          <w:kern w:val="0"/>
          <w:sz w:val="26"/>
          <w:szCs w:val="24"/>
        </w:rPr>
        <w:t>36.76</w:t>
      </w:r>
      <w:r w:rsidRPr="006D3BBD">
        <w:rPr>
          <w:rFonts w:ascii="宋体" w:eastAsia="宋体" w:hAnsi="宋体" w:cs="宋体" w:hint="eastAsia"/>
          <w:color w:val="000000"/>
          <w:kern w:val="0"/>
          <w:sz w:val="26"/>
          <w:szCs w:val="24"/>
        </w:rPr>
        <w:t>亿，占主营业务收入超过了三成。</w:t>
      </w:r>
    </w:p>
    <w:p w:rsidR="00300AC5" w:rsidRPr="006D3BBD" w:rsidP="00907DDF">
      <w:pPr>
        <w:widowControl/>
        <w:bidi w:val="0"/>
        <w:spacing w:before="100" w:beforeAutospacing="1" w:after="100" w:afterAutospacing="1" w:line="390" w:lineRule="atLeast"/>
        <w:ind w:firstLine="480"/>
        <w:jc w:val="left"/>
        <w:rPr>
          <w:rFonts w:ascii="微软雅黑" w:eastAsia="微软雅黑" w:hAnsi="微软雅黑"/>
          <w:kern w:val="0"/>
          <w:sz w:val="24"/>
          <w:szCs w:val="24"/>
        </w:rPr>
      </w:pPr>
      <w:r w:rsidRPr="006D3BBD">
        <w:rPr>
          <w:rFonts w:ascii="宋体" w:eastAsia="宋体" w:hAnsi="宋体" w:cs="宋体"/>
          <w:color w:val="000000"/>
          <w:kern w:val="0"/>
          <w:sz w:val="26"/>
          <w:szCs w:val="24"/>
        </w:rPr>
        <w:t>2012</w:t>
      </w:r>
      <w:r w:rsidRPr="006D3BBD">
        <w:rPr>
          <w:rFonts w:ascii="宋体" w:eastAsia="宋体" w:hAnsi="宋体" w:cs="宋体" w:hint="eastAsia"/>
          <w:color w:val="000000"/>
          <w:kern w:val="0"/>
          <w:sz w:val="26"/>
          <w:szCs w:val="24"/>
        </w:rPr>
        <w:t>年，华夏</w:t>
      </w:r>
      <w:r w:rsidRPr="006D3BBD">
        <w:rPr>
          <w:rFonts w:ascii="宋体" w:eastAsia="宋体" w:hAnsi="宋体" w:cs="宋体" w:hint="eastAsia"/>
          <w:color w:val="000000"/>
          <w:kern w:val="0"/>
          <w:sz w:val="26"/>
          <w:szCs w:val="24"/>
        </w:rPr>
        <w:t>华蜜</w:t>
      </w:r>
      <w:r w:rsidRPr="006D3BBD">
        <w:rPr>
          <w:rFonts w:ascii="宋体" w:eastAsia="宋体" w:hAnsi="宋体" w:cs="宋体" w:hint="eastAsia"/>
          <w:color w:val="000000"/>
          <w:kern w:val="0"/>
          <w:sz w:val="26"/>
          <w:szCs w:val="24"/>
        </w:rPr>
        <w:t>业务布局</w:t>
      </w:r>
      <w:r w:rsidRPr="006D3BBD">
        <w:rPr>
          <w:rFonts w:ascii="宋体" w:eastAsia="宋体" w:hAnsi="宋体" w:cs="宋体" w:hint="eastAsia"/>
          <w:color w:val="000000"/>
          <w:kern w:val="0"/>
          <w:sz w:val="26"/>
          <w:szCs w:val="24"/>
        </w:rPr>
        <w:t>快速</w:t>
      </w:r>
      <w:r w:rsidRPr="006D3BBD">
        <w:rPr>
          <w:rFonts w:ascii="宋体" w:eastAsia="宋体" w:hAnsi="宋体" w:cs="宋体" w:hint="eastAsia"/>
          <w:color w:val="000000"/>
          <w:kern w:val="0"/>
          <w:sz w:val="26"/>
          <w:szCs w:val="24"/>
        </w:rPr>
        <w:t>扩张。截至报告期末，公司新拓展园区</w:t>
      </w:r>
      <w:r w:rsidRPr="006D3BBD">
        <w:rPr>
          <w:rFonts w:ascii="宋体" w:eastAsia="宋体" w:hAnsi="宋体" w:cs="宋体"/>
          <w:color w:val="000000"/>
          <w:kern w:val="0"/>
          <w:sz w:val="26"/>
          <w:szCs w:val="24"/>
        </w:rPr>
        <w:t>5</w:t>
      </w:r>
      <w:r w:rsidRPr="006D3BBD">
        <w:rPr>
          <w:rFonts w:ascii="宋体" w:eastAsia="宋体" w:hAnsi="宋体" w:cs="宋体" w:hint="eastAsia"/>
          <w:color w:val="000000"/>
          <w:kern w:val="0"/>
          <w:sz w:val="26"/>
          <w:szCs w:val="24"/>
        </w:rPr>
        <w:t>个，</w:t>
      </w:r>
      <w:r w:rsidRPr="006D3BBD">
        <w:rPr>
          <w:rFonts w:ascii="宋体" w:eastAsia="宋体" w:hAnsi="宋体" w:cs="宋体" w:hint="eastAsia"/>
          <w:color w:val="000000"/>
          <w:kern w:val="0"/>
          <w:sz w:val="26"/>
          <w:szCs w:val="24"/>
        </w:rPr>
        <w:t>成功</w:t>
      </w:r>
      <w:r w:rsidRPr="006D3BBD">
        <w:rPr>
          <w:rFonts w:ascii="宋体" w:eastAsia="宋体" w:hAnsi="宋体" w:cs="宋体" w:hint="eastAsia"/>
          <w:color w:val="000000"/>
          <w:kern w:val="0"/>
          <w:sz w:val="26"/>
          <w:szCs w:val="24"/>
        </w:rPr>
        <w:t>实现了环北京、环沈阳、环上海三大区域布局。新拓展的</w:t>
      </w:r>
      <w:r w:rsidRPr="006D3BBD">
        <w:rPr>
          <w:rFonts w:ascii="宋体" w:eastAsia="宋体" w:hAnsi="宋体" w:cs="宋体"/>
          <w:color w:val="000000"/>
          <w:kern w:val="0"/>
          <w:sz w:val="26"/>
          <w:szCs w:val="24"/>
        </w:rPr>
        <w:t>5</w:t>
      </w:r>
      <w:r w:rsidRPr="006D3BBD">
        <w:rPr>
          <w:rFonts w:ascii="宋体" w:eastAsia="宋体" w:hAnsi="宋体" w:cs="宋体" w:hint="eastAsia"/>
          <w:color w:val="000000"/>
          <w:kern w:val="0"/>
          <w:sz w:val="26"/>
          <w:szCs w:val="24"/>
        </w:rPr>
        <w:t>个园区分别位于河北香河、辽宁沈阳苏家屯、江苏无锡、江苏镇江和河北固安新兴产业示范区。截至</w:t>
      </w:r>
      <w:r w:rsidRPr="006D3BBD">
        <w:rPr>
          <w:rFonts w:ascii="宋体" w:eastAsia="宋体" w:hAnsi="宋体" w:cs="宋体"/>
          <w:color w:val="000000"/>
          <w:kern w:val="0"/>
          <w:sz w:val="26"/>
          <w:szCs w:val="24"/>
        </w:rPr>
        <w:t>2012</w:t>
      </w:r>
      <w:r w:rsidRPr="006D3BBD">
        <w:rPr>
          <w:rFonts w:ascii="宋体" w:eastAsia="宋体" w:hAnsi="宋体" w:cs="宋体" w:hint="eastAsia"/>
          <w:color w:val="000000"/>
          <w:kern w:val="0"/>
          <w:sz w:val="26"/>
          <w:szCs w:val="24"/>
        </w:rPr>
        <w:t>年底，公司投资开发建设的产业新城和城市产业综合体达到</w:t>
      </w:r>
      <w:r w:rsidRPr="006D3BBD">
        <w:rPr>
          <w:rFonts w:ascii="宋体" w:eastAsia="宋体" w:hAnsi="宋体" w:cs="宋体"/>
          <w:color w:val="000000"/>
          <w:kern w:val="0"/>
          <w:sz w:val="26"/>
          <w:szCs w:val="24"/>
        </w:rPr>
        <w:t>15</w:t>
      </w:r>
      <w:r w:rsidRPr="006D3BBD">
        <w:rPr>
          <w:rFonts w:ascii="宋体" w:eastAsia="宋体" w:hAnsi="宋体" w:cs="宋体" w:hint="eastAsia"/>
          <w:color w:val="000000"/>
          <w:kern w:val="0"/>
          <w:sz w:val="26"/>
          <w:szCs w:val="24"/>
        </w:rPr>
        <w:t>个。</w:t>
      </w:r>
    </w:p>
    <w:p w:rsidR="00300AC5" w:rsidRPr="006D3BBD" w:rsidP="00907DDF">
      <w:pPr>
        <w:widowControl/>
        <w:bidi w:val="0"/>
        <w:spacing w:before="100" w:beforeAutospacing="1" w:after="100" w:afterAutospacing="1" w:line="390" w:lineRule="atLeast"/>
        <w:ind w:firstLine="480"/>
        <w:jc w:val="left"/>
        <w:rPr>
          <w:rFonts w:ascii="微软雅黑" w:eastAsia="微软雅黑" w:hAnsi="微软雅黑"/>
          <w:kern w:val="0"/>
          <w:sz w:val="24"/>
          <w:szCs w:val="24"/>
        </w:rPr>
      </w:pPr>
      <w:r w:rsidRPr="006D3BBD">
        <w:rPr>
          <w:rFonts w:ascii="宋体" w:eastAsia="宋体" w:hAnsi="宋体" w:cs="宋体"/>
          <w:color w:val="000000"/>
          <w:kern w:val="0"/>
          <w:sz w:val="26"/>
          <w:szCs w:val="24"/>
        </w:rPr>
        <w:t>2012</w:t>
      </w:r>
      <w:r w:rsidRPr="006D3BBD">
        <w:rPr>
          <w:rFonts w:ascii="宋体" w:eastAsia="宋体" w:hAnsi="宋体" w:cs="宋体" w:hint="eastAsia"/>
          <w:color w:val="000000"/>
          <w:kern w:val="0"/>
          <w:sz w:val="26"/>
          <w:szCs w:val="24"/>
        </w:rPr>
        <w:t>年，公司投资运营的园区新增签约入园企业</w:t>
      </w:r>
      <w:r w:rsidRPr="006D3BBD">
        <w:rPr>
          <w:rFonts w:ascii="宋体" w:eastAsia="宋体" w:hAnsi="宋体" w:cs="宋体"/>
          <w:color w:val="000000"/>
          <w:kern w:val="0"/>
          <w:sz w:val="26"/>
          <w:szCs w:val="24"/>
        </w:rPr>
        <w:t>45</w:t>
      </w:r>
      <w:r w:rsidRPr="006D3BBD">
        <w:rPr>
          <w:rFonts w:ascii="宋体" w:eastAsia="宋体" w:hAnsi="宋体" w:cs="宋体" w:hint="eastAsia"/>
          <w:color w:val="000000"/>
          <w:kern w:val="0"/>
          <w:sz w:val="26"/>
          <w:szCs w:val="24"/>
        </w:rPr>
        <w:t>家，新增签约投资额</w:t>
      </w:r>
      <w:r w:rsidRPr="006D3BBD">
        <w:rPr>
          <w:rFonts w:ascii="宋体" w:eastAsia="宋体" w:hAnsi="宋体" w:cs="宋体"/>
          <w:color w:val="000000"/>
          <w:kern w:val="0"/>
          <w:sz w:val="26"/>
          <w:szCs w:val="24"/>
        </w:rPr>
        <w:t>279</w:t>
      </w:r>
      <w:r w:rsidRPr="006D3BBD">
        <w:rPr>
          <w:rFonts w:ascii="宋体" w:eastAsia="宋体" w:hAnsi="宋体" w:cs="宋体" w:hint="eastAsia"/>
          <w:color w:val="000000"/>
          <w:kern w:val="0"/>
          <w:sz w:val="26"/>
          <w:szCs w:val="24"/>
        </w:rPr>
        <w:t>亿元，较之去年的</w:t>
      </w:r>
      <w:r w:rsidRPr="006D3BBD">
        <w:rPr>
          <w:rFonts w:ascii="宋体" w:eastAsia="宋体" w:hAnsi="宋体" w:cs="宋体"/>
          <w:color w:val="000000"/>
          <w:kern w:val="0"/>
          <w:sz w:val="26"/>
          <w:szCs w:val="24"/>
        </w:rPr>
        <w:t>122</w:t>
      </w:r>
      <w:r w:rsidRPr="006D3BBD">
        <w:rPr>
          <w:rFonts w:ascii="宋体" w:eastAsia="宋体" w:hAnsi="宋体" w:cs="宋体" w:hint="eastAsia"/>
          <w:color w:val="000000"/>
          <w:kern w:val="0"/>
          <w:sz w:val="26"/>
          <w:szCs w:val="24"/>
        </w:rPr>
        <w:t>亿，增长</w:t>
      </w:r>
      <w:r w:rsidRPr="006D3BBD">
        <w:rPr>
          <w:rFonts w:ascii="宋体" w:eastAsia="宋体" w:hAnsi="宋体" w:cs="宋体"/>
          <w:color w:val="000000"/>
          <w:kern w:val="0"/>
          <w:sz w:val="26"/>
          <w:szCs w:val="24"/>
        </w:rPr>
        <w:t>128.8%</w:t>
      </w:r>
      <w:r w:rsidRPr="006D3BBD">
        <w:rPr>
          <w:rFonts w:ascii="宋体" w:eastAsia="宋体" w:hAnsi="宋体" w:cs="宋体" w:hint="eastAsia"/>
          <w:color w:val="000000"/>
          <w:kern w:val="0"/>
          <w:sz w:val="26"/>
          <w:szCs w:val="24"/>
        </w:rPr>
        <w:t>。之所以有这样的增长，是因为</w:t>
      </w:r>
      <w:r w:rsidRPr="006D3BBD">
        <w:rPr>
          <w:rFonts w:ascii="宋体" w:eastAsia="宋体" w:hAnsi="宋体" w:cs="宋体"/>
          <w:color w:val="000000"/>
          <w:kern w:val="0"/>
          <w:sz w:val="26"/>
          <w:szCs w:val="24"/>
        </w:rPr>
        <w:t>2012</w:t>
      </w:r>
      <w:r w:rsidRPr="006D3BBD">
        <w:rPr>
          <w:rFonts w:ascii="宋体" w:eastAsia="宋体" w:hAnsi="宋体" w:cs="宋体" w:hint="eastAsia"/>
          <w:color w:val="000000"/>
          <w:kern w:val="0"/>
          <w:sz w:val="26"/>
          <w:szCs w:val="24"/>
        </w:rPr>
        <w:t>年以来，公司贯彻实施招商引资大项目战略，全面推动园区的产业升级和大力提升招商引资项目规模、质量。园区引入中联航、航天科技集团等重量级合作伙伴，招商模式实现新的突破，也为</w:t>
      </w:r>
      <w:r w:rsidRPr="006D3BBD">
        <w:rPr>
          <w:rFonts w:ascii="宋体" w:eastAsia="宋体" w:hAnsi="宋体" w:cs="宋体"/>
          <w:color w:val="000000"/>
          <w:kern w:val="0"/>
          <w:sz w:val="26"/>
          <w:szCs w:val="24"/>
        </w:rPr>
        <w:t>2014—2015</w:t>
      </w:r>
      <w:r w:rsidRPr="006D3BBD">
        <w:rPr>
          <w:rFonts w:ascii="宋体" w:eastAsia="宋体" w:hAnsi="宋体" w:cs="宋体" w:hint="eastAsia"/>
          <w:color w:val="000000"/>
          <w:kern w:val="0"/>
          <w:sz w:val="26"/>
          <w:szCs w:val="24"/>
        </w:rPr>
        <w:t>年产业发展服务收入增长奠定了坚实的基础。</w:t>
      </w:r>
    </w:p>
    <w:p w:rsidR="00300AC5" w:rsidRPr="006D3BBD" w:rsidP="00157F88">
      <w:pPr>
        <w:widowControl/>
        <w:bidi w:val="0"/>
        <w:spacing w:line="360" w:lineRule="auto"/>
        <w:jc w:val="left"/>
        <w:rPr>
          <w:rFonts w:ascii="微软雅黑" w:eastAsia="微软雅黑" w:hAnsi="微软雅黑" w:cs="宋体"/>
          <w:kern w:val="0"/>
          <w:sz w:val="24"/>
          <w:szCs w:val="24"/>
          <w:u w:val="single"/>
        </w:rPr>
      </w:pPr>
      <w:r w:rsidRPr="006D3BBD">
        <w:rPr>
          <w:rFonts w:ascii="宋体" w:eastAsia="宋体" w:hAnsi="宋体" w:cs="宋体" w:hint="eastAsia"/>
          <w:color w:val="000000"/>
          <w:sz w:val="26"/>
          <w:szCs w:val="24"/>
          <w:u w:val="single"/>
        </w:rPr>
        <w:t>附图：销售收入和销售面积</w:t>
      </w:r>
    </w:p>
    <w:p w:rsidR="00300AC5" w:rsidRPr="006D3BBD" w:rsidP="006657F7">
      <w:pPr>
        <w:widowControl/>
        <w:bidi w:val="0"/>
        <w:spacing w:line="360" w:lineRule="auto"/>
        <w:jc w:val="left"/>
        <w:rPr>
          <w:rFonts w:ascii="微软雅黑" w:eastAsia="微软雅黑" w:hAnsi="微软雅黑"/>
          <w:sz w:val="24"/>
          <w:szCs w:val="24"/>
          <w:u w:val="single"/>
        </w:rPr>
        <w:sectPr w:rsidSect="00960489">
          <w:type w:val="nextPage"/>
          <w:pgSz w:w="11906" w:h="16838"/>
          <w:pgMar w:top="1440" w:right="1416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 w:rsidRPr="006D3BBD">
        <w:rPr>
          <w:rFonts w:ascii="宋体" w:eastAsia="宋体" w:hAnsi="宋体" w:cs="宋体" w:hint="eastAsia"/>
          <w:color w:val="000000"/>
          <w:sz w:val="26"/>
          <w:szCs w:val="24"/>
          <w:u w:val="single"/>
        </w:rPr>
        <w:t>附图</w:t>
      </w:r>
      <w:r w:rsidRPr="006D3BBD">
        <w:rPr>
          <w:rFonts w:ascii="宋体" w:eastAsia="宋体" w:hAnsi="宋体" w:cs="宋体"/>
          <w:color w:val="000000"/>
          <w:sz w:val="26"/>
          <w:szCs w:val="24"/>
          <w:u w:val="single"/>
        </w:rPr>
        <w:t>:</w:t>
      </w:r>
      <w:r w:rsidRPr="006D3BBD">
        <w:rPr>
          <w:rFonts w:ascii="宋体" w:eastAsia="宋体" w:hAnsi="宋体" w:cs="宋体" w:hint="eastAsia"/>
          <w:color w:val="000000"/>
          <w:sz w:val="26"/>
          <w:szCs w:val="24"/>
          <w:u w:val="single"/>
        </w:rPr>
        <w:t>新开工、竣工和施工面积</w:t>
      </w:r>
    </w:p>
    <w:p w:rsidR="00300AC5" w:rsidRPr="006D3BBD" w:rsidP="00202111">
      <w:pPr>
        <w:widowControl/>
        <w:bidi w:val="0"/>
        <w:spacing w:before="156" w:after="156" w:line="360" w:lineRule="auto"/>
        <w:jc w:val="left"/>
        <w:rPr>
          <w:rFonts w:ascii="微软雅黑" w:eastAsia="微软雅黑" w:hAnsi="微软雅黑"/>
          <w:b/>
          <w:sz w:val="24"/>
          <w:szCs w:val="24"/>
        </w:rPr>
      </w:pPr>
      <w:r w:rsidRPr="006D3BBD">
        <w:rPr>
          <w:rFonts w:ascii="宋体" w:eastAsia="宋体" w:hAnsi="宋体" w:cs="宋体" w:hint="eastAsia"/>
          <w:b/>
          <w:color w:val="000000"/>
          <w:sz w:val="26"/>
          <w:szCs w:val="24"/>
        </w:rPr>
        <w:t>（三）住宅开发和园区土地整理业务为主要的收入来源</w:t>
      </w:r>
      <w:r>
        <w:rPr>
          <w:rFonts w:ascii="微软雅黑" w:eastAsia="微软雅黑" w:hAnsi="微软雅黑" w:hint="eastAsia"/>
          <w:sz w:val="24"/>
          <w:szCs w:val="24"/>
          <w:u w:val="single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9" type="#_x0000_t75" style="width:428.95pt;height:207.45pt" o:preferrelative="t" stroked="f">
            <v:imagedata r:id="rId4" o:title=""/>
          </v:shape>
        </w:pict>
      </w:r>
    </w:p>
    <w:p w:rsidR="00300AC5" w:rsidRPr="006D3BBD" w:rsidP="00AE59A3">
      <w:pPr>
        <w:widowControl/>
        <w:bidi w:val="0"/>
        <w:spacing w:before="100" w:beforeAutospacing="1" w:after="100" w:afterAutospacing="1" w:line="390" w:lineRule="atLeast"/>
        <w:jc w:val="left"/>
        <w:rPr>
          <w:rFonts w:ascii="微软雅黑" w:eastAsia="微软雅黑" w:hAnsi="微软雅黑"/>
          <w:kern w:val="0"/>
          <w:sz w:val="24"/>
          <w:szCs w:val="24"/>
        </w:rPr>
      </w:pPr>
      <w:r w:rsidRPr="006D3BBD">
        <w:rPr>
          <w:rFonts w:ascii="宋体" w:eastAsia="宋体" w:hAnsi="宋体" w:cs="宋体" w:hint="eastAsia"/>
          <w:color w:val="000000"/>
          <w:kern w:val="0"/>
          <w:sz w:val="26"/>
        </w:rPr>
        <w:t>（四）</w:t>
      </w:r>
      <w:r w:rsidRPr="006D3BBD">
        <w:rPr>
          <w:rFonts w:ascii="宋体" w:eastAsia="宋体" w:hAnsi="宋体" w:cs="宋体" w:hint="eastAsia"/>
          <w:color w:val="000000"/>
          <w:kern w:val="0"/>
          <w:sz w:val="26"/>
          <w:szCs w:val="24"/>
        </w:rPr>
        <w:t>公司地产业务规模化已经成型</w:t>
      </w:r>
    </w:p>
    <w:p w:rsidR="00300AC5" w:rsidRPr="006D3BBD" w:rsidP="00AE59A3">
      <w:pPr>
        <w:widowControl/>
        <w:bidi w:val="0"/>
        <w:spacing w:before="100" w:beforeAutospacing="1" w:after="100" w:afterAutospacing="1" w:line="390" w:lineRule="atLeast"/>
        <w:ind w:firstLine="480"/>
        <w:jc w:val="left"/>
        <w:rPr>
          <w:rFonts w:ascii="微软雅黑" w:eastAsia="微软雅黑" w:hAnsi="微软雅黑"/>
          <w:kern w:val="0"/>
          <w:sz w:val="24"/>
          <w:szCs w:val="24"/>
        </w:rPr>
      </w:pPr>
      <w:r w:rsidRPr="006D3BBD">
        <w:rPr>
          <w:rFonts w:ascii="宋体" w:eastAsia="宋体" w:hAnsi="宋体" w:cs="宋体" w:hint="eastAsia"/>
          <w:color w:val="000000"/>
          <w:kern w:val="0"/>
          <w:sz w:val="26"/>
          <w:szCs w:val="24"/>
        </w:rPr>
        <w:t>目前公司已经运营的园区为固安工业园区（河北廊坊）、大厂潮白河工业区（河北廊坊）和怀来京北生态新区（河北张家口）。以上三大园区</w:t>
      </w:r>
      <w:r w:rsidRPr="006D3BBD">
        <w:rPr>
          <w:rFonts w:ascii="宋体" w:eastAsia="宋体" w:hAnsi="宋体" w:cs="宋体" w:hint="eastAsia"/>
          <w:color w:val="000000"/>
          <w:kern w:val="0"/>
          <w:sz w:val="26"/>
          <w:szCs w:val="24"/>
        </w:rPr>
        <w:t>托付</w:t>
      </w:r>
      <w:r w:rsidRPr="006D3BBD">
        <w:rPr>
          <w:rFonts w:ascii="宋体" w:eastAsia="宋体" w:hAnsi="宋体" w:cs="宋体" w:hint="eastAsia"/>
          <w:color w:val="000000"/>
          <w:kern w:val="0"/>
          <w:sz w:val="26"/>
          <w:szCs w:val="24"/>
        </w:rPr>
        <w:t>管理面积在</w:t>
      </w:r>
      <w:r w:rsidRPr="006D3BBD">
        <w:rPr>
          <w:rFonts w:ascii="宋体" w:eastAsia="宋体" w:hAnsi="宋体" w:cs="宋体"/>
          <w:color w:val="000000"/>
          <w:kern w:val="0"/>
          <w:sz w:val="26"/>
          <w:szCs w:val="24"/>
        </w:rPr>
        <w:t>264</w:t>
      </w:r>
      <w:r w:rsidRPr="006D3BBD">
        <w:rPr>
          <w:rFonts w:ascii="宋体" w:eastAsia="宋体" w:hAnsi="宋体" w:cs="宋体" w:hint="eastAsia"/>
          <w:color w:val="000000"/>
          <w:kern w:val="0"/>
          <w:sz w:val="26"/>
          <w:szCs w:val="24"/>
        </w:rPr>
        <w:t>平方公里，其中已获批面积超过</w:t>
      </w:r>
      <w:r w:rsidRPr="006D3BBD">
        <w:rPr>
          <w:rFonts w:ascii="宋体" w:eastAsia="宋体" w:hAnsi="宋体" w:cs="宋体"/>
          <w:color w:val="000000"/>
          <w:kern w:val="0"/>
          <w:sz w:val="26"/>
          <w:szCs w:val="24"/>
        </w:rPr>
        <w:t>40</w:t>
      </w:r>
      <w:r w:rsidRPr="006D3BBD">
        <w:rPr>
          <w:rFonts w:ascii="宋体" w:eastAsia="宋体" w:hAnsi="宋体" w:cs="宋体" w:hint="eastAsia"/>
          <w:color w:val="000000"/>
          <w:kern w:val="0"/>
          <w:sz w:val="26"/>
          <w:szCs w:val="24"/>
        </w:rPr>
        <w:t>平方公里。</w:t>
      </w:r>
    </w:p>
    <w:p w:rsidR="00300AC5" w:rsidRPr="006D3BBD" w:rsidP="00AE59A3">
      <w:pPr>
        <w:widowControl/>
        <w:bidi w:val="0"/>
        <w:spacing w:before="100" w:beforeAutospacing="1" w:after="100" w:afterAutospacing="1" w:line="390" w:lineRule="atLeast"/>
        <w:ind w:firstLine="480"/>
        <w:jc w:val="left"/>
        <w:rPr>
          <w:rFonts w:ascii="微软雅黑" w:eastAsia="微软雅黑" w:hAnsi="微软雅黑"/>
          <w:sz w:val="24"/>
          <w:szCs w:val="24"/>
        </w:rPr>
      </w:pPr>
      <w:r w:rsidRPr="006D3BBD">
        <w:rPr>
          <w:rFonts w:ascii="宋体" w:eastAsia="宋体" w:hAnsi="宋体" w:cs="宋体" w:hint="eastAsia"/>
          <w:color w:val="000000"/>
          <w:kern w:val="0"/>
          <w:sz w:val="26"/>
          <w:szCs w:val="24"/>
        </w:rPr>
        <w:t>围绕首都经济区、环渤海经济圈，公司</w:t>
      </w:r>
      <w:r w:rsidRPr="006D3BBD">
        <w:rPr>
          <w:rFonts w:ascii="宋体" w:eastAsia="宋体" w:hAnsi="宋体" w:cs="宋体"/>
          <w:color w:val="000000"/>
          <w:kern w:val="0"/>
          <w:sz w:val="26"/>
          <w:szCs w:val="24"/>
        </w:rPr>
        <w:t>2011</w:t>
      </w:r>
      <w:r w:rsidRPr="006D3BBD">
        <w:rPr>
          <w:rFonts w:ascii="宋体" w:eastAsia="宋体" w:hAnsi="宋体" w:cs="宋体" w:hint="eastAsia"/>
          <w:color w:val="000000"/>
          <w:kern w:val="0"/>
          <w:sz w:val="26"/>
          <w:szCs w:val="24"/>
        </w:rPr>
        <w:t>年新拓展了</w:t>
      </w:r>
      <w:r w:rsidRPr="006D3BBD">
        <w:rPr>
          <w:rFonts w:ascii="宋体" w:eastAsia="宋体" w:hAnsi="宋体" w:cs="宋体"/>
          <w:color w:val="000000"/>
          <w:kern w:val="0"/>
          <w:sz w:val="26"/>
          <w:szCs w:val="24"/>
        </w:rPr>
        <w:t>7</w:t>
      </w:r>
      <w:r w:rsidRPr="006D3BBD">
        <w:rPr>
          <w:rFonts w:ascii="宋体" w:eastAsia="宋体" w:hAnsi="宋体" w:cs="宋体" w:hint="eastAsia"/>
          <w:color w:val="000000"/>
          <w:kern w:val="0"/>
          <w:sz w:val="26"/>
          <w:szCs w:val="24"/>
        </w:rPr>
        <w:t>个园区，</w:t>
      </w:r>
      <w:r w:rsidRPr="006D3BBD">
        <w:rPr>
          <w:rFonts w:ascii="宋体" w:eastAsia="宋体" w:hAnsi="宋体" w:cs="宋体"/>
          <w:color w:val="000000"/>
          <w:kern w:val="0"/>
          <w:sz w:val="26"/>
          <w:szCs w:val="24"/>
        </w:rPr>
        <w:t>2012</w:t>
      </w:r>
      <w:r w:rsidRPr="006D3BBD">
        <w:rPr>
          <w:rFonts w:ascii="宋体" w:eastAsia="宋体" w:hAnsi="宋体" w:cs="宋体" w:hint="eastAsia"/>
          <w:color w:val="000000"/>
          <w:kern w:val="0"/>
          <w:sz w:val="26"/>
          <w:szCs w:val="24"/>
        </w:rPr>
        <w:t>年上半年新拓展了</w:t>
      </w:r>
      <w:r w:rsidRPr="006D3BBD">
        <w:rPr>
          <w:rFonts w:ascii="宋体" w:eastAsia="宋体" w:hAnsi="宋体" w:cs="宋体"/>
          <w:color w:val="000000"/>
          <w:kern w:val="0"/>
          <w:sz w:val="26"/>
          <w:szCs w:val="24"/>
        </w:rPr>
        <w:t>5</w:t>
      </w:r>
      <w:r w:rsidRPr="006D3BBD">
        <w:rPr>
          <w:rFonts w:ascii="宋体" w:eastAsia="宋体" w:hAnsi="宋体" w:cs="宋体" w:hint="eastAsia"/>
          <w:color w:val="000000"/>
          <w:kern w:val="0"/>
          <w:sz w:val="26"/>
          <w:szCs w:val="24"/>
        </w:rPr>
        <w:t>个园区进行产业新城的开发建设，其中</w:t>
      </w:r>
      <w:r w:rsidRPr="006D3BBD">
        <w:rPr>
          <w:rFonts w:ascii="宋体" w:eastAsia="宋体" w:hAnsi="宋体" w:cs="宋体"/>
          <w:color w:val="000000"/>
          <w:kern w:val="0"/>
          <w:sz w:val="26"/>
          <w:szCs w:val="24"/>
        </w:rPr>
        <w:t>7</w:t>
      </w:r>
      <w:r w:rsidRPr="006D3BBD">
        <w:rPr>
          <w:rFonts w:ascii="宋体" w:eastAsia="宋体" w:hAnsi="宋体" w:cs="宋体" w:hint="eastAsia"/>
          <w:color w:val="000000"/>
          <w:kern w:val="0"/>
          <w:sz w:val="26"/>
          <w:szCs w:val="24"/>
        </w:rPr>
        <w:t>个地处河北、</w:t>
      </w:r>
      <w:r w:rsidRPr="006D3BBD">
        <w:rPr>
          <w:rFonts w:ascii="宋体" w:eastAsia="宋体" w:hAnsi="宋体" w:cs="宋体"/>
          <w:color w:val="000000"/>
          <w:kern w:val="0"/>
          <w:sz w:val="26"/>
          <w:szCs w:val="24"/>
        </w:rPr>
        <w:t>3</w:t>
      </w:r>
      <w:r w:rsidRPr="006D3BBD">
        <w:rPr>
          <w:rFonts w:ascii="宋体" w:eastAsia="宋体" w:hAnsi="宋体" w:cs="宋体" w:hint="eastAsia"/>
          <w:color w:val="000000"/>
          <w:kern w:val="0"/>
          <w:sz w:val="26"/>
          <w:szCs w:val="24"/>
        </w:rPr>
        <w:t>个地处沈阳、</w:t>
      </w:r>
      <w:r w:rsidRPr="006D3BBD">
        <w:rPr>
          <w:rFonts w:ascii="宋体" w:eastAsia="宋体" w:hAnsi="宋体" w:cs="宋体"/>
          <w:color w:val="000000"/>
          <w:kern w:val="0"/>
          <w:sz w:val="26"/>
          <w:szCs w:val="24"/>
        </w:rPr>
        <w:t>2</w:t>
      </w:r>
      <w:r w:rsidRPr="006D3BBD">
        <w:rPr>
          <w:rFonts w:ascii="宋体" w:eastAsia="宋体" w:hAnsi="宋体" w:cs="宋体" w:hint="eastAsia"/>
          <w:color w:val="000000"/>
          <w:kern w:val="0"/>
          <w:sz w:val="26"/>
          <w:szCs w:val="24"/>
        </w:rPr>
        <w:t>个地处青岛，总计</w:t>
      </w:r>
      <w:r w:rsidRPr="006D3BBD">
        <w:rPr>
          <w:rFonts w:ascii="宋体" w:eastAsia="宋体" w:hAnsi="宋体" w:cs="宋体" w:hint="eastAsia"/>
          <w:color w:val="000000"/>
          <w:kern w:val="0"/>
          <w:sz w:val="26"/>
          <w:szCs w:val="24"/>
        </w:rPr>
        <w:t>托付</w:t>
      </w:r>
      <w:r w:rsidRPr="006D3BBD">
        <w:rPr>
          <w:rFonts w:ascii="宋体" w:eastAsia="宋体" w:hAnsi="宋体" w:cs="宋体" w:hint="eastAsia"/>
          <w:color w:val="000000"/>
          <w:kern w:val="0"/>
          <w:sz w:val="26"/>
          <w:szCs w:val="24"/>
        </w:rPr>
        <w:t>开发面积将近</w:t>
      </w:r>
      <w:r w:rsidRPr="006D3BBD">
        <w:rPr>
          <w:rFonts w:ascii="宋体" w:eastAsia="宋体" w:hAnsi="宋体" w:cs="宋体"/>
          <w:color w:val="000000"/>
          <w:kern w:val="0"/>
          <w:sz w:val="26"/>
          <w:szCs w:val="24"/>
        </w:rPr>
        <w:t xml:space="preserve">475 </w:t>
      </w:r>
      <w:r w:rsidRPr="006D3BBD">
        <w:rPr>
          <w:rFonts w:ascii="宋体" w:eastAsia="宋体" w:hAnsi="宋体" w:cs="宋体" w:hint="eastAsia"/>
          <w:color w:val="000000"/>
          <w:kern w:val="0"/>
          <w:sz w:val="26"/>
          <w:szCs w:val="24"/>
        </w:rPr>
        <w:t>平方</w:t>
      </w:r>
      <w:r w:rsidRPr="006D3BBD">
        <w:rPr>
          <w:rFonts w:ascii="宋体" w:eastAsia="宋体" w:hAnsi="宋体" w:cs="宋体" w:hint="eastAsia"/>
          <w:color w:val="000000"/>
          <w:sz w:val="26"/>
          <w:szCs w:val="24"/>
        </w:rPr>
        <w:t>公里，宣告公司进入异地扩张新阶段。</w:t>
      </w:r>
    </w:p>
    <w:p w:rsidR="00300AC5" w:rsidRPr="006D3BBD" w:rsidP="006657F7">
      <w:pPr>
        <w:widowControl/>
        <w:bidi w:val="0"/>
        <w:spacing w:line="360" w:lineRule="auto"/>
        <w:jc w:val="left"/>
        <w:rPr>
          <w:rFonts w:ascii="微软雅黑" w:eastAsia="微软雅黑" w:hAnsi="微软雅黑"/>
          <w:sz w:val="24"/>
          <w:szCs w:val="24"/>
          <w:u w:val="single"/>
        </w:rPr>
      </w:pPr>
      <w:r w:rsidRPr="006D3BBD">
        <w:rPr>
          <w:rFonts w:ascii="宋体" w:eastAsia="宋体" w:hAnsi="宋体" w:cs="宋体" w:hint="eastAsia"/>
          <w:color w:val="000000"/>
          <w:sz w:val="26"/>
          <w:szCs w:val="24"/>
          <w:u w:val="single"/>
        </w:rPr>
        <w:t>附表：公司已运营和意向合作园区</w:t>
      </w:r>
    </w:p>
    <w:p w:rsidR="00300AC5" w:rsidRPr="006D3BBD" w:rsidP="00202111">
      <w:pPr>
        <w:bidi w:val="0"/>
        <w:spacing w:before="156" w:after="156" w:line="360" w:lineRule="auto"/>
        <w:rPr>
          <w:rFonts w:ascii="微软雅黑" w:eastAsia="微软雅黑" w:hAnsi="微软雅黑"/>
          <w:b/>
          <w:sz w:val="30"/>
          <w:szCs w:val="30"/>
        </w:rPr>
      </w:pPr>
      <w:r w:rsidRPr="006D3BBD">
        <w:rPr>
          <w:rFonts w:ascii="宋体" w:eastAsia="宋体" w:hAnsi="宋体" w:cs="宋体" w:hint="eastAsia"/>
          <w:b/>
          <w:color w:val="000000"/>
          <w:sz w:val="26"/>
          <w:szCs w:val="30"/>
        </w:rPr>
        <w:t>二、华夏</w:t>
      </w:r>
      <w:r w:rsidRPr="006D3BBD">
        <w:rPr>
          <w:rFonts w:ascii="宋体" w:eastAsia="宋体" w:hAnsi="宋体" w:cs="宋体" w:hint="eastAsia"/>
          <w:b/>
          <w:color w:val="000000"/>
          <w:sz w:val="26"/>
          <w:szCs w:val="30"/>
        </w:rPr>
        <w:t>华蜜</w:t>
      </w:r>
      <w:r w:rsidRPr="006D3BBD">
        <w:rPr>
          <w:rFonts w:ascii="宋体" w:eastAsia="宋体" w:hAnsi="宋体" w:cs="宋体" w:hint="eastAsia"/>
          <w:b/>
          <w:color w:val="000000"/>
          <w:sz w:val="26"/>
          <w:szCs w:val="30"/>
        </w:rPr>
        <w:t>的模式分析</w:t>
      </w:r>
    </w:p>
    <w:p w:rsidR="00300AC5" w:rsidRPr="006D3BBD" w:rsidP="00293911">
      <w:pPr>
        <w:autoSpaceDE w:val="0"/>
        <w:autoSpaceDN w:val="0"/>
        <w:bidi w:val="0"/>
        <w:adjustRightInd w:val="0"/>
        <w:spacing w:line="360" w:lineRule="auto"/>
        <w:ind w:firstLine="480"/>
        <w:jc w:val="left"/>
        <w:rPr>
          <w:rFonts w:ascii="微软雅黑" w:eastAsia="微软雅黑" w:hAnsi="微软雅黑"/>
          <w:kern w:val="0"/>
          <w:sz w:val="24"/>
          <w:szCs w:val="24"/>
        </w:rPr>
        <w:sectPr w:rsidSect="00960489">
          <w:type w:val="nextPage"/>
          <w:pgSz w:w="11906" w:h="16838"/>
          <w:pgMar w:top="1440" w:right="1416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 w:rsidRPr="006D3BBD">
        <w:rPr>
          <w:rFonts w:ascii="宋体" w:eastAsia="宋体" w:hAnsi="宋体" w:cs="宋体" w:hint="eastAsia"/>
          <w:color w:val="000000"/>
          <w:kern w:val="0"/>
          <w:sz w:val="26"/>
          <w:szCs w:val="24"/>
        </w:rPr>
        <w:t>在多年的发展中，华夏</w:t>
      </w:r>
      <w:r w:rsidRPr="006D3BBD">
        <w:rPr>
          <w:rFonts w:ascii="宋体" w:eastAsia="宋体" w:hAnsi="宋体" w:cs="宋体" w:hint="eastAsia"/>
          <w:color w:val="000000"/>
          <w:kern w:val="0"/>
          <w:sz w:val="26"/>
          <w:szCs w:val="24"/>
        </w:rPr>
        <w:t>华蜜</w:t>
      </w:r>
      <w:r w:rsidRPr="006D3BBD">
        <w:rPr>
          <w:rFonts w:ascii="宋体" w:eastAsia="宋体" w:hAnsi="宋体" w:cs="宋体" w:hint="eastAsia"/>
          <w:color w:val="000000"/>
          <w:kern w:val="0"/>
          <w:sz w:val="26"/>
          <w:szCs w:val="24"/>
        </w:rPr>
        <w:t>形成了</w:t>
      </w:r>
      <w:r w:rsidRPr="006D3BBD">
        <w:rPr>
          <w:rFonts w:ascii="宋体" w:eastAsia="宋体" w:hAnsi="宋体" w:cs="宋体" w:hint="eastAsia"/>
          <w:color w:val="000000"/>
          <w:kern w:val="0"/>
          <w:sz w:val="26"/>
          <w:szCs w:val="24"/>
        </w:rPr>
        <w:t>“</w:t>
      </w:r>
      <w:r w:rsidRPr="006D3BBD">
        <w:rPr>
          <w:rFonts w:ascii="宋体" w:eastAsia="宋体" w:hAnsi="宋体" w:cs="宋体" w:hint="eastAsia"/>
          <w:color w:val="000000"/>
          <w:kern w:val="0"/>
          <w:sz w:val="26"/>
          <w:szCs w:val="24"/>
        </w:rPr>
        <w:t>园区孵化</w:t>
      </w:r>
      <w:r w:rsidRPr="006D3BBD">
        <w:rPr>
          <w:rFonts w:ascii="宋体" w:eastAsia="宋体" w:hAnsi="宋体" w:cs="宋体"/>
          <w:color w:val="000000"/>
          <w:kern w:val="0"/>
          <w:sz w:val="26"/>
          <w:szCs w:val="24"/>
        </w:rPr>
        <w:t>+</w:t>
      </w:r>
      <w:r w:rsidRPr="006D3BBD">
        <w:rPr>
          <w:rFonts w:ascii="宋体" w:eastAsia="宋体" w:hAnsi="宋体" w:cs="宋体" w:hint="eastAsia"/>
          <w:color w:val="000000"/>
          <w:kern w:val="0"/>
          <w:sz w:val="26"/>
          <w:szCs w:val="24"/>
        </w:rPr>
        <w:t>房地产开发</w:t>
      </w:r>
      <w:r w:rsidRPr="006D3BBD">
        <w:rPr>
          <w:rFonts w:ascii="宋体" w:eastAsia="宋体" w:hAnsi="宋体" w:cs="宋体" w:hint="eastAsia"/>
          <w:color w:val="000000"/>
          <w:kern w:val="0"/>
          <w:sz w:val="26"/>
          <w:szCs w:val="24"/>
        </w:rPr>
        <w:t>”</w:t>
      </w:r>
      <w:r w:rsidRPr="006D3BBD">
        <w:rPr>
          <w:rFonts w:ascii="宋体" w:eastAsia="宋体" w:hAnsi="宋体" w:cs="宋体" w:hint="eastAsia"/>
          <w:color w:val="000000"/>
          <w:kern w:val="0"/>
          <w:sz w:val="26"/>
          <w:szCs w:val="24"/>
        </w:rPr>
        <w:t>的独特模式。所谓的园区孵化，即</w:t>
      </w:r>
      <w:r w:rsidRPr="006D3BBD">
        <w:rPr>
          <w:rFonts w:ascii="宋体" w:eastAsia="宋体" w:hAnsi="宋体" w:cs="宋体" w:hint="eastAsia"/>
          <w:color w:val="000000"/>
          <w:kern w:val="0"/>
          <w:sz w:val="26"/>
          <w:szCs w:val="24"/>
        </w:rPr>
        <w:t>“</w:t>
      </w:r>
      <w:r w:rsidRPr="006D3BBD">
        <w:rPr>
          <w:rFonts w:ascii="宋体" w:eastAsia="宋体" w:hAnsi="宋体" w:cs="宋体" w:hint="eastAsia"/>
          <w:color w:val="000000"/>
          <w:kern w:val="0"/>
          <w:sz w:val="26"/>
          <w:szCs w:val="24"/>
        </w:rPr>
        <w:t>区域开发模式</w:t>
      </w:r>
      <w:r w:rsidRPr="006D3BBD">
        <w:rPr>
          <w:rFonts w:ascii="宋体" w:eastAsia="宋体" w:hAnsi="宋体" w:cs="宋体" w:hint="eastAsia"/>
          <w:color w:val="000000"/>
          <w:kern w:val="0"/>
          <w:sz w:val="26"/>
          <w:szCs w:val="24"/>
        </w:rPr>
        <w:t>”</w:t>
      </w:r>
      <w:r w:rsidRPr="006D3BBD">
        <w:rPr>
          <w:rFonts w:ascii="宋体" w:eastAsia="宋体" w:hAnsi="宋体" w:cs="宋体" w:hint="eastAsia"/>
          <w:color w:val="000000"/>
          <w:kern w:val="0"/>
          <w:sz w:val="26"/>
          <w:szCs w:val="24"/>
        </w:rPr>
        <w:t>为：</w:t>
      </w:r>
    </w:p>
    <w:p w:rsidR="00300AC5" w:rsidRPr="006D3BBD" w:rsidP="00AD3361">
      <w:pPr>
        <w:autoSpaceDE w:val="0"/>
        <w:autoSpaceDN w:val="0"/>
        <w:bidi w:val="0"/>
        <w:adjustRightInd w:val="0"/>
        <w:spacing w:line="360" w:lineRule="auto"/>
        <w:jc w:val="left"/>
        <w:rPr>
          <w:rFonts w:ascii="微软雅黑" w:eastAsia="微软雅黑" w:hAnsi="微软雅黑"/>
          <w:b/>
          <w:kern w:val="0"/>
          <w:sz w:val="28"/>
          <w:szCs w:val="28"/>
        </w:rPr>
      </w:pPr>
      <w:r w:rsidRPr="006D3BBD">
        <w:rPr>
          <w:rFonts w:ascii="宋体" w:eastAsia="宋体" w:hAnsi="宋体" w:cs="宋体" w:hint="eastAsia"/>
          <w:b/>
          <w:color w:val="000000"/>
          <w:sz w:val="26"/>
          <w:szCs w:val="24"/>
        </w:rPr>
        <w:t>（一）组织架构设置：</w:t>
      </w:r>
    </w:p>
    <w:p w:rsidR="00300AC5" w:rsidRPr="006D3BBD" w:rsidP="007B122E">
      <w:pPr>
        <w:autoSpaceDE w:val="0"/>
        <w:autoSpaceDN w:val="0"/>
        <w:bidi w:val="0"/>
        <w:adjustRightInd w:val="0"/>
        <w:spacing w:line="360" w:lineRule="auto"/>
        <w:ind w:firstLine="540"/>
        <w:jc w:val="left"/>
        <w:rPr>
          <w:rFonts w:ascii="微软雅黑" w:eastAsia="微软雅黑" w:hAnsi="微软雅黑"/>
          <w:kern w:val="0"/>
          <w:sz w:val="24"/>
          <w:szCs w:val="24"/>
        </w:rPr>
      </w:pPr>
      <w:r w:rsidRPr="006D3BBD">
        <w:rPr>
          <w:rFonts w:ascii="宋体" w:eastAsia="宋体" w:hAnsi="宋体" w:cs="宋体" w:hint="eastAsia"/>
          <w:color w:val="000000"/>
          <w:kern w:val="0"/>
          <w:sz w:val="26"/>
          <w:szCs w:val="24"/>
        </w:rPr>
        <w:t>九通投资为京御地产区域开发业务板块的投资管理公司，下属三浦威特、大厂鼎鸿、怀来鼎兴为区域开发平台公司，三浦威特主要负责固安县</w:t>
      </w:r>
      <w:r w:rsidRPr="006D3BBD">
        <w:rPr>
          <w:rFonts w:ascii="宋体" w:eastAsia="宋体" w:hAnsi="宋体" w:cs="宋体" w:hint="eastAsia"/>
          <w:color w:val="000000"/>
          <w:kern w:val="0"/>
          <w:sz w:val="26"/>
          <w:szCs w:val="24"/>
        </w:rPr>
        <w:t>托付</w:t>
      </w:r>
      <w:r w:rsidRPr="006D3BBD">
        <w:rPr>
          <w:rFonts w:ascii="宋体" w:eastAsia="宋体" w:hAnsi="宋体" w:cs="宋体" w:hint="eastAsia"/>
          <w:color w:val="000000"/>
          <w:kern w:val="0"/>
          <w:sz w:val="26"/>
          <w:szCs w:val="24"/>
        </w:rPr>
        <w:t>区域内的以河北固安工业园区为核心的区域开发；大厂鼎鸿主要负责大厂回族自治县</w:t>
      </w:r>
      <w:r w:rsidRPr="006D3BBD">
        <w:rPr>
          <w:rFonts w:ascii="宋体" w:eastAsia="宋体" w:hAnsi="宋体" w:cs="宋体" w:hint="eastAsia"/>
          <w:color w:val="000000"/>
          <w:kern w:val="0"/>
          <w:sz w:val="26"/>
          <w:szCs w:val="24"/>
        </w:rPr>
        <w:t>托付</w:t>
      </w:r>
      <w:r w:rsidRPr="006D3BBD">
        <w:rPr>
          <w:rFonts w:ascii="宋体" w:eastAsia="宋体" w:hAnsi="宋体" w:cs="宋体" w:hint="eastAsia"/>
          <w:color w:val="000000"/>
          <w:kern w:val="0"/>
          <w:sz w:val="26"/>
          <w:szCs w:val="24"/>
        </w:rPr>
        <w:t>区域内的以大厂潮白河工业区为核心的区域开发；怀来鼎兴主要负责怀来县</w:t>
      </w:r>
      <w:r w:rsidRPr="006D3BBD">
        <w:rPr>
          <w:rFonts w:ascii="宋体" w:eastAsia="宋体" w:hAnsi="宋体" w:cs="宋体" w:hint="eastAsia"/>
          <w:color w:val="000000"/>
          <w:kern w:val="0"/>
          <w:sz w:val="26"/>
          <w:szCs w:val="24"/>
        </w:rPr>
        <w:t>托付</w:t>
      </w:r>
      <w:r w:rsidRPr="006D3BBD">
        <w:rPr>
          <w:rFonts w:ascii="宋体" w:eastAsia="宋体" w:hAnsi="宋体" w:cs="宋体" w:hint="eastAsia"/>
          <w:color w:val="000000"/>
          <w:kern w:val="0"/>
          <w:sz w:val="26"/>
          <w:szCs w:val="24"/>
        </w:rPr>
        <w:t>区域内的怀来生态新城的开发；华夏新城主要负责基础设施建设；九通公用主要负责开发区域内公用设施的经营与管理；九通发展主要经营工业厂房建设和出租。</w:t>
      </w:r>
    </w:p>
    <w:p w:rsidR="00300AC5" w:rsidRPr="006D3BBD" w:rsidP="007B122E">
      <w:pPr>
        <w:autoSpaceDE w:val="0"/>
        <w:autoSpaceDN w:val="0"/>
        <w:bidi w:val="0"/>
        <w:adjustRightInd w:val="0"/>
        <w:spacing w:line="360" w:lineRule="auto"/>
        <w:ind w:firstLine="540"/>
        <w:jc w:val="left"/>
        <w:rPr>
          <w:rFonts w:ascii="微软雅黑" w:eastAsia="微软雅黑" w:hAnsi="微软雅黑"/>
          <w:kern w:val="0"/>
          <w:sz w:val="24"/>
          <w:szCs w:val="24"/>
        </w:rPr>
      </w:pPr>
      <w:r w:rsidRPr="006D3BBD">
        <w:rPr>
          <w:rFonts w:ascii="宋体" w:eastAsia="宋体" w:hAnsi="宋体" w:cs="宋体" w:hint="eastAsia"/>
          <w:color w:val="000000"/>
          <w:kern w:val="0"/>
          <w:sz w:val="26"/>
          <w:szCs w:val="24"/>
        </w:rPr>
        <w:t>以上从组织架构上保证了区域开发的</w:t>
      </w:r>
      <w:r w:rsidRPr="006D3BBD">
        <w:rPr>
          <w:rFonts w:ascii="宋体" w:eastAsia="宋体" w:hAnsi="宋体" w:cs="宋体" w:hint="eastAsia"/>
          <w:color w:val="000000"/>
          <w:kern w:val="0"/>
          <w:sz w:val="26"/>
          <w:szCs w:val="24"/>
        </w:rPr>
        <w:t>“</w:t>
      </w:r>
      <w:r w:rsidRPr="006D3BBD">
        <w:rPr>
          <w:rFonts w:ascii="宋体" w:eastAsia="宋体" w:hAnsi="宋体" w:cs="宋体" w:hint="eastAsia"/>
          <w:color w:val="000000"/>
          <w:kern w:val="0"/>
          <w:sz w:val="26"/>
          <w:szCs w:val="24"/>
        </w:rPr>
        <w:t>一站式服务</w:t>
      </w:r>
      <w:r w:rsidRPr="006D3BBD">
        <w:rPr>
          <w:rFonts w:ascii="宋体" w:eastAsia="宋体" w:hAnsi="宋体" w:cs="宋体" w:hint="eastAsia"/>
          <w:color w:val="000000"/>
          <w:kern w:val="0"/>
          <w:sz w:val="26"/>
          <w:szCs w:val="24"/>
        </w:rPr>
        <w:t>”</w:t>
      </w:r>
      <w:r w:rsidRPr="006D3BBD">
        <w:rPr>
          <w:rFonts w:ascii="宋体" w:eastAsia="宋体" w:hAnsi="宋体" w:cs="宋体" w:hint="eastAsia"/>
          <w:color w:val="000000"/>
          <w:kern w:val="0"/>
          <w:sz w:val="26"/>
          <w:szCs w:val="24"/>
        </w:rPr>
        <w:t>，使得华夏</w:t>
      </w:r>
      <w:r w:rsidRPr="006D3BBD">
        <w:rPr>
          <w:rFonts w:ascii="宋体" w:eastAsia="宋体" w:hAnsi="宋体" w:cs="宋体" w:hint="eastAsia"/>
          <w:color w:val="000000"/>
          <w:kern w:val="0"/>
          <w:sz w:val="26"/>
          <w:szCs w:val="24"/>
        </w:rPr>
        <w:t>华蜜</w:t>
      </w:r>
      <w:r w:rsidRPr="006D3BBD">
        <w:rPr>
          <w:rFonts w:ascii="宋体" w:eastAsia="宋体" w:hAnsi="宋体" w:cs="宋体" w:hint="eastAsia"/>
          <w:color w:val="000000"/>
          <w:kern w:val="0"/>
          <w:sz w:val="26"/>
          <w:szCs w:val="24"/>
        </w:rPr>
        <w:t>不是</w:t>
      </w:r>
      <w:r w:rsidRPr="006D3BBD">
        <w:rPr>
          <w:rFonts w:ascii="宋体" w:eastAsia="宋体" w:hAnsi="宋体" w:cs="宋体" w:hint="eastAsia"/>
          <w:color w:val="000000"/>
          <w:kern w:val="0"/>
          <w:sz w:val="26"/>
          <w:szCs w:val="24"/>
        </w:rPr>
        <w:t>简洁</w:t>
      </w:r>
      <w:r w:rsidRPr="006D3BBD">
        <w:rPr>
          <w:rFonts w:ascii="宋体" w:eastAsia="宋体" w:hAnsi="宋体" w:cs="宋体" w:hint="eastAsia"/>
          <w:color w:val="000000"/>
          <w:kern w:val="0"/>
          <w:sz w:val="26"/>
          <w:szCs w:val="24"/>
        </w:rPr>
        <w:t>的</w:t>
      </w:r>
      <w:r w:rsidRPr="006D3BBD">
        <w:rPr>
          <w:rFonts w:ascii="宋体" w:eastAsia="宋体" w:hAnsi="宋体" w:cs="宋体" w:hint="eastAsia"/>
          <w:color w:val="000000"/>
          <w:kern w:val="0"/>
          <w:sz w:val="26"/>
          <w:szCs w:val="24"/>
        </w:rPr>
        <w:t>“</w:t>
      </w:r>
      <w:r w:rsidRPr="006D3BBD">
        <w:rPr>
          <w:rFonts w:ascii="宋体" w:eastAsia="宋体" w:hAnsi="宋体" w:cs="宋体" w:hint="eastAsia"/>
          <w:color w:val="000000"/>
          <w:kern w:val="0"/>
          <w:sz w:val="26"/>
          <w:szCs w:val="24"/>
        </w:rPr>
        <w:t>顾问公司与总包单位</w:t>
      </w:r>
      <w:r w:rsidRPr="006D3BBD">
        <w:rPr>
          <w:rFonts w:ascii="宋体" w:eastAsia="宋体" w:hAnsi="宋体" w:cs="宋体" w:hint="eastAsia"/>
          <w:color w:val="000000"/>
          <w:kern w:val="0"/>
          <w:sz w:val="26"/>
          <w:szCs w:val="24"/>
        </w:rPr>
        <w:t>”</w:t>
      </w:r>
      <w:r w:rsidRPr="006D3BBD">
        <w:rPr>
          <w:rFonts w:ascii="宋体" w:eastAsia="宋体" w:hAnsi="宋体" w:cs="宋体" w:hint="eastAsia"/>
          <w:color w:val="000000"/>
          <w:kern w:val="0"/>
          <w:sz w:val="26"/>
          <w:szCs w:val="24"/>
        </w:rPr>
        <w:t>，而是能</w:t>
      </w:r>
      <w:r w:rsidRPr="006D3BBD">
        <w:rPr>
          <w:rFonts w:ascii="宋体" w:eastAsia="宋体" w:hAnsi="宋体" w:cs="宋体" w:hint="eastAsia"/>
          <w:color w:val="000000"/>
          <w:kern w:val="0"/>
          <w:sz w:val="26"/>
          <w:szCs w:val="24"/>
        </w:rPr>
        <w:t>供应</w:t>
      </w:r>
      <w:r w:rsidRPr="006D3BBD">
        <w:rPr>
          <w:rFonts w:ascii="宋体" w:eastAsia="宋体" w:hAnsi="宋体" w:cs="宋体" w:hint="eastAsia"/>
          <w:color w:val="000000"/>
          <w:kern w:val="0"/>
          <w:sz w:val="26"/>
          <w:szCs w:val="24"/>
        </w:rPr>
        <w:t>规划、定位、施工、维护、招商、维保等全程打包服务的</w:t>
      </w:r>
      <w:r w:rsidRPr="006D3BBD">
        <w:rPr>
          <w:rFonts w:ascii="宋体" w:eastAsia="宋体" w:hAnsi="宋体" w:cs="宋体" w:hint="eastAsia"/>
          <w:color w:val="000000"/>
          <w:kern w:val="0"/>
          <w:sz w:val="26"/>
          <w:szCs w:val="24"/>
        </w:rPr>
        <w:t>“</w:t>
      </w:r>
      <w:r w:rsidRPr="006D3BBD">
        <w:rPr>
          <w:rFonts w:ascii="宋体" w:eastAsia="宋体" w:hAnsi="宋体" w:cs="宋体" w:hint="eastAsia"/>
          <w:color w:val="000000"/>
          <w:kern w:val="0"/>
          <w:sz w:val="26"/>
          <w:szCs w:val="24"/>
        </w:rPr>
        <w:t>综合运营商</w:t>
      </w:r>
      <w:r w:rsidRPr="006D3BBD">
        <w:rPr>
          <w:rFonts w:ascii="宋体" w:eastAsia="宋体" w:hAnsi="宋体" w:cs="宋体" w:hint="eastAsia"/>
          <w:color w:val="000000"/>
          <w:kern w:val="0"/>
          <w:sz w:val="26"/>
          <w:szCs w:val="24"/>
        </w:rPr>
        <w:t>”</w:t>
      </w:r>
      <w:r w:rsidRPr="006D3BBD">
        <w:rPr>
          <w:rFonts w:ascii="宋体" w:eastAsia="宋体" w:hAnsi="宋体" w:cs="宋体" w:hint="eastAsia"/>
          <w:color w:val="000000"/>
          <w:kern w:val="0"/>
          <w:sz w:val="26"/>
          <w:szCs w:val="24"/>
        </w:rPr>
        <w:t>。</w:t>
      </w:r>
    </w:p>
    <w:p w:rsidR="00300AC5" w:rsidRPr="006D3BBD" w:rsidP="00BC2842">
      <w:pPr>
        <w:autoSpaceDE w:val="0"/>
        <w:autoSpaceDN w:val="0"/>
        <w:bidi w:val="0"/>
        <w:adjustRightInd w:val="0"/>
        <w:spacing w:line="360" w:lineRule="auto"/>
        <w:ind w:left="480" w:firstLine="480"/>
        <w:jc w:val="left"/>
        <w:rPr>
          <w:rFonts w:ascii="微软雅黑" w:eastAsia="微软雅黑" w:hAnsi="微软雅黑"/>
          <w:kern w:val="0"/>
          <w:sz w:val="24"/>
          <w:szCs w:val="24"/>
        </w:rPr>
      </w:pPr>
      <w:r w:rsidRPr="006D3BBD">
        <w:rPr>
          <w:rFonts w:ascii="宋体" w:eastAsia="宋体" w:hAnsi="宋体" w:cs="宋体" w:hint="eastAsia"/>
          <w:color w:val="000000"/>
          <w:kern w:val="0"/>
          <w:sz w:val="26"/>
          <w:szCs w:val="24"/>
        </w:rPr>
        <w:t>九通投资：作为项目选择、</w:t>
      </w:r>
      <w:r w:rsidRPr="006D3BBD">
        <w:rPr>
          <w:rFonts w:ascii="宋体" w:eastAsia="宋体" w:hAnsi="宋体" w:cs="宋体" w:hint="eastAsia"/>
          <w:color w:val="000000"/>
          <w:kern w:val="0"/>
          <w:sz w:val="26"/>
          <w:szCs w:val="24"/>
        </w:rPr>
        <w:t>获得</w:t>
      </w:r>
      <w:r w:rsidRPr="006D3BBD">
        <w:rPr>
          <w:rFonts w:ascii="宋体" w:eastAsia="宋体" w:hAnsi="宋体" w:cs="宋体" w:hint="eastAsia"/>
          <w:color w:val="000000"/>
          <w:kern w:val="0"/>
          <w:sz w:val="26"/>
          <w:szCs w:val="24"/>
        </w:rPr>
        <w:t>与接洽主体，与政府前期接洽；</w:t>
      </w:r>
    </w:p>
    <w:p w:rsidR="00300AC5" w:rsidRPr="006D3BBD" w:rsidP="00BC2842">
      <w:pPr>
        <w:autoSpaceDE w:val="0"/>
        <w:autoSpaceDN w:val="0"/>
        <w:bidi w:val="0"/>
        <w:adjustRightInd w:val="0"/>
        <w:spacing w:line="360" w:lineRule="auto"/>
        <w:ind w:left="480" w:firstLine="480"/>
        <w:jc w:val="left"/>
        <w:rPr>
          <w:rFonts w:ascii="微软雅黑" w:eastAsia="微软雅黑" w:hAnsi="微软雅黑"/>
          <w:kern w:val="0"/>
          <w:sz w:val="24"/>
          <w:szCs w:val="24"/>
        </w:rPr>
      </w:pPr>
      <w:r w:rsidRPr="006D3BBD">
        <w:rPr>
          <w:rFonts w:ascii="宋体" w:eastAsia="宋体" w:hAnsi="宋体" w:cs="宋体" w:hint="eastAsia"/>
          <w:color w:val="000000"/>
          <w:kern w:val="0"/>
          <w:sz w:val="26"/>
          <w:szCs w:val="24"/>
        </w:rPr>
        <w:t>三浦威特：九通投资全资子公司，河北固安工业园区运作主体。主要</w:t>
      </w:r>
      <w:r w:rsidRPr="006D3BBD">
        <w:rPr>
          <w:rFonts w:ascii="宋体" w:eastAsia="宋体" w:hAnsi="宋体" w:cs="宋体" w:hint="eastAsia"/>
          <w:color w:val="000000"/>
          <w:kern w:val="0"/>
          <w:sz w:val="26"/>
          <w:szCs w:val="24"/>
        </w:rPr>
        <w:t>担当</w:t>
      </w:r>
      <w:r w:rsidRPr="006D3BBD">
        <w:rPr>
          <w:rFonts w:ascii="宋体" w:eastAsia="宋体" w:hAnsi="宋体" w:cs="宋体" w:hint="eastAsia"/>
          <w:color w:val="000000"/>
          <w:kern w:val="0"/>
          <w:sz w:val="26"/>
          <w:szCs w:val="24"/>
        </w:rPr>
        <w:t>相关土地整理成本，组织有相关资质的单位</w:t>
      </w:r>
      <w:r w:rsidRPr="006D3BBD">
        <w:rPr>
          <w:rFonts w:ascii="宋体" w:eastAsia="宋体" w:hAnsi="宋体" w:cs="宋体" w:hint="eastAsia"/>
          <w:color w:val="000000"/>
          <w:kern w:val="0"/>
          <w:sz w:val="26"/>
          <w:szCs w:val="24"/>
        </w:rPr>
        <w:t>担当</w:t>
      </w:r>
      <w:r w:rsidRPr="006D3BBD">
        <w:rPr>
          <w:rFonts w:ascii="宋体" w:eastAsia="宋体" w:hAnsi="宋体" w:cs="宋体" w:hint="eastAsia"/>
          <w:color w:val="000000"/>
          <w:kern w:val="0"/>
          <w:sz w:val="26"/>
          <w:szCs w:val="24"/>
        </w:rPr>
        <w:t>托付</w:t>
      </w:r>
      <w:r w:rsidRPr="006D3BBD">
        <w:rPr>
          <w:rFonts w:ascii="宋体" w:eastAsia="宋体" w:hAnsi="宋体" w:cs="宋体" w:hint="eastAsia"/>
          <w:color w:val="000000"/>
          <w:kern w:val="0"/>
          <w:sz w:val="26"/>
          <w:szCs w:val="24"/>
        </w:rPr>
        <w:t>区域内基础设施建设、园区综合服务，以与开展招商引资专业化服务；</w:t>
      </w:r>
    </w:p>
    <w:p w:rsidR="00300AC5" w:rsidRPr="006D3BBD" w:rsidP="00327A93">
      <w:pPr>
        <w:autoSpaceDE w:val="0"/>
        <w:autoSpaceDN w:val="0"/>
        <w:bidi w:val="0"/>
        <w:adjustRightInd w:val="0"/>
        <w:spacing w:line="360" w:lineRule="auto"/>
        <w:ind w:left="480" w:firstLine="480"/>
        <w:jc w:val="left"/>
        <w:rPr>
          <w:rFonts w:ascii="微软雅黑" w:eastAsia="微软雅黑" w:hAnsi="微软雅黑"/>
          <w:kern w:val="0"/>
          <w:sz w:val="24"/>
          <w:szCs w:val="24"/>
        </w:rPr>
      </w:pPr>
      <w:r w:rsidRPr="006D3BBD">
        <w:rPr>
          <w:rFonts w:ascii="宋体" w:eastAsia="宋体" w:hAnsi="宋体" w:cs="宋体" w:hint="eastAsia"/>
          <w:color w:val="000000"/>
          <w:kern w:val="0"/>
          <w:sz w:val="26"/>
          <w:szCs w:val="24"/>
        </w:rPr>
        <w:t>大厂鼎鸿：九通投资全资子公司，大厂潮白河工业区运作主体。主要</w:t>
      </w:r>
      <w:r w:rsidRPr="006D3BBD">
        <w:rPr>
          <w:rFonts w:ascii="宋体" w:eastAsia="宋体" w:hAnsi="宋体" w:cs="宋体" w:hint="eastAsia"/>
          <w:color w:val="000000"/>
          <w:kern w:val="0"/>
          <w:sz w:val="26"/>
          <w:szCs w:val="24"/>
        </w:rPr>
        <w:t>担当</w:t>
      </w:r>
      <w:r w:rsidRPr="006D3BBD">
        <w:rPr>
          <w:rFonts w:ascii="宋体" w:eastAsia="宋体" w:hAnsi="宋体" w:cs="宋体" w:hint="eastAsia"/>
          <w:color w:val="000000"/>
          <w:kern w:val="0"/>
          <w:sz w:val="26"/>
          <w:szCs w:val="24"/>
        </w:rPr>
        <w:t>相关土地整理成本，组织有相关资质的单位</w:t>
      </w:r>
      <w:r w:rsidRPr="006D3BBD">
        <w:rPr>
          <w:rFonts w:ascii="宋体" w:eastAsia="宋体" w:hAnsi="宋体" w:cs="宋体" w:hint="eastAsia"/>
          <w:color w:val="000000"/>
          <w:kern w:val="0"/>
          <w:sz w:val="26"/>
          <w:szCs w:val="24"/>
        </w:rPr>
        <w:t>担当</w:t>
      </w:r>
      <w:r w:rsidRPr="006D3BBD">
        <w:rPr>
          <w:rFonts w:ascii="宋体" w:eastAsia="宋体" w:hAnsi="宋体" w:cs="宋体" w:hint="eastAsia"/>
          <w:color w:val="000000"/>
          <w:kern w:val="0"/>
          <w:sz w:val="26"/>
          <w:szCs w:val="24"/>
        </w:rPr>
        <w:t>托付</w:t>
      </w:r>
      <w:r w:rsidRPr="006D3BBD">
        <w:rPr>
          <w:rFonts w:ascii="宋体" w:eastAsia="宋体" w:hAnsi="宋体" w:cs="宋体" w:hint="eastAsia"/>
          <w:color w:val="000000"/>
          <w:kern w:val="0"/>
          <w:sz w:val="26"/>
          <w:szCs w:val="24"/>
        </w:rPr>
        <w:t>区域内基础设施建设、园区综合服务，以与开展招商引资专业化服务；</w:t>
      </w:r>
    </w:p>
    <w:p w:rsidR="00300AC5" w:rsidRPr="006D3BBD" w:rsidP="00327A93">
      <w:pPr>
        <w:autoSpaceDE w:val="0"/>
        <w:autoSpaceDN w:val="0"/>
        <w:bidi w:val="0"/>
        <w:adjustRightInd w:val="0"/>
        <w:spacing w:line="360" w:lineRule="auto"/>
        <w:ind w:left="480" w:firstLine="480"/>
        <w:jc w:val="left"/>
        <w:rPr>
          <w:rFonts w:ascii="微软雅黑" w:eastAsia="微软雅黑" w:hAnsi="微软雅黑"/>
          <w:kern w:val="0"/>
          <w:sz w:val="24"/>
          <w:szCs w:val="24"/>
        </w:rPr>
      </w:pPr>
      <w:r w:rsidRPr="006D3BBD">
        <w:rPr>
          <w:rFonts w:ascii="宋体" w:eastAsia="宋体" w:hAnsi="宋体" w:cs="宋体" w:hint="eastAsia"/>
          <w:color w:val="000000"/>
          <w:kern w:val="0"/>
          <w:sz w:val="26"/>
          <w:szCs w:val="24"/>
        </w:rPr>
        <w:t>华夏新城：九通投资全资子公司，资质等级为市政公用工程施工总承包三级，承接区域内基础设施建设项目，包括道路建设与供水、供电、供暖、供气、通信基础、排水等</w:t>
      </w:r>
      <w:r w:rsidRPr="006D3BBD">
        <w:rPr>
          <w:rFonts w:ascii="宋体" w:eastAsia="宋体" w:hAnsi="宋体" w:cs="宋体" w:hint="eastAsia"/>
          <w:color w:val="000000"/>
          <w:kern w:val="0"/>
          <w:sz w:val="26"/>
          <w:szCs w:val="24"/>
        </w:rPr>
        <w:t>“</w:t>
      </w:r>
      <w:r w:rsidRPr="006D3BBD">
        <w:rPr>
          <w:rFonts w:ascii="宋体" w:eastAsia="宋体" w:hAnsi="宋体" w:cs="宋体" w:hint="eastAsia"/>
          <w:color w:val="000000"/>
          <w:kern w:val="0"/>
          <w:sz w:val="26"/>
          <w:szCs w:val="24"/>
        </w:rPr>
        <w:t>九通一平</w:t>
      </w:r>
      <w:r w:rsidRPr="006D3BBD">
        <w:rPr>
          <w:rFonts w:ascii="宋体" w:eastAsia="宋体" w:hAnsi="宋体" w:cs="宋体" w:hint="eastAsia"/>
          <w:color w:val="000000"/>
          <w:kern w:val="0"/>
          <w:sz w:val="26"/>
          <w:szCs w:val="24"/>
        </w:rPr>
        <w:t>”</w:t>
      </w:r>
      <w:r w:rsidRPr="006D3BBD">
        <w:rPr>
          <w:rFonts w:ascii="宋体" w:eastAsia="宋体" w:hAnsi="宋体" w:cs="宋体" w:hint="eastAsia"/>
          <w:color w:val="000000"/>
          <w:kern w:val="0"/>
          <w:sz w:val="26"/>
          <w:szCs w:val="24"/>
        </w:rPr>
        <w:t>、场站与厂房建设等项目；</w:t>
      </w:r>
    </w:p>
    <w:p w:rsidR="00300AC5" w:rsidRPr="006D3BBD" w:rsidP="00327A93">
      <w:pPr>
        <w:autoSpaceDE w:val="0"/>
        <w:autoSpaceDN w:val="0"/>
        <w:bidi w:val="0"/>
        <w:adjustRightInd w:val="0"/>
        <w:spacing w:line="360" w:lineRule="auto"/>
        <w:ind w:left="480" w:firstLine="480"/>
        <w:jc w:val="left"/>
        <w:rPr>
          <w:rFonts w:ascii="微软雅黑" w:eastAsia="微软雅黑" w:hAnsi="微软雅黑"/>
          <w:kern w:val="0"/>
          <w:sz w:val="24"/>
          <w:szCs w:val="24"/>
        </w:rPr>
      </w:pPr>
      <w:r w:rsidRPr="006D3BBD">
        <w:rPr>
          <w:rFonts w:ascii="微软雅黑" w:eastAsia="微软雅黑" w:hAnsi="微软雅黑"/>
          <w:kern w:val="0"/>
          <w:sz w:val="24"/>
          <w:szCs w:val="24"/>
        </w:rPr>
        <w:br/>
      </w:r>
      <w:r w:rsidRPr="006D3BBD">
        <w:rPr>
          <w:rFonts w:ascii="微软雅黑" w:eastAsia="微软雅黑" w:hAnsi="微软雅黑"/>
          <w:kern w:val="0"/>
          <w:sz w:val="24"/>
          <w:szCs w:val="2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5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https://d.book118.com/477115062122006026</w:t>
        </w:r>
      </w:hyperlink>
    </w:p>
    <w:p w:rsidR="00300AC5" w:rsidRPr="006D3BBD" w:rsidP="00327A93">
      <w:pPr>
        <w:autoSpaceDE w:val="0"/>
        <w:autoSpaceDN w:val="0"/>
        <w:bidi w:val="0"/>
        <w:adjustRightInd w:val="0"/>
        <w:spacing w:line="360" w:lineRule="auto"/>
        <w:ind w:left="480" w:firstLine="480"/>
        <w:jc w:val="left"/>
        <w:rPr>
          <w:rFonts w:ascii="微软雅黑" w:eastAsia="微软雅黑" w:hAnsi="微软雅黑"/>
          <w:kern w:val="0"/>
          <w:sz w:val="24"/>
          <w:szCs w:val="24"/>
        </w:rPr>
      </w:pPr>
    </w:p>
    <w:sectPr w:rsidSect="00960489">
      <w:type w:val="nextPage"/>
      <w:pgSz w:w="11906" w:h="16838"/>
      <w:pgMar w:top="1440" w:right="1416" w:bottom="1440" w:left="1800" w:header="851" w:footer="992" w:gutter="0"/>
      <w:pgNumType w:start="4"/>
      <w:cols w:space="425"/>
      <w:titlePg w:val="0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楷体_GB2312">
    <w:altName w:val="楷体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??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407A52"/>
    <w:multiLevelType w:val="hybridMultilevel"/>
    <w:tmpl w:val="F22C040C"/>
    <w:lvl w:ilvl="0">
      <w:start w:val="1"/>
      <w:numFmt w:val="decimal"/>
      <w:lvlText w:val="%1、"/>
      <w:lvlJc w:val="left"/>
      <w:pPr>
        <w:ind w:left="360" w:hanging="360"/>
      </w:pPr>
      <w:rPr>
        <w:rFonts w:cs="Times New Roman" w:hint="default"/>
      </w:rPr>
    </w:lvl>
    <w:lvl w:ilvl="1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1">
    <w:nsid w:val="040C6E1A"/>
    <w:multiLevelType w:val="hybridMultilevel"/>
    <w:tmpl w:val="50621B40"/>
    <w:lvl w:ilvl="0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entative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08717D5D"/>
    <w:multiLevelType w:val="hybridMultilevel"/>
    <w:tmpl w:val="CF2C86A4"/>
    <w:lvl w:ilvl="0">
      <w:start w:val="2"/>
      <w:numFmt w:val="decimal"/>
      <w:lvlText w:val="%1、"/>
      <w:lvlJc w:val="left"/>
      <w:pPr>
        <w:ind w:left="720" w:hanging="720"/>
      </w:pPr>
      <w:rPr>
        <w:rFonts w:cs="Times New Roman" w:hint="default"/>
      </w:rPr>
    </w:lvl>
    <w:lvl w:ilvl="1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3">
    <w:nsid w:val="0CDE591B"/>
    <w:multiLevelType w:val="hybridMultilevel"/>
    <w:tmpl w:val="B91CEA58"/>
    <w:lvl w:ilvl="0">
      <w:start w:val="3"/>
      <w:numFmt w:val="decimal"/>
      <w:lvlText w:val="%1、"/>
      <w:lvlJc w:val="left"/>
      <w:pPr>
        <w:ind w:left="360" w:hanging="360"/>
      </w:pPr>
      <w:rPr>
        <w:rFonts w:cs="Times New Roman" w:hint="default"/>
      </w:rPr>
    </w:lvl>
    <w:lvl w:ilvl="1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4">
    <w:nsid w:val="0F916735"/>
    <w:multiLevelType w:val="hybridMultilevel"/>
    <w:tmpl w:val="1442AE16"/>
    <w:lvl w:ilvl="0">
      <w:start w:val="1"/>
      <w:numFmt w:val="decimal"/>
      <w:lvlText w:val="%1、"/>
      <w:lvlJc w:val="left"/>
      <w:pPr>
        <w:ind w:left="720" w:hanging="720"/>
      </w:pPr>
      <w:rPr>
        <w:rFonts w:cs="Times New Roman" w:hint="default"/>
      </w:rPr>
    </w:lvl>
    <w:lvl w:ilvl="1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5">
    <w:nsid w:val="12F03CD8"/>
    <w:multiLevelType w:val="hybridMultilevel"/>
    <w:tmpl w:val="E3A4C206"/>
    <w:lvl w:ilvl="0">
      <w:start w:val="3"/>
      <w:numFmt w:val="japaneseCounting"/>
      <w:lvlText w:val="%1、"/>
      <w:lvlJc w:val="left"/>
      <w:pPr>
        <w:ind w:left="1430" w:hanging="720"/>
      </w:pPr>
      <w:rPr>
        <w:rFonts w:cs="Times New Roman" w:hint="default"/>
      </w:rPr>
    </w:lvl>
    <w:lvl w:ilvl="1" w:tentative="1">
      <w:start w:val="1"/>
      <w:numFmt w:val="lowerLetter"/>
      <w:lvlText w:val="%2)"/>
      <w:lvlJc w:val="left"/>
      <w:pPr>
        <w:ind w:left="1550" w:hanging="420"/>
      </w:pPr>
      <w:rPr>
        <w:rFonts w:cs="Times New Roman"/>
      </w:rPr>
    </w:lvl>
    <w:lvl w:ilvl="2" w:tentative="1">
      <w:start w:val="1"/>
      <w:numFmt w:val="lowerRoman"/>
      <w:lvlText w:val="%3."/>
      <w:lvlJc w:val="right"/>
      <w:pPr>
        <w:ind w:left="1970" w:hanging="42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ind w:left="2390" w:hanging="420"/>
      </w:pPr>
      <w:rPr>
        <w:rFonts w:cs="Times New Roman"/>
      </w:rPr>
    </w:lvl>
    <w:lvl w:ilvl="4" w:tentative="1">
      <w:start w:val="1"/>
      <w:numFmt w:val="lowerLetter"/>
      <w:lvlText w:val="%5)"/>
      <w:lvlJc w:val="left"/>
      <w:pPr>
        <w:ind w:left="2810" w:hanging="420"/>
      </w:pPr>
      <w:rPr>
        <w:rFonts w:cs="Times New Roman"/>
      </w:rPr>
    </w:lvl>
    <w:lvl w:ilvl="5" w:tentative="1">
      <w:start w:val="1"/>
      <w:numFmt w:val="lowerRoman"/>
      <w:lvlText w:val="%6."/>
      <w:lvlJc w:val="right"/>
      <w:pPr>
        <w:ind w:left="3230" w:hanging="42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ind w:left="3650" w:hanging="420"/>
      </w:pPr>
      <w:rPr>
        <w:rFonts w:cs="Times New Roman"/>
      </w:rPr>
    </w:lvl>
    <w:lvl w:ilvl="7" w:tentative="1">
      <w:start w:val="1"/>
      <w:numFmt w:val="lowerLetter"/>
      <w:lvlText w:val="%8)"/>
      <w:lvlJc w:val="left"/>
      <w:pPr>
        <w:ind w:left="4070" w:hanging="420"/>
      </w:pPr>
      <w:rPr>
        <w:rFonts w:cs="Times New Roman"/>
      </w:rPr>
    </w:lvl>
    <w:lvl w:ilvl="8" w:tentative="1">
      <w:start w:val="1"/>
      <w:numFmt w:val="lowerRoman"/>
      <w:lvlText w:val="%9."/>
      <w:lvlJc w:val="right"/>
      <w:pPr>
        <w:ind w:left="4490" w:hanging="420"/>
      </w:pPr>
      <w:rPr>
        <w:rFonts w:cs="Times New Roman"/>
      </w:rPr>
    </w:lvl>
  </w:abstractNum>
  <w:abstractNum w:abstractNumId="6">
    <w:nsid w:val="2146391A"/>
    <w:multiLevelType w:val="hybridMultilevel"/>
    <w:tmpl w:val="531CAFA6"/>
    <w:lvl w:ilvl="0">
      <w:start w:val="2"/>
      <w:numFmt w:val="decimal"/>
      <w:lvlText w:val="%1、"/>
      <w:lvlJc w:val="left"/>
      <w:pPr>
        <w:ind w:left="720" w:hanging="720"/>
      </w:pPr>
      <w:rPr>
        <w:rFonts w:cs="Times New Roman" w:hint="default"/>
      </w:rPr>
    </w:lvl>
    <w:lvl w:ilvl="1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7">
    <w:nsid w:val="28464678"/>
    <w:multiLevelType w:val="hybridMultilevel"/>
    <w:tmpl w:val="4BBE0FC4"/>
    <w:lvl w:ilvl="0">
      <w:start w:val="4"/>
      <w:numFmt w:val="decimal"/>
      <w:lvlText w:val="（%1）"/>
      <w:lvlJc w:val="left"/>
      <w:pPr>
        <w:ind w:left="1430" w:hanging="720"/>
      </w:pPr>
      <w:rPr>
        <w:rFonts w:cs="Times New Roman" w:hint="default"/>
      </w:rPr>
    </w:lvl>
    <w:lvl w:ilvl="1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8">
    <w:nsid w:val="2F365704"/>
    <w:multiLevelType w:val="hybridMultilevel"/>
    <w:tmpl w:val="BA3884EA"/>
    <w:lvl w:ilvl="0">
      <w:start w:val="5"/>
      <w:numFmt w:val="japaneseCounting"/>
      <w:lvlText w:val="%1、"/>
      <w:lvlJc w:val="left"/>
      <w:pPr>
        <w:ind w:left="1074" w:hanging="720"/>
      </w:pPr>
      <w:rPr>
        <w:rFonts w:cs="Times New Roman" w:hint="default"/>
      </w:rPr>
    </w:lvl>
    <w:lvl w:ilvl="1" w:tentative="1">
      <w:start w:val="1"/>
      <w:numFmt w:val="lowerLetter"/>
      <w:lvlText w:val="%2)"/>
      <w:lvlJc w:val="left"/>
      <w:pPr>
        <w:ind w:left="1194" w:hanging="420"/>
      </w:pPr>
      <w:rPr>
        <w:rFonts w:cs="Times New Roman"/>
      </w:rPr>
    </w:lvl>
    <w:lvl w:ilvl="2" w:tentative="1">
      <w:start w:val="1"/>
      <w:numFmt w:val="lowerRoman"/>
      <w:lvlText w:val="%3."/>
      <w:lvlJc w:val="right"/>
      <w:pPr>
        <w:ind w:left="1614" w:hanging="42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ind w:left="2034" w:hanging="420"/>
      </w:pPr>
      <w:rPr>
        <w:rFonts w:cs="Times New Roman"/>
      </w:rPr>
    </w:lvl>
    <w:lvl w:ilvl="4" w:tentative="1">
      <w:start w:val="1"/>
      <w:numFmt w:val="lowerLetter"/>
      <w:lvlText w:val="%5)"/>
      <w:lvlJc w:val="left"/>
      <w:pPr>
        <w:ind w:left="2454" w:hanging="420"/>
      </w:pPr>
      <w:rPr>
        <w:rFonts w:cs="Times New Roman"/>
      </w:rPr>
    </w:lvl>
    <w:lvl w:ilvl="5" w:tentative="1">
      <w:start w:val="1"/>
      <w:numFmt w:val="lowerRoman"/>
      <w:lvlText w:val="%6."/>
      <w:lvlJc w:val="right"/>
      <w:pPr>
        <w:ind w:left="2874" w:hanging="42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ind w:left="3294" w:hanging="420"/>
      </w:pPr>
      <w:rPr>
        <w:rFonts w:cs="Times New Roman"/>
      </w:rPr>
    </w:lvl>
    <w:lvl w:ilvl="7" w:tentative="1">
      <w:start w:val="1"/>
      <w:numFmt w:val="lowerLetter"/>
      <w:lvlText w:val="%8)"/>
      <w:lvlJc w:val="left"/>
      <w:pPr>
        <w:ind w:left="3714" w:hanging="420"/>
      </w:pPr>
      <w:rPr>
        <w:rFonts w:cs="Times New Roman"/>
      </w:rPr>
    </w:lvl>
    <w:lvl w:ilvl="8" w:tentative="1">
      <w:start w:val="1"/>
      <w:numFmt w:val="lowerRoman"/>
      <w:lvlText w:val="%9."/>
      <w:lvlJc w:val="right"/>
      <w:pPr>
        <w:ind w:left="4134" w:hanging="420"/>
      </w:pPr>
      <w:rPr>
        <w:rFonts w:cs="Times New Roman"/>
      </w:rPr>
    </w:lvl>
  </w:abstractNum>
  <w:abstractNum w:abstractNumId="9">
    <w:nsid w:val="31AE183D"/>
    <w:multiLevelType w:val="hybridMultilevel"/>
    <w:tmpl w:val="8BC44486"/>
    <w:lvl w:ilvl="0">
      <w:start w:val="2"/>
      <w:numFmt w:val="decimal"/>
      <w:lvlText w:val="%1、"/>
      <w:lvlJc w:val="left"/>
      <w:pPr>
        <w:ind w:left="720" w:hanging="720"/>
      </w:pPr>
      <w:rPr>
        <w:rFonts w:cs="Times New Roman" w:hint="default"/>
      </w:rPr>
    </w:lvl>
    <w:lvl w:ilvl="1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10">
    <w:nsid w:val="33D24098"/>
    <w:multiLevelType w:val="hybridMultilevel"/>
    <w:tmpl w:val="FDA8B4FE"/>
    <w:lvl w:ilvl="0">
      <w:start w:val="2"/>
      <w:numFmt w:val="decimal"/>
      <w:lvlText w:val="%1、"/>
      <w:lvlJc w:val="left"/>
      <w:pPr>
        <w:ind w:left="720" w:hanging="720"/>
      </w:pPr>
      <w:rPr>
        <w:rFonts w:cs="Times New Roman" w:hint="default"/>
      </w:rPr>
    </w:lvl>
    <w:lvl w:ilvl="1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11">
    <w:nsid w:val="36744FD6"/>
    <w:multiLevelType w:val="hybridMultilevel"/>
    <w:tmpl w:val="6E5EAB82"/>
    <w:lvl w:ilvl="0">
      <w:start w:val="1"/>
      <w:numFmt w:val="decimal"/>
      <w:lvlText w:val="%1、"/>
      <w:lvlJc w:val="left"/>
      <w:pPr>
        <w:ind w:left="786" w:hanging="360"/>
      </w:pPr>
      <w:rPr>
        <w:rFonts w:cs="Times New Roman" w:hint="default"/>
      </w:rPr>
    </w:lvl>
    <w:lvl w:ilvl="1" w:tentative="1">
      <w:start w:val="1"/>
      <w:numFmt w:val="lowerLetter"/>
      <w:lvlText w:val="%2)"/>
      <w:lvlJc w:val="left"/>
      <w:pPr>
        <w:ind w:left="1280" w:hanging="420"/>
      </w:pPr>
      <w:rPr>
        <w:rFonts w:cs="Times New Roman"/>
      </w:rPr>
    </w:lvl>
    <w:lvl w:ilvl="2" w:tentative="1">
      <w:start w:val="1"/>
      <w:numFmt w:val="lowerRoman"/>
      <w:lvlText w:val="%3."/>
      <w:lvlJc w:val="right"/>
      <w:pPr>
        <w:ind w:left="1700" w:hanging="42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ind w:left="2120" w:hanging="420"/>
      </w:pPr>
      <w:rPr>
        <w:rFonts w:cs="Times New Roman"/>
      </w:rPr>
    </w:lvl>
    <w:lvl w:ilvl="4" w:tentative="1">
      <w:start w:val="1"/>
      <w:numFmt w:val="lowerLetter"/>
      <w:lvlText w:val="%5)"/>
      <w:lvlJc w:val="left"/>
      <w:pPr>
        <w:ind w:left="2540" w:hanging="420"/>
      </w:pPr>
      <w:rPr>
        <w:rFonts w:cs="Times New Roman"/>
      </w:rPr>
    </w:lvl>
    <w:lvl w:ilvl="5" w:tentative="1">
      <w:start w:val="1"/>
      <w:numFmt w:val="lowerRoman"/>
      <w:lvlText w:val="%6."/>
      <w:lvlJc w:val="right"/>
      <w:pPr>
        <w:ind w:left="2960" w:hanging="42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ind w:left="3380" w:hanging="420"/>
      </w:pPr>
      <w:rPr>
        <w:rFonts w:cs="Times New Roman"/>
      </w:rPr>
    </w:lvl>
    <w:lvl w:ilvl="7" w:tentative="1">
      <w:start w:val="1"/>
      <w:numFmt w:val="lowerLetter"/>
      <w:lvlText w:val="%8)"/>
      <w:lvlJc w:val="left"/>
      <w:pPr>
        <w:ind w:left="3800" w:hanging="420"/>
      </w:pPr>
      <w:rPr>
        <w:rFonts w:cs="Times New Roman"/>
      </w:rPr>
    </w:lvl>
    <w:lvl w:ilvl="8" w:tentative="1">
      <w:start w:val="1"/>
      <w:numFmt w:val="lowerRoman"/>
      <w:lvlText w:val="%9."/>
      <w:lvlJc w:val="right"/>
      <w:pPr>
        <w:ind w:left="4220" w:hanging="420"/>
      </w:pPr>
      <w:rPr>
        <w:rFonts w:cs="Times New Roman"/>
      </w:rPr>
    </w:lvl>
  </w:abstractNum>
  <w:abstractNum w:abstractNumId="12">
    <w:nsid w:val="3A2D16BC"/>
    <w:multiLevelType w:val="hybridMultilevel"/>
    <w:tmpl w:val="FC2CABDA"/>
    <w:lvl w:ilvl="0">
      <w:start w:val="2"/>
      <w:numFmt w:val="decimal"/>
      <w:lvlText w:val="%1、"/>
      <w:lvlJc w:val="left"/>
      <w:pPr>
        <w:ind w:left="720" w:hanging="720"/>
      </w:pPr>
      <w:rPr>
        <w:rFonts w:cs="Times New Roman" w:hint="default"/>
      </w:rPr>
    </w:lvl>
    <w:lvl w:ilvl="1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13">
    <w:nsid w:val="3D3F6D50"/>
    <w:multiLevelType w:val="hybridMultilevel"/>
    <w:tmpl w:val="4FC0DA3E"/>
    <w:lvl w:ilvl="0">
      <w:start w:val="1"/>
      <w:numFmt w:val="decimal"/>
      <w:lvlText w:val="（%1）"/>
      <w:lvlJc w:val="left"/>
      <w:pPr>
        <w:tabs>
          <w:tab w:val="num" w:pos="1200"/>
        </w:tabs>
        <w:ind w:left="1200" w:hanging="720"/>
      </w:pPr>
      <w:rPr>
        <w:rFonts w:cs="Times New Roman" w:hint="default"/>
      </w:rPr>
    </w:lvl>
    <w:lvl w:ilvl="1" w:tentative="1">
      <w:start w:val="1"/>
      <w:numFmt w:val="lowerLetter"/>
      <w:lvlText w:val="%2)"/>
      <w:lvlJc w:val="left"/>
      <w:pPr>
        <w:tabs>
          <w:tab w:val="num" w:pos="1320"/>
        </w:tabs>
        <w:ind w:left="1320" w:hanging="420"/>
      </w:pPr>
      <w:rPr>
        <w:rFonts w:cs="Times New Roman"/>
      </w:rPr>
    </w:lvl>
    <w:lvl w:ilvl="2" w:tentative="1">
      <w:start w:val="1"/>
      <w:numFmt w:val="lowerRoman"/>
      <w:lvlText w:val="%3."/>
      <w:lvlJc w:val="right"/>
      <w:pPr>
        <w:tabs>
          <w:tab w:val="num" w:pos="1740"/>
        </w:tabs>
        <w:ind w:left="1740" w:hanging="42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160"/>
        </w:tabs>
        <w:ind w:left="2160" w:hanging="420"/>
      </w:pPr>
      <w:rPr>
        <w:rFonts w:cs="Times New Roman"/>
      </w:rPr>
    </w:lvl>
    <w:lvl w:ilvl="4" w:tentative="1">
      <w:start w:val="1"/>
      <w:numFmt w:val="lowerLetter"/>
      <w:lvlText w:val="%5)"/>
      <w:lvlJc w:val="left"/>
      <w:pPr>
        <w:tabs>
          <w:tab w:val="num" w:pos="2580"/>
        </w:tabs>
        <w:ind w:left="2580" w:hanging="420"/>
      </w:pPr>
      <w:rPr>
        <w:rFonts w:cs="Times New Roman"/>
      </w:rPr>
    </w:lvl>
    <w:lvl w:ilvl="5" w:tentative="1">
      <w:start w:val="1"/>
      <w:numFmt w:val="lowerRoman"/>
      <w:lvlText w:val="%6."/>
      <w:lvlJc w:val="right"/>
      <w:pPr>
        <w:tabs>
          <w:tab w:val="num" w:pos="3000"/>
        </w:tabs>
        <w:ind w:left="3000" w:hanging="42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3420"/>
        </w:tabs>
        <w:ind w:left="3420" w:hanging="420"/>
      </w:pPr>
      <w:rPr>
        <w:rFonts w:cs="Times New Roman"/>
      </w:rPr>
    </w:lvl>
    <w:lvl w:ilvl="7" w:tentative="1">
      <w:start w:val="1"/>
      <w:numFmt w:val="lowerLetter"/>
      <w:lvlText w:val="%8)"/>
      <w:lvlJc w:val="left"/>
      <w:pPr>
        <w:tabs>
          <w:tab w:val="num" w:pos="3840"/>
        </w:tabs>
        <w:ind w:left="3840" w:hanging="420"/>
      </w:pPr>
      <w:rPr>
        <w:rFonts w:cs="Times New Roman"/>
      </w:rPr>
    </w:lvl>
    <w:lvl w:ilvl="8" w:tentative="1">
      <w:start w:val="1"/>
      <w:numFmt w:val="lowerRoman"/>
      <w:lvlText w:val="%9."/>
      <w:lvlJc w:val="right"/>
      <w:pPr>
        <w:tabs>
          <w:tab w:val="num" w:pos="4260"/>
        </w:tabs>
        <w:ind w:left="4260" w:hanging="420"/>
      </w:pPr>
      <w:rPr>
        <w:rFonts w:cs="Times New Roman"/>
      </w:rPr>
    </w:lvl>
  </w:abstractNum>
  <w:abstractNum w:abstractNumId="14">
    <w:nsid w:val="3F904AE5"/>
    <w:multiLevelType w:val="hybridMultilevel"/>
    <w:tmpl w:val="CBD42C00"/>
    <w:lvl w:ilvl="0">
      <w:start w:val="1"/>
      <w:numFmt w:val="decimal"/>
      <w:lvlText w:val="（%1）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1" w:tentative="1">
      <w:start w:val="1"/>
      <w:numFmt w:val="lowerLetter"/>
      <w:lvlText w:val="%2)"/>
      <w:lvlJc w:val="left"/>
      <w:pPr>
        <w:tabs>
          <w:tab w:val="num" w:pos="1320"/>
        </w:tabs>
        <w:ind w:left="1320" w:hanging="420"/>
      </w:pPr>
    </w:lvl>
    <w:lvl w:ilvl="2" w:tentative="1">
      <w:start w:val="1"/>
      <w:numFmt w:val="lowerRoman"/>
      <w:lvlText w:val="%3."/>
      <w:lvlJc w:val="right"/>
      <w:pPr>
        <w:tabs>
          <w:tab w:val="num" w:pos="1740"/>
        </w:tabs>
        <w:ind w:left="1740" w:hanging="420"/>
      </w:pPr>
    </w:lvl>
    <w:lvl w:ilvl="3" w:tentative="1">
      <w:start w:val="1"/>
      <w:numFmt w:val="decimal"/>
      <w:lvlText w:val="%4."/>
      <w:lvlJc w:val="left"/>
      <w:pPr>
        <w:tabs>
          <w:tab w:val="num" w:pos="2160"/>
        </w:tabs>
        <w:ind w:left="2160" w:hanging="420"/>
      </w:pPr>
    </w:lvl>
    <w:lvl w:ilvl="4" w:tentative="1">
      <w:start w:val="1"/>
      <w:numFmt w:val="lowerLetter"/>
      <w:lvlText w:val="%5)"/>
      <w:lvlJc w:val="left"/>
      <w:pPr>
        <w:tabs>
          <w:tab w:val="num" w:pos="2580"/>
        </w:tabs>
        <w:ind w:left="2580" w:hanging="420"/>
      </w:pPr>
    </w:lvl>
    <w:lvl w:ilvl="5" w:tentative="1">
      <w:start w:val="1"/>
      <w:numFmt w:val="lowerRoman"/>
      <w:lvlText w:val="%6."/>
      <w:lvlJc w:val="right"/>
      <w:pPr>
        <w:tabs>
          <w:tab w:val="num" w:pos="3000"/>
        </w:tabs>
        <w:ind w:left="3000" w:hanging="420"/>
      </w:pPr>
    </w:lvl>
    <w:lvl w:ilvl="6" w:tentative="1">
      <w:start w:val="1"/>
      <w:numFmt w:val="decimal"/>
      <w:lvlText w:val="%7."/>
      <w:lvlJc w:val="left"/>
      <w:pPr>
        <w:tabs>
          <w:tab w:val="num" w:pos="3420"/>
        </w:tabs>
        <w:ind w:left="3420" w:hanging="420"/>
      </w:pPr>
    </w:lvl>
    <w:lvl w:ilvl="7" w:tentative="1">
      <w:start w:val="1"/>
      <w:numFmt w:val="lowerLetter"/>
      <w:lvlText w:val="%8)"/>
      <w:lvlJc w:val="left"/>
      <w:pPr>
        <w:tabs>
          <w:tab w:val="num" w:pos="3840"/>
        </w:tabs>
        <w:ind w:left="3840" w:hanging="420"/>
      </w:pPr>
    </w:lvl>
    <w:lvl w:ilvl="8" w:tentative="1">
      <w:start w:val="1"/>
      <w:numFmt w:val="lowerRoman"/>
      <w:lvlText w:val="%9."/>
      <w:lvlJc w:val="right"/>
      <w:pPr>
        <w:tabs>
          <w:tab w:val="num" w:pos="4260"/>
        </w:tabs>
        <w:ind w:left="4260" w:hanging="420"/>
      </w:pPr>
    </w:lvl>
  </w:abstractNum>
  <w:abstractNum w:abstractNumId="15">
    <w:nsid w:val="4A264E48"/>
    <w:multiLevelType w:val="hybridMultilevel"/>
    <w:tmpl w:val="E966B570"/>
    <w:lvl w:ilvl="0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entative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entative="1">
      <w:start w:val="1"/>
      <w:numFmt w:val="bullet"/>
      <w:lvlText w:val="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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entative="1">
      <w:start w:val="1"/>
      <w:numFmt w:val="bullet"/>
      <w:lvlText w:val="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entative="1">
      <w:start w:val="1"/>
      <w:numFmt w:val="bullet"/>
      <w:lvlText w:val="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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entative="1">
      <w:start w:val="1"/>
      <w:numFmt w:val="bullet"/>
      <w:lvlText w:val="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entative="1">
      <w:start w:val="1"/>
      <w:numFmt w:val="bullet"/>
      <w:lvlText w:val="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>
    <w:nsid w:val="4D1D0B93"/>
    <w:multiLevelType w:val="hybridMultilevel"/>
    <w:tmpl w:val="066CB522"/>
    <w:lvl w:ilvl="0">
      <w:start w:val="1"/>
      <w:numFmt w:val="decimal"/>
      <w:lvlText w:val="（%1）"/>
      <w:lvlJc w:val="left"/>
      <w:pPr>
        <w:ind w:left="1430" w:hanging="720"/>
      </w:pPr>
      <w:rPr>
        <w:rFonts w:cs="Times New Roman" w:hint="default"/>
      </w:rPr>
    </w:lvl>
    <w:lvl w:ilvl="1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17">
    <w:nsid w:val="58772554"/>
    <w:multiLevelType w:val="hybridMultilevel"/>
    <w:tmpl w:val="39D4CFE0"/>
    <w:lvl w:ilvl="0">
      <w:start w:val="1"/>
      <w:numFmt w:val="japaneseCounting"/>
      <w:lvlText w:val="%1、"/>
      <w:lvlJc w:val="left"/>
      <w:pPr>
        <w:ind w:left="1026" w:hanging="600"/>
      </w:pPr>
      <w:rPr>
        <w:rFonts w:cs="Times New Roman" w:hint="default"/>
      </w:rPr>
    </w:lvl>
    <w:lvl w:ilvl="1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18">
    <w:nsid w:val="5C556526"/>
    <w:multiLevelType w:val="hybridMultilevel"/>
    <w:tmpl w:val="6FC439CA"/>
    <w:lvl w:ilvl="0">
      <w:start w:val="1"/>
      <w:numFmt w:val="japaneseCounting"/>
      <w:lvlText w:val="%1、"/>
      <w:lvlJc w:val="left"/>
      <w:pPr>
        <w:ind w:left="720" w:hanging="720"/>
      </w:pPr>
      <w:rPr>
        <w:rFonts w:cs="Times New Roman" w:hint="default"/>
      </w:rPr>
    </w:lvl>
    <w:lvl w:ilvl="1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19">
    <w:nsid w:val="5E815739"/>
    <w:multiLevelType w:val="hybridMultilevel"/>
    <w:tmpl w:val="D6E0E76E"/>
    <w:lvl w:ilvl="0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entative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>
    <w:nsid w:val="5F102C29"/>
    <w:multiLevelType w:val="hybridMultilevel"/>
    <w:tmpl w:val="1C08D650"/>
    <w:lvl w:ilvl="0">
      <w:start w:val="1"/>
      <w:numFmt w:val="japaneseCounting"/>
      <w:lvlText w:val="%1、"/>
      <w:lvlJc w:val="left"/>
      <w:pPr>
        <w:ind w:left="720" w:hanging="720"/>
      </w:pPr>
      <w:rPr>
        <w:rFonts w:cs="Times New Roman" w:hint="default"/>
      </w:rPr>
    </w:lvl>
    <w:lvl w:ilvl="1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21">
    <w:nsid w:val="64CF2D60"/>
    <w:multiLevelType w:val="hybridMultilevel"/>
    <w:tmpl w:val="90E290BE"/>
    <w:lvl w:ilvl="0">
      <w:start w:val="2"/>
      <w:numFmt w:val="decimal"/>
      <w:lvlText w:val="%1、"/>
      <w:lvlJc w:val="left"/>
      <w:pPr>
        <w:ind w:left="720" w:hanging="720"/>
      </w:pPr>
      <w:rPr>
        <w:rFonts w:cs="Times New Roman" w:hint="default"/>
      </w:rPr>
    </w:lvl>
    <w:lvl w:ilvl="1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22">
    <w:nsid w:val="663C6130"/>
    <w:multiLevelType w:val="hybridMultilevel"/>
    <w:tmpl w:val="5C5E15FC"/>
    <w:lvl w:ilvl="0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entative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3">
    <w:nsid w:val="676A26ED"/>
    <w:multiLevelType w:val="hybridMultilevel"/>
    <w:tmpl w:val="73CA9F16"/>
    <w:lvl w:ilvl="0">
      <w:start w:val="1"/>
      <w:numFmt w:val="decimal"/>
      <w:lvlText w:val="%1、"/>
      <w:lvlJc w:val="left"/>
      <w:pPr>
        <w:ind w:left="390" w:hanging="390"/>
      </w:pPr>
      <w:rPr>
        <w:rFonts w:cs="Times New Roman" w:hint="default"/>
      </w:rPr>
    </w:lvl>
    <w:lvl w:ilvl="1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24">
    <w:nsid w:val="6F3F219E"/>
    <w:multiLevelType w:val="hybridMultilevel"/>
    <w:tmpl w:val="DB749460"/>
    <w:lvl w:ilvl="0">
      <w:start w:val="1"/>
      <w:numFmt w:val="japaneseCounting"/>
      <w:lvlText w:val="（%1）"/>
      <w:lvlJc w:val="left"/>
      <w:pPr>
        <w:ind w:left="720" w:hanging="720"/>
      </w:pPr>
      <w:rPr>
        <w:rFonts w:cs="Times New Roman" w:hint="default"/>
      </w:rPr>
    </w:lvl>
    <w:lvl w:ilvl="1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25">
    <w:nsid w:val="76A16243"/>
    <w:multiLevelType w:val="hybridMultilevel"/>
    <w:tmpl w:val="7FE02F3A"/>
    <w:lvl w:ilvl="0">
      <w:start w:val="1"/>
      <w:numFmt w:val="japaneseCounting"/>
      <w:lvlText w:val="%1、"/>
      <w:lvlJc w:val="left"/>
      <w:pPr>
        <w:ind w:left="720" w:hanging="720"/>
      </w:pPr>
      <w:rPr>
        <w:rFonts w:cs="Times New Roman" w:hint="default"/>
      </w:rPr>
    </w:lvl>
    <w:lvl w:ilvl="1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num w:numId="1">
    <w:abstractNumId w:val="17"/>
  </w:num>
  <w:num w:numId="2">
    <w:abstractNumId w:val="1"/>
  </w:num>
  <w:num w:numId="3">
    <w:abstractNumId w:val="19"/>
  </w:num>
  <w:num w:numId="4">
    <w:abstractNumId w:val="22"/>
  </w:num>
  <w:num w:numId="5">
    <w:abstractNumId w:val="16"/>
  </w:num>
  <w:num w:numId="6">
    <w:abstractNumId w:val="11"/>
  </w:num>
  <w:num w:numId="7">
    <w:abstractNumId w:val="3"/>
  </w:num>
  <w:num w:numId="8">
    <w:abstractNumId w:val="15"/>
  </w:num>
  <w:num w:numId="9">
    <w:abstractNumId w:val="7"/>
  </w:num>
  <w:num w:numId="10">
    <w:abstractNumId w:val="0"/>
  </w:num>
  <w:num w:numId="11">
    <w:abstractNumId w:val="5"/>
  </w:num>
  <w:num w:numId="12">
    <w:abstractNumId w:val="8"/>
  </w:num>
  <w:num w:numId="13">
    <w:abstractNumId w:val="24"/>
  </w:num>
  <w:num w:numId="14">
    <w:abstractNumId w:val="20"/>
  </w:num>
  <w:num w:numId="15">
    <w:abstractNumId w:val="18"/>
  </w:num>
  <w:num w:numId="16">
    <w:abstractNumId w:val="25"/>
  </w:num>
  <w:num w:numId="17">
    <w:abstractNumId w:val="12"/>
  </w:num>
  <w:num w:numId="18">
    <w:abstractNumId w:val="6"/>
  </w:num>
  <w:num w:numId="19">
    <w:abstractNumId w:val="2"/>
  </w:num>
  <w:num w:numId="20">
    <w:abstractNumId w:val="21"/>
  </w:num>
  <w:num w:numId="21">
    <w:abstractNumId w:val="10"/>
  </w:num>
  <w:num w:numId="22">
    <w:abstractNumId w:val="9"/>
  </w:num>
  <w:num w:numId="23">
    <w:abstractNumId w:val="4"/>
  </w:num>
  <w:num w:numId="24">
    <w:abstractNumId w:val="23"/>
  </w:num>
  <w:num w:numId="25">
    <w:abstractNumId w:val="13"/>
  </w:num>
  <w:num w:numId="26">
    <w:abstractNumId w:val="1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en-US" w:val="$([{£¥·‘“〈《「『【〔〖〝﹙﹛﹝＄（．［｛￡￥"/>
  <w:noLineBreaksBefore w:lang="en-US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234A2C"/>
    <w:rsid w:val="000408E6"/>
    <w:rsid w:val="0005480C"/>
    <w:rsid w:val="000A418C"/>
    <w:rsid w:val="00102CDE"/>
    <w:rsid w:val="00124CAB"/>
    <w:rsid w:val="00157F88"/>
    <w:rsid w:val="001C36C9"/>
    <w:rsid w:val="00202111"/>
    <w:rsid w:val="00220285"/>
    <w:rsid w:val="00266162"/>
    <w:rsid w:val="00285C45"/>
    <w:rsid w:val="00293911"/>
    <w:rsid w:val="002F2D94"/>
    <w:rsid w:val="00300AC5"/>
    <w:rsid w:val="00327A93"/>
    <w:rsid w:val="003665CE"/>
    <w:rsid w:val="003F71D4"/>
    <w:rsid w:val="00401FDA"/>
    <w:rsid w:val="00410EC9"/>
    <w:rsid w:val="00414557"/>
    <w:rsid w:val="0046701D"/>
    <w:rsid w:val="004D328B"/>
    <w:rsid w:val="004F2586"/>
    <w:rsid w:val="00534F2A"/>
    <w:rsid w:val="005E524C"/>
    <w:rsid w:val="006657F7"/>
    <w:rsid w:val="00695FAB"/>
    <w:rsid w:val="006D3BBD"/>
    <w:rsid w:val="00701F4D"/>
    <w:rsid w:val="007209CA"/>
    <w:rsid w:val="007B122E"/>
    <w:rsid w:val="007E40EC"/>
    <w:rsid w:val="0080415B"/>
    <w:rsid w:val="00814BEF"/>
    <w:rsid w:val="008B0876"/>
    <w:rsid w:val="008B1B3B"/>
    <w:rsid w:val="00907DDF"/>
    <w:rsid w:val="00966423"/>
    <w:rsid w:val="00996F4A"/>
    <w:rsid w:val="00AD3361"/>
    <w:rsid w:val="00AE59A3"/>
    <w:rsid w:val="00AF60F3"/>
    <w:rsid w:val="00B20A65"/>
    <w:rsid w:val="00B465B3"/>
    <w:rsid w:val="00B93004"/>
    <w:rsid w:val="00BA0EFB"/>
    <w:rsid w:val="00BC2842"/>
    <w:rsid w:val="00BE3294"/>
    <w:rsid w:val="00C06983"/>
    <w:rsid w:val="00C17CF3"/>
    <w:rsid w:val="00D26E65"/>
    <w:rsid w:val="00D44DD3"/>
    <w:rsid w:val="00D6076C"/>
    <w:rsid w:val="00D711F3"/>
    <w:rsid w:val="00DB5448"/>
    <w:rsid w:val="00DC66AE"/>
    <w:rsid w:val="00E83344"/>
    <w:rsid w:val="00ED1868"/>
    <w:rsid w:val="00F21B72"/>
    <w:rsid w:val="00F40F18"/>
    <w:rsid w:val="00F95B71"/>
    <w:rsid w:val="00FA0723"/>
  </w:rsids>
  <w:uiCompat97To2003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locked="1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locked="1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locked="1" w:semiHidden="0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locked="1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HTML Top of Form" w:semiHidden="0" w:uiPriority="0" w:unhideWhenUsed="0"/>
    <w:lsdException w:name="HTML Bottom of Form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semiHidden="0" w:uiPriority="0" w:unhideWhenUsed="0"/>
    <w:lsdException w:name="annotation subject" w:semiHidden="0" w:uiPriority="0" w:unhideWhenUsed="0"/>
    <w:lsdException w:name="No List" w:semiHidden="0" w:uiPriority="0" w:unhideWhenUsed="0"/>
    <w:lsdException w:name="Outline List 1" w:semiHidden="0" w:uiPriority="0" w:unhideWhenUsed="0"/>
    <w:lsdException w:name="Outline List 2" w:semiHidden="0" w:uiPriority="0" w:unhideWhenUsed="0"/>
    <w:lsdException w:name="Outline List 3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locked="1" w:semiHidden="0" w:uiPriority="0" w:unhideWhenUsed="0"/>
    <w:lsdException w:name="Table Theme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D34F5"/>
    <w:pPr>
      <w:widowControl w:val="0"/>
      <w:jc w:val="both"/>
    </w:pPr>
    <w:rPr>
      <w:kern w:val="2"/>
      <w:sz w:val="21"/>
      <w:szCs w:val="22"/>
      <w:lang w:val="en-US" w:eastAsia="zh-CN" w:bidi="ar-SA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  <w:style w:type="paragraph" w:customStyle="1" w:styleId="ListParagraph">
    <w:name w:val="List Paragraph"/>
    <w:basedOn w:val="Normal"/>
    <w:rsid w:val="008E2A0C"/>
    <w:pPr>
      <w:ind w:firstLine="420"/>
    </w:pPr>
  </w:style>
  <w:style w:type="paragraph" w:styleId="Header">
    <w:name w:val="header"/>
    <w:basedOn w:val="Normal"/>
    <w:link w:val="Char"/>
    <w:rsid w:val="00FE387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link w:val="Header"/>
    <w:locked/>
    <w:rsid w:val="00FE3871"/>
    <w:rPr>
      <w:rFonts w:cs="Times New Roman"/>
      <w:sz w:val="18"/>
      <w:szCs w:val="18"/>
    </w:rPr>
  </w:style>
  <w:style w:type="paragraph" w:styleId="Footer">
    <w:name w:val="footer"/>
    <w:basedOn w:val="Normal"/>
    <w:link w:val="Char0"/>
    <w:rsid w:val="00FE387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link w:val="Footer"/>
    <w:locked/>
    <w:rsid w:val="00FE3871"/>
    <w:rPr>
      <w:rFonts w:cs="Times New Roman"/>
      <w:sz w:val="18"/>
      <w:szCs w:val="18"/>
    </w:rPr>
  </w:style>
  <w:style w:type="paragraph" w:customStyle="1" w:styleId="Default">
    <w:name w:val="Default"/>
    <w:rsid w:val="00FE3871"/>
    <w:pPr>
      <w:widowControl w:val="0"/>
      <w:autoSpaceDE w:val="0"/>
      <w:autoSpaceDN w:val="0"/>
      <w:adjustRightInd w:val="0"/>
    </w:pPr>
    <w:rPr>
      <w:rFonts w:ascii="楷体_GB2312" w:eastAsia="楷体_GB2312" w:cs="楷体_GB2312"/>
      <w:color w:val="000000"/>
      <w:sz w:val="24"/>
      <w:szCs w:val="24"/>
      <w:lang w:val="en-US" w:eastAsia="zh-CN" w:bidi="ar-SA"/>
    </w:rPr>
  </w:style>
  <w:style w:type="character" w:styleId="Hyperlink">
    <w:name w:val="Hyperlink"/>
    <w:semiHidden/>
    <w:rsid w:val="009D150C"/>
    <w:rPr>
      <w:rFonts w:cs="Times New Roman"/>
      <w:color w:val="000000"/>
      <w:u w:val="none"/>
      <w:effect w:val="none"/>
    </w:rPr>
  </w:style>
  <w:style w:type="character" w:customStyle="1" w:styleId="black11">
    <w:name w:val="black11"/>
    <w:rsid w:val="00FF3EF1"/>
    <w:rPr>
      <w:rFonts w:cs="Times New Roman"/>
      <w:color w:val="000000"/>
      <w:bdr w:val="none" w:sz="0" w:space="0" w:color="auto" w:frame="1"/>
    </w:rPr>
  </w:style>
  <w:style w:type="paragraph" w:styleId="NormalWeb">
    <w:name w:val="Normal (Web)"/>
    <w:basedOn w:val="Normal"/>
    <w:rsid w:val="00A56E9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txtcontent11">
    <w:name w:val="txtcontent11"/>
    <w:rsid w:val="008853B6"/>
    <w:rPr>
      <w:rFonts w:ascii="??" w:hAnsi="??" w:cs="Times New Roman"/>
      <w:color w:val="000000"/>
      <w:sz w:val="21"/>
      <w:szCs w:val="21"/>
    </w:rPr>
  </w:style>
  <w:style w:type="paragraph" w:styleId="BalloonText">
    <w:name w:val="Balloon Text"/>
    <w:basedOn w:val="Normal"/>
    <w:link w:val="Char1"/>
    <w:semiHidden/>
    <w:rsid w:val="00341BDB"/>
    <w:rPr>
      <w:sz w:val="18"/>
      <w:szCs w:val="18"/>
    </w:rPr>
  </w:style>
  <w:style w:type="character" w:customStyle="1" w:styleId="Char1">
    <w:name w:val="批注框文本 Char"/>
    <w:link w:val="BalloonText"/>
    <w:semiHidden/>
    <w:locked/>
    <w:rsid w:val="00341BDB"/>
    <w:rPr>
      <w:rFonts w:cs="Times New Roman"/>
      <w:sz w:val="18"/>
      <w:szCs w:val="18"/>
    </w:rPr>
  </w:style>
  <w:style w:type="paragraph" w:customStyle="1" w:styleId="duanlue">
    <w:name w:val="duanlue"/>
    <w:basedOn w:val="Normal"/>
    <w:rsid w:val="00937FFA"/>
    <w:pPr>
      <w:widowControl/>
      <w:ind w:firstLine="480"/>
      <w:jc w:val="left"/>
    </w:pPr>
    <w:rPr>
      <w:rFonts w:ascii="宋体" w:hAnsi="宋体" w:cs="宋体"/>
      <w:color w:val="4C4B4B"/>
      <w:kern w:val="0"/>
      <w:sz w:val="24"/>
      <w:szCs w:val="24"/>
    </w:rPr>
  </w:style>
  <w:style w:type="table" w:customStyle="1" w:styleId="-11">
    <w:name w:val="浅色网格 - 强调文字颜色 11"/>
    <w:rsid w:val="00AF312F"/>
    <w:rPr>
      <w:lang w:val="en-US" w:eastAsia="zh-CN" w:bidi="ar-SA"/>
    </w:rPr>
    <w:tblPr>
      <w:tblStyleRowBandSize w:val="1"/>
      <w:tblStyleColBandSize w:val="1"/>
      <w:tblInd w:w="0" w:type="dxa"/>
      <w:tblBorders>
        <w:top w:val="single" w:sz="8" w:space="0" w:color="4F81BD"/>
        <w:left w:val="single" w:sz="8" w:space="0" w:color="4F81BD"/>
        <w:bottom w:val="single" w:sz="8" w:space="0" w:color="4F81BD"/>
        <w:right w:val="single" w:sz="8" w:space="0" w:color="4F81BD"/>
        <w:insideH w:val="single" w:sz="8" w:space="0" w:color="4F81BD"/>
        <w:insideV w:val="single" w:sz="8" w:space="0" w:color="4F81BD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Strong">
    <w:name w:val="Strong"/>
    <w:qFormat/>
    <w:rsid w:val="00CB49EB"/>
    <w:rPr>
      <w:rFonts w:cs="Times New Roman"/>
      <w:b/>
      <w:bCs/>
    </w:rPr>
  </w:style>
  <w:style w:type="paragraph" w:styleId="Date">
    <w:name w:val="Date"/>
    <w:basedOn w:val="Normal"/>
    <w:next w:val="Normal"/>
    <w:link w:val="Char2"/>
    <w:semiHidden/>
    <w:rsid w:val="007658A9"/>
    <w:pPr>
      <w:ind w:left="100"/>
    </w:pPr>
  </w:style>
  <w:style w:type="character" w:customStyle="1" w:styleId="Char2">
    <w:name w:val="日期 Char"/>
    <w:link w:val="Date"/>
    <w:semiHidden/>
    <w:locked/>
    <w:rsid w:val="007658A9"/>
    <w:rPr>
      <w:rFonts w:cs="Times New Roman"/>
    </w:rPr>
  </w:style>
  <w:style w:type="paragraph" w:customStyle="1" w:styleId="NoSpacing">
    <w:name w:val="No Spacing"/>
    <w:link w:val="NoSpacingChar"/>
    <w:rsid w:val="00037361"/>
    <w:rPr>
      <w:sz w:val="22"/>
      <w:szCs w:val="22"/>
      <w:lang w:val="en-US" w:eastAsia="zh-CN" w:bidi="ar-SA"/>
    </w:rPr>
  </w:style>
  <w:style w:type="character" w:customStyle="1" w:styleId="NoSpacingChar">
    <w:name w:val="No Spacing Char"/>
    <w:link w:val="NoSpacing"/>
    <w:locked/>
    <w:rsid w:val="00037361"/>
    <w:rPr>
      <w:sz w:val="22"/>
      <w:szCs w:val="22"/>
      <w:lang w:val="en-US" w:eastAsia="zh-CN" w:bidi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hyperlink" Target="https://d.book118.com/477115062122006026" TargetMode="External" /><Relationship Id="rId6" Type="http://schemas.openxmlformats.org/officeDocument/2006/relationships/theme" Target="theme/theme1.xml" /><Relationship Id="rId7" Type="http://schemas.openxmlformats.org/officeDocument/2006/relationships/numbering" Target="numbering.xml" /><Relationship Id="rId8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