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74" w:lineRule="exact"/>
      </w:pPr>
    </w:p>
    <w:p>
      <w:pPr>
        <w:spacing w:line="174" w:lineRule="exact"/>
        <w:sectPr>
          <w:headerReference w:type="default" r:id="rId4"/>
          <w:footerReference w:type="default" r:id="rId5"/>
          <w:pgSz w:w="11907" w:h="16839"/>
          <w:pgMar w:top="1715" w:right="638" w:bottom="1291" w:left="622" w:header="794" w:footer="743" w:gutter="0"/>
          <w:cols w:num="1" w:space="708" w:equalWidth="0">
            <w:col w:w="10645" w:space="0"/>
          </w:cols>
        </w:sectPr>
      </w:pPr>
    </w:p>
    <w:p>
      <w:pPr>
        <w:pStyle w:val="BodyText"/>
        <w:spacing w:line="1305" w:lineRule="exact"/>
        <w:ind w:firstLine="12"/>
      </w:pPr>
      <w:r>
        <w:rPr>
          <w:position w:val="-26"/>
        </w:rPr>
        <w:pict>
          <v:group id="_x0000_i1025" style="width:350.35pt;height:65.3pt;mso-position-horizontal-relative:char;mso-position-vertical-relative:line" coordorigin="0,0" coordsize="7007,1306" filled="f" stroked="f">
            <v:group id="_x0000_s1026" style="width:7007;height:1306;position:absolute" coordorigin="0,0" coordsize="7007,1306" filled="f" stroked="f">
              <v:shape id="_x0000_s1027" style="width:7007;height:653;position:absolute" coordorigin="0,0" coordsize="7007,653" path="m,652l7006,652l7006,l,l,652xem108,652l6899,652l6899,l108,l108,652xe" filled="t" fillcolor="#4f81bd" stroked="f"/>
              <v:shape id="_x0000_s1028" style="width:7007;height:653;position:absolute;top:652" coordorigin="0,0" coordsize="7007,653" path="m,652l7006,652l7006,l,l,652xem108,652l6899,652l6899,l108,l108,652xe" filled="t" fillcolor="#dedfef" stroked="f"/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7047;height:134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6" w:line="221" w:lineRule="auto"/>
                      <w:ind w:left="188"/>
                      <w:rPr>
                        <w:rFonts w:ascii="KaiTi" w:eastAsia="KaiTi" w:hAnsi="KaiTi" w:cs="KaiTi"/>
                        <w:sz w:val="43"/>
                        <w:szCs w:val="43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4"/>
                        <w:sz w:val="43"/>
                        <w:szCs w:val="43"/>
                        <w14:textOutline w14:w="7968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电商专题</w:t>
                    </w:r>
                  </w:p>
                  <w:p>
                    <w:pPr>
                      <w:spacing w:before="178" w:line="212" w:lineRule="auto"/>
                      <w:ind w:left="821"/>
                      <w:rPr>
                        <w:rFonts w:ascii="KaiTi" w:eastAsia="KaiTi" w:hAnsi="KaiTi" w:cs="KaiTi"/>
                        <w:sz w:val="36"/>
                        <w:szCs w:val="36"/>
                      </w:rPr>
                    </w:pPr>
                    <w:r>
                      <w:rPr>
                        <w:rFonts w:ascii="KaiTi" w:eastAsia="KaiTi" w:hAnsi="KaiTi" w:cs="KaiTi"/>
                        <w:color w:val="1F497D"/>
                        <w:spacing w:val="-12"/>
                        <w:sz w:val="36"/>
                        <w:szCs w:val="36"/>
                        <w14:textOutline w14:w="6531">
                          <w14:solidFill>
                            <w14:srgbClr w14:val="1F497D"/>
                          </w14:solidFill>
                          <w14:prstDash w14:val="solid"/>
                          <w14:round/>
                        </w14:textOutline>
                      </w:rPr>
                      <w:t>国内性价比趋势加强，</w:t>
                    </w:r>
                    <w:r>
                      <w:rPr>
                        <w:rFonts w:ascii="KaiTi" w:eastAsia="KaiTi" w:hAnsi="KaiTi" w:cs="KaiTi"/>
                        <w:color w:val="1F497D"/>
                        <w:spacing w:val="-12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1F497D"/>
                        <w:spacing w:val="-12"/>
                        <w:sz w:val="36"/>
                        <w:szCs w:val="36"/>
                        <w14:textOutline w14:w="6531">
                          <w14:solidFill>
                            <w14:srgbClr w14:val="1F497D"/>
                          </w14:solidFill>
                          <w14:prstDash w14:val="solid"/>
                          <w14:round/>
                        </w14:textOutline>
                      </w:rPr>
                      <w:t>出海打造新增量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08" w:line="221" w:lineRule="auto"/>
        <w:ind w:left="123"/>
        <w:rPr>
          <w:sz w:val="28"/>
          <w:szCs w:val="28"/>
        </w:rPr>
      </w:pPr>
      <w:r>
        <w:rPr>
          <w:color w:val="17365D"/>
          <w:sz w:val="28"/>
          <w:szCs w:val="28"/>
          <w14:textOutline w14:w="5094">
            <w14:solidFill>
              <w14:srgbClr w14:val="17365D"/>
            </w14:solidFill>
            <w14:prstDash w14:val="solid"/>
            <w14:round/>
          </w14:textOutline>
        </w:rPr>
        <w:t>核心观点：</w:t>
      </w:r>
    </w:p>
    <w:p>
      <w:pPr>
        <w:pStyle w:val="BodyText"/>
        <w:spacing w:before="192" w:line="274" w:lineRule="auto"/>
        <w:ind w:left="541" w:right="49" w:hanging="403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49"/>
        </w:rPr>
        <w:t xml:space="preserve">  </w:t>
      </w:r>
      <w:r>
        <w:rPr>
          <w:color w:val="1F497D"/>
          <w:spacing w:val="-8"/>
          <w14:textOutline w14:w="3831">
            <w14:solidFill>
              <w14:srgbClr w14:val="1F497D"/>
            </w14:solidFill>
            <w14:prstDash w14:val="solid"/>
            <w14:round/>
          </w14:textOutline>
        </w:rPr>
        <w:t>电商渗透率持续提升，</w:t>
      </w:r>
      <w:r>
        <w:rPr>
          <w:color w:val="1F497D"/>
          <w:spacing w:val="-8"/>
        </w:rPr>
        <w:t xml:space="preserve"> </w:t>
      </w:r>
      <w:r>
        <w:rPr>
          <w:color w:val="1F497D"/>
          <w:spacing w:val="-8"/>
          <w14:textOutline w14:w="3831">
            <w14:solidFill>
              <w14:srgbClr w14:val="1F497D"/>
            </w14:solidFill>
            <w14:prstDash w14:val="solid"/>
            <w14:round/>
          </w14:textOutline>
        </w:rPr>
        <w:t>快递业务量增长态势良</w:t>
      </w:r>
      <w:r>
        <w:rPr>
          <w:color w:val="1F497D"/>
          <w:spacing w:val="-9"/>
          <w14:textOutline w14:w="3831">
            <w14:solidFill>
              <w14:srgbClr w14:val="1F497D"/>
            </w14:solidFill>
            <w14:prstDash w14:val="solid"/>
            <w14:round/>
          </w14:textOutline>
        </w:rPr>
        <w:t>好。</w:t>
      </w:r>
      <w:r>
        <w:rPr>
          <w:color w:val="1F497D"/>
          <w:spacing w:val="-9"/>
        </w:rPr>
        <w:t>统计局数据显示，单</w:t>
      </w:r>
      <w:r>
        <w:rPr>
          <w:color w:val="1F497D"/>
          <w:spacing w:val="1"/>
        </w:rPr>
        <w:t xml:space="preserve"> </w:t>
      </w:r>
      <w:r>
        <w:rPr>
          <w:color w:val="1F497D"/>
          <w:spacing w:val="-3"/>
        </w:rPr>
        <w:t>季度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3"/>
        </w:rPr>
        <w:t>3Q23</w:t>
      </w:r>
      <w:r>
        <w:rPr>
          <w:rFonts w:ascii="Arial" w:eastAsia="Arial" w:hAnsi="Arial" w:cs="Arial"/>
          <w:color w:val="1F497D"/>
          <w:spacing w:val="26"/>
        </w:rPr>
        <w:t xml:space="preserve"> </w:t>
      </w:r>
      <w:r>
        <w:rPr>
          <w:color w:val="1F497D"/>
          <w:spacing w:val="-3"/>
        </w:rPr>
        <w:t>网上商品和服务零售额同比增速为</w:t>
      </w:r>
      <w:r>
        <w:rPr>
          <w:color w:val="1F497D"/>
          <w:spacing w:val="-30"/>
        </w:rPr>
        <w:t xml:space="preserve"> </w:t>
      </w:r>
      <w:r>
        <w:rPr>
          <w:rFonts w:ascii="Arial" w:eastAsia="Arial" w:hAnsi="Arial" w:cs="Arial"/>
          <w:color w:val="1F497D"/>
          <w:spacing w:val="-3"/>
        </w:rPr>
        <w:t>12</w:t>
      </w:r>
      <w:r>
        <w:rPr>
          <w:rFonts w:ascii="Arial" w:eastAsia="Arial" w:hAnsi="Arial" w:cs="Arial"/>
          <w:color w:val="1F497D"/>
          <w:spacing w:val="-4"/>
        </w:rPr>
        <w:t>.84%</w:t>
      </w:r>
      <w:r>
        <w:rPr>
          <w:color w:val="1F497D"/>
          <w:spacing w:val="-4"/>
        </w:rPr>
        <w:t>，实物商品网上</w:t>
      </w:r>
      <w:r>
        <w:rPr>
          <w:color w:val="1F497D"/>
        </w:rPr>
        <w:t xml:space="preserve"> </w:t>
      </w:r>
      <w:r>
        <w:rPr>
          <w:color w:val="1F497D"/>
          <w:spacing w:val="-6"/>
        </w:rPr>
        <w:t>零售额增速为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6"/>
        </w:rPr>
        <w:t>5.2%</w:t>
      </w:r>
      <w:r>
        <w:rPr>
          <w:color w:val="1F497D"/>
          <w:spacing w:val="-6"/>
        </w:rPr>
        <w:t>，增速较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6"/>
        </w:rPr>
        <w:t>Q1</w:t>
      </w:r>
      <w:r>
        <w:rPr>
          <w:color w:val="1F497D"/>
          <w:spacing w:val="-6"/>
        </w:rPr>
        <w:t>（</w:t>
      </w:r>
      <w:r>
        <w:rPr>
          <w:rFonts w:ascii="Arial" w:eastAsia="Arial" w:hAnsi="Arial" w:cs="Arial"/>
          <w:color w:val="1F497D"/>
          <w:spacing w:val="-6"/>
        </w:rPr>
        <w:t>+7.3%</w:t>
      </w:r>
      <w:r>
        <w:rPr>
          <w:color w:val="1F497D"/>
          <w:spacing w:val="-6"/>
        </w:rPr>
        <w:t>）、</w:t>
      </w:r>
      <w:r>
        <w:rPr>
          <w:rFonts w:ascii="Arial" w:eastAsia="Arial" w:hAnsi="Arial" w:cs="Arial"/>
          <w:color w:val="1F497D"/>
          <w:spacing w:val="-6"/>
        </w:rPr>
        <w:t>Q</w:t>
      </w:r>
      <w:r>
        <w:rPr>
          <w:rFonts w:ascii="Arial" w:eastAsia="Arial" w:hAnsi="Arial" w:cs="Arial"/>
          <w:color w:val="1F497D"/>
          <w:spacing w:val="-7"/>
        </w:rPr>
        <w:t>2</w:t>
      </w:r>
      <w:r>
        <w:rPr>
          <w:color w:val="1F497D"/>
          <w:spacing w:val="-7"/>
        </w:rPr>
        <w:t>（</w:t>
      </w:r>
      <w:r>
        <w:rPr>
          <w:rFonts w:ascii="Arial" w:eastAsia="Arial" w:hAnsi="Arial" w:cs="Arial"/>
          <w:color w:val="1F497D"/>
          <w:spacing w:val="-7"/>
        </w:rPr>
        <w:t>+14.0%</w:t>
      </w:r>
      <w:r>
        <w:rPr>
          <w:color w:val="1F497D"/>
          <w:spacing w:val="-7"/>
        </w:rPr>
        <w:t>）有所放缓。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得益于传统线上促销活动拉动，</w:t>
      </w:r>
      <w:r>
        <w:rPr>
          <w:rFonts w:ascii="Arial" w:eastAsia="Arial" w:hAnsi="Arial" w:cs="Arial"/>
          <w:color w:val="1F497D"/>
          <w:spacing w:val="-5"/>
        </w:rPr>
        <w:t xml:space="preserve">2023 </w:t>
      </w:r>
      <w:r>
        <w:rPr>
          <w:color w:val="1F497D"/>
          <w:spacing w:val="-5"/>
        </w:rPr>
        <w:t>年</w:t>
      </w:r>
      <w:r>
        <w:rPr>
          <w:color w:val="1F497D"/>
          <w:spacing w:val="-21"/>
        </w:rPr>
        <w:t xml:space="preserve"> </w:t>
      </w:r>
      <w:r>
        <w:rPr>
          <w:rFonts w:ascii="Arial" w:eastAsia="Arial" w:hAnsi="Arial" w:cs="Arial"/>
          <w:color w:val="1F497D"/>
          <w:spacing w:val="-5"/>
        </w:rPr>
        <w:t xml:space="preserve">10-11 </w:t>
      </w:r>
      <w:r>
        <w:rPr>
          <w:color w:val="1F497D"/>
          <w:spacing w:val="-5"/>
        </w:rPr>
        <w:t>月，</w:t>
      </w:r>
      <w:r>
        <w:rPr>
          <w:color w:val="1F497D"/>
          <w:spacing w:val="-5"/>
        </w:rPr>
        <w:t xml:space="preserve"> </w:t>
      </w:r>
      <w:r>
        <w:rPr>
          <w:color w:val="1F497D"/>
          <w:spacing w:val="-5"/>
        </w:rPr>
        <w:t>网上商品和服务零</w:t>
      </w:r>
      <w:r>
        <w:rPr>
          <w:color w:val="1F497D"/>
        </w:rPr>
        <w:t xml:space="preserve"> </w:t>
      </w:r>
      <w:r>
        <w:rPr>
          <w:color w:val="1F497D"/>
          <w:spacing w:val="14"/>
        </w:rPr>
        <w:t>售额同比增速为</w:t>
      </w:r>
      <w:r>
        <w:rPr>
          <w:color w:val="1F497D"/>
          <w:spacing w:val="14"/>
        </w:rPr>
        <w:t xml:space="preserve"> </w:t>
      </w:r>
      <w:r>
        <w:rPr>
          <w:rFonts w:ascii="Arial" w:eastAsia="Arial" w:hAnsi="Arial" w:cs="Arial"/>
          <w:color w:val="1F497D"/>
          <w:spacing w:val="14"/>
        </w:rPr>
        <w:t>9.3%</w:t>
      </w:r>
      <w:r>
        <w:rPr>
          <w:rFonts w:ascii="Arial" w:eastAsia="Arial" w:hAnsi="Arial" w:cs="Arial"/>
          <w:color w:val="1F497D"/>
        </w:rPr>
        <w:t xml:space="preserve"> </w:t>
      </w:r>
      <w:r>
        <w:rPr>
          <w:color w:val="1F497D"/>
          <w:spacing w:val="14"/>
        </w:rPr>
        <w:t>，</w:t>
      </w:r>
      <w:r>
        <w:rPr>
          <w:color w:val="1F497D"/>
          <w:spacing w:val="-49"/>
        </w:rPr>
        <w:t xml:space="preserve"> </w:t>
      </w:r>
      <w:r>
        <w:rPr>
          <w:color w:val="1F497D"/>
          <w:spacing w:val="14"/>
        </w:rPr>
        <w:t>网上商品和服务零售额累计占比提升至</w:t>
      </w:r>
      <w:r>
        <w:rPr>
          <w:color w:val="1F497D"/>
        </w:rPr>
        <w:t xml:space="preserve"> </w:t>
      </w:r>
      <w:r>
        <w:rPr>
          <w:rFonts w:ascii="Arial" w:eastAsia="Arial" w:hAnsi="Arial" w:cs="Arial"/>
          <w:color w:val="1F497D"/>
        </w:rPr>
        <w:t>32.6%</w:t>
      </w:r>
      <w:r>
        <w:rPr>
          <w:color w:val="1F497D"/>
        </w:rPr>
        <w:t>。</w:t>
      </w:r>
    </w:p>
    <w:p>
      <w:pPr>
        <w:pStyle w:val="BodyText"/>
        <w:spacing w:before="81" w:line="269" w:lineRule="auto"/>
        <w:ind w:left="547" w:right="62" w:hanging="409"/>
      </w:pPr>
      <w:r>
        <w:rPr>
          <w:rFonts w:ascii="Arial" w:eastAsia="Arial" w:hAnsi="Arial" w:cs="Arial"/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color w:val="1F497D"/>
          <w:spacing w:val="13"/>
        </w:rPr>
        <w:t xml:space="preserve">    </w:t>
      </w:r>
      <w:r>
        <w:rPr>
          <w:rFonts w:ascii="Arial" w:eastAsia="Arial" w:hAnsi="Arial" w:cs="Arial"/>
          <w:b/>
          <w:bCs/>
          <w:color w:val="1F497D"/>
          <w:spacing w:val="-1"/>
        </w:rPr>
        <w:t xml:space="preserve">3Q23 </w:t>
      </w:r>
      <w:r>
        <w:rPr>
          <w:color w:val="1F497D"/>
          <w:spacing w:val="-1"/>
          <w14:textOutline w14:w="3831">
            <w14:solidFill>
              <w14:srgbClr w14:val="1F497D"/>
            </w14:solidFill>
            <w14:prstDash w14:val="solid"/>
            <w14:round/>
          </w14:textOutline>
        </w:rPr>
        <w:t>社零大盘增速相对放缓的情况下，电商公司收入增长较</w:t>
      </w:r>
      <w:r>
        <w:rPr>
          <w:color w:val="1F497D"/>
          <w:spacing w:val="-2"/>
          <w14:textOutline w14:w="3831">
            <w14:solidFill>
              <w14:srgbClr w14:val="1F497D"/>
            </w14:solidFill>
            <w14:prstDash w14:val="solid"/>
            <w14:round/>
          </w14:textOutline>
        </w:rPr>
        <w:t>为平稳，</w:t>
      </w:r>
      <w:r>
        <w:rPr>
          <w:color w:val="1F497D"/>
          <w:spacing w:val="3"/>
        </w:rPr>
        <w:t xml:space="preserve"> </w:t>
      </w:r>
      <w:r>
        <w:rPr>
          <w:color w:val="1F497D"/>
          <w:spacing w:val="-6"/>
          <w14:textOutline w14:w="3831">
            <w14:solidFill>
              <w14:srgbClr w14:val="1F497D"/>
            </w14:solidFill>
            <w14:prstDash w14:val="solid"/>
            <w14:round/>
          </w14:textOutline>
        </w:rPr>
        <w:t>阿里和拼多多的出海业务拉动收入端增长显著</w:t>
      </w:r>
      <w:r>
        <w:rPr>
          <w:color w:val="1F497D"/>
          <w:spacing w:val="-7"/>
          <w14:textOutline w14:w="3831">
            <w14:solidFill>
              <w14:srgbClr w14:val="1F497D"/>
            </w14:solidFill>
            <w14:prstDash w14:val="solid"/>
            <w14:round/>
          </w14:textOutline>
        </w:rPr>
        <w:t>。</w:t>
      </w:r>
      <w:r>
        <w:rPr>
          <w:color w:val="1F497D"/>
          <w:spacing w:val="-7"/>
        </w:rPr>
        <w:t xml:space="preserve"> </w:t>
      </w:r>
      <w:r>
        <w:rPr>
          <w:rFonts w:ascii="Arial" w:eastAsia="Arial" w:hAnsi="Arial" w:cs="Arial"/>
          <w:color w:val="1F497D"/>
          <w:spacing w:val="-7"/>
        </w:rPr>
        <w:t>3Q23</w:t>
      </w:r>
      <w:r>
        <w:rPr>
          <w:rFonts w:ascii="Arial" w:eastAsia="Arial" w:hAnsi="Arial" w:cs="Arial"/>
          <w:color w:val="1F497D"/>
          <w:spacing w:val="18"/>
          <w:w w:val="101"/>
        </w:rPr>
        <w:t xml:space="preserve"> </w:t>
      </w:r>
      <w:r>
        <w:rPr>
          <w:color w:val="1F497D"/>
          <w:spacing w:val="-7"/>
        </w:rPr>
        <w:t>阿里、京东、拼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多多、唯品会核心业务收入同比增速分别为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5"/>
        </w:rPr>
        <w:t>3%/3</w:t>
      </w:r>
      <w:r>
        <w:rPr>
          <w:rFonts w:ascii="Arial" w:eastAsia="Arial" w:hAnsi="Arial" w:cs="Arial"/>
          <w:color w:val="1F497D"/>
          <w:spacing w:val="-6"/>
        </w:rPr>
        <w:t>%/94%/5%</w:t>
      </w:r>
      <w:r>
        <w:rPr>
          <w:color w:val="1F497D"/>
          <w:spacing w:val="-6"/>
        </w:rPr>
        <w:t>。</w:t>
      </w:r>
      <w:r>
        <w:rPr>
          <w:rFonts w:ascii="Arial" w:eastAsia="Arial" w:hAnsi="Arial" w:cs="Arial"/>
          <w:color w:val="1F497D"/>
          <w:spacing w:val="-6"/>
        </w:rPr>
        <w:t>3Q23</w:t>
      </w:r>
      <w:r>
        <w:rPr>
          <w:rFonts w:ascii="Arial" w:eastAsia="Arial" w:hAnsi="Arial" w:cs="Arial"/>
          <w:color w:val="1F497D"/>
          <w:spacing w:val="16"/>
        </w:rPr>
        <w:t xml:space="preserve"> </w:t>
      </w:r>
      <w:r>
        <w:rPr>
          <w:color w:val="1F497D"/>
          <w:spacing w:val="-6"/>
        </w:rPr>
        <w:t>阿</w:t>
      </w:r>
      <w:r>
        <w:rPr>
          <w:color w:val="1F497D"/>
        </w:rPr>
        <w:t xml:space="preserve"> </w:t>
      </w:r>
      <w:r>
        <w:rPr>
          <w:color w:val="1F497D"/>
          <w:spacing w:val="-1"/>
        </w:rPr>
        <w:t>里</w:t>
      </w:r>
      <w:r>
        <w:rPr>
          <w:color w:val="1F497D"/>
          <w:spacing w:val="-52"/>
        </w:rPr>
        <w:t xml:space="preserve"> </w:t>
      </w:r>
      <w:r>
        <w:rPr>
          <w:rFonts w:ascii="Arial" w:eastAsia="Arial" w:hAnsi="Arial" w:cs="Arial"/>
          <w:color w:val="1F497D"/>
          <w:spacing w:val="-1"/>
        </w:rPr>
        <w:t xml:space="preserve">AIDC </w:t>
      </w:r>
      <w:r>
        <w:rPr>
          <w:color w:val="1F497D"/>
          <w:spacing w:val="-1"/>
        </w:rPr>
        <w:t>海外业务收入同比增长</w:t>
      </w:r>
      <w:r>
        <w:rPr>
          <w:color w:val="1F497D"/>
          <w:spacing w:val="-43"/>
        </w:rPr>
        <w:t xml:space="preserve"> </w:t>
      </w:r>
      <w:r>
        <w:rPr>
          <w:rFonts w:ascii="Arial" w:eastAsia="Arial" w:hAnsi="Arial" w:cs="Arial"/>
          <w:color w:val="1F497D"/>
          <w:spacing w:val="-1"/>
        </w:rPr>
        <w:t>53%</w:t>
      </w:r>
      <w:r>
        <w:rPr>
          <w:rFonts w:ascii="Arial" w:eastAsia="Arial" w:hAnsi="Arial" w:cs="Arial"/>
          <w:color w:val="1F497D"/>
          <w:spacing w:val="-32"/>
        </w:rPr>
        <w:t xml:space="preserve"> </w:t>
      </w:r>
      <w:r>
        <w:rPr>
          <w:color w:val="1F497D"/>
          <w:spacing w:val="-1"/>
        </w:rPr>
        <w:t>，为主</w:t>
      </w:r>
      <w:r>
        <w:rPr>
          <w:color w:val="1F497D"/>
          <w:spacing w:val="-2"/>
        </w:rPr>
        <w:t>要驱动收入增长的业务。</w:t>
      </w:r>
    </w:p>
    <w:p>
      <w:pPr>
        <w:pStyle w:val="BodyText"/>
        <w:spacing w:before="79" w:line="275" w:lineRule="auto"/>
        <w:ind w:left="542" w:right="49" w:hanging="404"/>
      </w:pPr>
      <w:r>
        <w:rPr>
          <w:rFonts w:ascii="Arial" w:eastAsia="Arial" w:hAnsi="Arial" w:cs="Arial"/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color w:val="1F497D"/>
          <w:spacing w:val="12"/>
        </w:rPr>
        <w:t xml:space="preserve">    </w:t>
      </w:r>
      <w:r>
        <w:rPr>
          <w:rFonts w:ascii="Arial" w:eastAsia="Arial" w:hAnsi="Arial" w:cs="Arial"/>
          <w:b/>
          <w:bCs/>
          <w:color w:val="1F497D"/>
          <w:spacing w:val="-2"/>
        </w:rPr>
        <w:t xml:space="preserve">4Q23 </w:t>
      </w:r>
      <w:r>
        <w:rPr>
          <w:color w:val="1F497D"/>
          <w:spacing w:val="-2"/>
          <w14:textOutline w14:w="3831">
            <w14:solidFill>
              <w14:srgbClr w14:val="1F497D"/>
            </w14:solidFill>
            <w14:prstDash w14:val="solid"/>
            <w14:round/>
          </w14:textOutline>
        </w:rPr>
        <w:t>销售旺季对消费情绪有一定刺激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作用，综合电商以性价比和内容</w:t>
      </w:r>
      <w:r>
        <w:rPr>
          <w:color w:val="1F497D"/>
          <w:spacing w:val="2"/>
        </w:rPr>
        <w:t xml:space="preserve"> </w:t>
      </w:r>
      <w:r>
        <w:rPr>
          <w:color w:val="1F497D"/>
          <w:spacing w:val="-11"/>
          <w14:textOutline w14:w="3831">
            <w14:solidFill>
              <w14:srgbClr w14:val="1F497D"/>
            </w14:solidFill>
            <w14:prstDash w14:val="solid"/>
            <w14:round/>
          </w14:textOutline>
        </w:rPr>
        <w:t>两大抓手持续发力，</w:t>
      </w:r>
      <w:r>
        <w:rPr>
          <w:color w:val="1F497D"/>
          <w:spacing w:val="66"/>
        </w:rPr>
        <w:t xml:space="preserve"> </w:t>
      </w:r>
      <w:r>
        <w:rPr>
          <w:color w:val="1F497D"/>
          <w:spacing w:val="-11"/>
          <w14:textOutline w14:w="3831">
            <w14:solidFill>
              <w14:srgbClr w14:val="1F497D"/>
            </w14:solidFill>
            <w14:prstDash w14:val="solid"/>
            <w14:round/>
          </w14:textOutline>
        </w:rPr>
        <w:t>巩固市场份额。</w:t>
      </w:r>
      <w:r>
        <w:rPr>
          <w:color w:val="1F497D"/>
          <w:spacing w:val="52"/>
        </w:rPr>
        <w:t xml:space="preserve"> </w:t>
      </w:r>
      <w:r>
        <w:rPr>
          <w:color w:val="1F497D"/>
          <w:spacing w:val="-11"/>
        </w:rPr>
        <w:t>龙头电商</w:t>
      </w:r>
      <w:r>
        <w:rPr>
          <w:color w:val="1F497D"/>
          <w:spacing w:val="-11"/>
        </w:rPr>
        <w:t xml:space="preserve"> </w:t>
      </w:r>
      <w:r>
        <w:rPr>
          <w:rFonts w:ascii="Arial" w:eastAsia="Arial" w:hAnsi="Arial" w:cs="Arial"/>
          <w:color w:val="1F497D"/>
          <w:spacing w:val="-11"/>
        </w:rPr>
        <w:t>3Q23</w:t>
      </w:r>
      <w:r>
        <w:rPr>
          <w:rFonts w:ascii="Arial" w:eastAsia="Arial" w:hAnsi="Arial" w:cs="Arial"/>
          <w:color w:val="1F497D"/>
          <w:spacing w:val="48"/>
          <w:w w:val="101"/>
        </w:rPr>
        <w:t xml:space="preserve"> </w:t>
      </w:r>
      <w:r>
        <w:rPr>
          <w:color w:val="1F497D"/>
          <w:spacing w:val="-11"/>
        </w:rPr>
        <w:t>月度活跃用户数</w:t>
      </w:r>
      <w:r>
        <w:rPr>
          <w:color w:val="1F497D"/>
        </w:rPr>
        <w:t xml:space="preserve"> </w:t>
      </w:r>
      <w:r>
        <w:rPr>
          <w:color w:val="1F497D"/>
          <w:spacing w:val="-3"/>
        </w:rPr>
        <w:t>量增长放缓，大部分出现负增长，</w:t>
      </w:r>
      <w:r>
        <w:rPr>
          <w:rFonts w:ascii="Arial" w:eastAsia="Arial" w:hAnsi="Arial" w:cs="Arial"/>
          <w:color w:val="1F497D"/>
          <w:spacing w:val="-3"/>
        </w:rPr>
        <w:t xml:space="preserve">10-11 </w:t>
      </w:r>
      <w:r>
        <w:rPr>
          <w:color w:val="1F497D"/>
          <w:spacing w:val="-3"/>
        </w:rPr>
        <w:t>月部分公司恢复正增长，</w:t>
      </w:r>
      <w:r>
        <w:rPr>
          <w:color w:val="1F497D"/>
          <w:spacing w:val="-4"/>
        </w:rPr>
        <w:t>可见</w:t>
      </w:r>
      <w:r>
        <w:rPr>
          <w:color w:val="1F497D"/>
        </w:rPr>
        <w:t xml:space="preserve"> </w:t>
      </w:r>
      <w:r>
        <w:rPr>
          <w:color w:val="1F497D"/>
          <w:spacing w:val="-2"/>
        </w:rPr>
        <w:t>促销季有效带动流量回升。</w:t>
      </w:r>
      <w:r>
        <w:rPr>
          <w:rFonts w:ascii="Arial" w:eastAsia="Arial" w:hAnsi="Arial" w:cs="Arial"/>
          <w:color w:val="1F497D"/>
          <w:spacing w:val="-2"/>
        </w:rPr>
        <w:t>23</w:t>
      </w:r>
      <w:r>
        <w:rPr>
          <w:rFonts w:ascii="Arial" w:eastAsia="Arial" w:hAnsi="Arial" w:cs="Arial"/>
          <w:color w:val="1F497D"/>
          <w:spacing w:val="48"/>
        </w:rPr>
        <w:t xml:space="preserve"> </w:t>
      </w:r>
      <w:r>
        <w:rPr>
          <w:color w:val="1F497D"/>
          <w:spacing w:val="-2"/>
        </w:rPr>
        <w:t>年双</w:t>
      </w:r>
      <w:r>
        <w:rPr>
          <w:color w:val="1F497D"/>
          <w:spacing w:val="-2"/>
        </w:rPr>
        <w:t xml:space="preserve"> </w:t>
      </w:r>
      <w:r>
        <w:rPr>
          <w:rFonts w:ascii="Arial" w:eastAsia="Arial" w:hAnsi="Arial" w:cs="Arial"/>
          <w:color w:val="1F497D"/>
          <w:spacing w:val="-2"/>
        </w:rPr>
        <w:t>11</w:t>
      </w:r>
      <w:r>
        <w:rPr>
          <w:rFonts w:ascii="Arial" w:eastAsia="Arial" w:hAnsi="Arial" w:cs="Arial"/>
          <w:color w:val="1F497D"/>
          <w:spacing w:val="31"/>
          <w:w w:val="101"/>
        </w:rPr>
        <w:t xml:space="preserve"> </w:t>
      </w:r>
      <w:r>
        <w:rPr>
          <w:color w:val="1F497D"/>
          <w:spacing w:val="-2"/>
        </w:rPr>
        <w:t>全网销售表现良好，各电商平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台持续发力，推出一系列价格补贴、商家扶持、流量补贴政策。根据星</w:t>
      </w:r>
      <w:r>
        <w:rPr>
          <w:color w:val="1F497D"/>
          <w:spacing w:val="17"/>
        </w:rPr>
        <w:t xml:space="preserve"> </w:t>
      </w:r>
      <w:r>
        <w:rPr>
          <w:color w:val="1F497D"/>
          <w:spacing w:val="-8"/>
        </w:rPr>
        <w:t>图数据，</w:t>
      </w:r>
      <w:r>
        <w:rPr>
          <w:rFonts w:ascii="Arial" w:eastAsia="Arial" w:hAnsi="Arial" w:cs="Arial"/>
          <w:color w:val="1F497D"/>
          <w:spacing w:val="-8"/>
        </w:rPr>
        <w:t>23</w:t>
      </w:r>
      <w:r>
        <w:rPr>
          <w:rFonts w:ascii="Arial" w:eastAsia="Arial" w:hAnsi="Arial" w:cs="Arial"/>
          <w:color w:val="1F497D"/>
          <w:spacing w:val="-23"/>
        </w:rPr>
        <w:t xml:space="preserve"> </w:t>
      </w:r>
      <w:r>
        <w:rPr>
          <w:color w:val="1F497D"/>
          <w:spacing w:val="-8"/>
        </w:rPr>
        <w:t>年双</w:t>
      </w:r>
      <w:r>
        <w:rPr>
          <w:color w:val="1F497D"/>
          <w:spacing w:val="-50"/>
        </w:rPr>
        <w:t xml:space="preserve"> </w:t>
      </w:r>
      <w:r>
        <w:rPr>
          <w:rFonts w:ascii="Arial" w:eastAsia="Arial" w:hAnsi="Arial" w:cs="Arial"/>
          <w:color w:val="1F497D"/>
          <w:spacing w:val="-8"/>
        </w:rPr>
        <w:t>11</w:t>
      </w:r>
      <w:r>
        <w:rPr>
          <w:rFonts w:ascii="Arial" w:eastAsia="Arial" w:hAnsi="Arial" w:cs="Arial"/>
          <w:color w:val="1F497D"/>
          <w:spacing w:val="-18"/>
        </w:rPr>
        <w:t xml:space="preserve"> </w:t>
      </w:r>
      <w:r>
        <w:rPr>
          <w:color w:val="1F497D"/>
          <w:spacing w:val="-8"/>
        </w:rPr>
        <w:t>期间全网销售总额为</w:t>
      </w:r>
      <w:r>
        <w:rPr>
          <w:color w:val="1F497D"/>
          <w:spacing w:val="-51"/>
        </w:rPr>
        <w:t xml:space="preserve"> </w:t>
      </w:r>
      <w:r>
        <w:rPr>
          <w:rFonts w:ascii="Arial" w:eastAsia="Arial" w:hAnsi="Arial" w:cs="Arial"/>
          <w:color w:val="1F497D"/>
          <w:spacing w:val="-8"/>
        </w:rPr>
        <w:t>1.14</w:t>
      </w:r>
      <w:r>
        <w:rPr>
          <w:rFonts w:ascii="Arial" w:eastAsia="Arial" w:hAnsi="Arial" w:cs="Arial"/>
          <w:color w:val="1F497D"/>
          <w:spacing w:val="-13"/>
        </w:rPr>
        <w:t xml:space="preserve"> </w:t>
      </w:r>
      <w:r>
        <w:rPr>
          <w:color w:val="1F497D"/>
          <w:spacing w:val="-8"/>
        </w:rPr>
        <w:t>万亿元</w:t>
      </w:r>
      <w:r>
        <w:rPr>
          <w:color w:val="1F497D"/>
          <w:spacing w:val="-9"/>
        </w:rPr>
        <w:t>，同比增长</w:t>
      </w:r>
      <w:r>
        <w:rPr>
          <w:rFonts w:ascii="Arial" w:eastAsia="Arial" w:hAnsi="Arial" w:cs="Arial"/>
          <w:color w:val="1F497D"/>
          <w:spacing w:val="-9"/>
        </w:rPr>
        <w:t>2.08%</w:t>
      </w:r>
      <w:r>
        <w:rPr>
          <w:color w:val="1F497D"/>
          <w:spacing w:val="-9"/>
        </w:rPr>
        <w:t>。</w:t>
      </w:r>
    </w:p>
    <w:p>
      <w:pPr>
        <w:pStyle w:val="BodyText"/>
        <w:spacing w:before="81" w:line="281" w:lineRule="auto"/>
        <w:ind w:left="540" w:right="52" w:hanging="402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50"/>
        </w:rPr>
        <w:t xml:space="preserve">  </w:t>
      </w:r>
      <w:r>
        <w:rPr>
          <w:color w:val="1F497D"/>
          <w:spacing w:val="-8"/>
          <w14:textOutline w14:w="3831">
            <w14:solidFill>
              <w14:srgbClr w14:val="1F497D"/>
            </w14:solidFill>
            <w14:prstDash w14:val="solid"/>
            <w14:round/>
          </w14:textOutline>
        </w:rPr>
        <w:t>中概互联网板块估值整体快速修复，但仍处于估值底部。</w:t>
      </w:r>
      <w:r>
        <w:rPr>
          <w:color w:val="1F497D"/>
          <w:spacing w:val="-8"/>
        </w:rPr>
        <w:t>展望</w:t>
      </w:r>
      <w:r>
        <w:rPr>
          <w:color w:val="1F497D"/>
          <w:spacing w:val="-47"/>
        </w:rPr>
        <w:t xml:space="preserve"> </w:t>
      </w:r>
      <w:r>
        <w:rPr>
          <w:rFonts w:ascii="Arial" w:eastAsia="Arial" w:hAnsi="Arial" w:cs="Arial"/>
          <w:color w:val="1F497D"/>
          <w:spacing w:val="-8"/>
        </w:rPr>
        <w:t xml:space="preserve">2024 </w:t>
      </w:r>
      <w:r>
        <w:rPr>
          <w:color w:val="1F497D"/>
          <w:spacing w:val="-8"/>
        </w:rPr>
        <w:t>年，</w:t>
      </w:r>
      <w:r>
        <w:rPr>
          <w:color w:val="1F497D"/>
        </w:rPr>
        <w:t xml:space="preserve"> </w:t>
      </w:r>
      <w:r>
        <w:rPr>
          <w:color w:val="1F497D"/>
          <w:spacing w:val="-1"/>
        </w:rPr>
        <w:t>我们认为电商公司仍有较多潜力业务需要资金投入，</w:t>
      </w:r>
      <w:r>
        <w:rPr>
          <w:color w:val="1F497D"/>
          <w:spacing w:val="-1"/>
        </w:rPr>
        <w:t xml:space="preserve"> </w:t>
      </w:r>
      <w:r>
        <w:rPr>
          <w:color w:val="1F497D"/>
          <w:spacing w:val="-1"/>
        </w:rPr>
        <w:t>市</w:t>
      </w:r>
      <w:r>
        <w:rPr>
          <w:color w:val="1F497D"/>
          <w:spacing w:val="-2"/>
        </w:rPr>
        <w:t>场对电商公司</w:t>
      </w:r>
      <w:r>
        <w:rPr>
          <w:color w:val="1F497D"/>
        </w:rPr>
        <w:t xml:space="preserve"> </w:t>
      </w:r>
      <w:r>
        <w:rPr>
          <w:color w:val="1F497D"/>
          <w:spacing w:val="-4"/>
        </w:rPr>
        <w:t>的估值以往倾向于流量增长、增量业务，而当主</w:t>
      </w:r>
      <w:r>
        <w:rPr>
          <w:color w:val="1F497D"/>
          <w:spacing w:val="-5"/>
        </w:rPr>
        <w:t>营业务基本成熟、流量</w:t>
      </w:r>
      <w:r>
        <w:rPr>
          <w:color w:val="1F497D"/>
        </w:rPr>
        <w:t xml:space="preserve"> </w:t>
      </w:r>
      <w:r>
        <w:rPr>
          <w:color w:val="1F497D"/>
          <w:spacing w:val="2"/>
        </w:rPr>
        <w:t>见顶，各个公司的盈利能力的兑现情况在市场的评估体系中的权重有</w:t>
      </w:r>
      <w:r>
        <w:rPr>
          <w:color w:val="1F497D"/>
          <w:spacing w:val="8"/>
        </w:rPr>
        <w:t xml:space="preserve"> </w:t>
      </w:r>
      <w:r>
        <w:rPr>
          <w:color w:val="1F497D"/>
          <w:spacing w:val="-4"/>
        </w:rPr>
        <w:t>所提升。短期来看，电商龙头依然面对消费</w:t>
      </w:r>
      <w:r>
        <w:rPr>
          <w:color w:val="1F497D"/>
          <w:spacing w:val="-5"/>
        </w:rPr>
        <w:t>疲软、竞争激化的压力，但</w:t>
      </w:r>
      <w:r>
        <w:rPr>
          <w:color w:val="1F497D"/>
        </w:rPr>
        <w:t xml:space="preserve"> </w:t>
      </w:r>
      <w:r>
        <w:rPr>
          <w:color w:val="1F497D"/>
          <w:spacing w:val="9"/>
        </w:rPr>
        <w:t>中长期来看我们认为互联网龙头的经营重心从粗放扩张转为精细运</w:t>
      </w:r>
      <w:r>
        <w:rPr>
          <w:color w:val="1F497D"/>
          <w:spacing w:val="16"/>
        </w:rPr>
        <w:t xml:space="preserve"> </w:t>
      </w:r>
      <w:r>
        <w:rPr>
          <w:color w:val="1F497D"/>
          <w:spacing w:val="-5"/>
        </w:rPr>
        <w:t>营，积极推动内部组织架构调整，基本面仍有精进空间。同时互联网电</w:t>
      </w:r>
      <w:r>
        <w:rPr>
          <w:color w:val="1F497D"/>
          <w:spacing w:val="17"/>
        </w:rPr>
        <w:t xml:space="preserve"> </w:t>
      </w:r>
      <w:r>
        <w:rPr>
          <w:color w:val="1F497D"/>
          <w:spacing w:val="-4"/>
        </w:rPr>
        <w:t>商持续大力投入研发，叠加数据和用户运营</w:t>
      </w:r>
      <w:r>
        <w:rPr>
          <w:color w:val="1F497D"/>
          <w:spacing w:val="-5"/>
        </w:rPr>
        <w:t>经验沉淀的天然优势，在以</w:t>
      </w:r>
      <w:r>
        <w:rPr>
          <w:color w:val="1F497D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>AI</w:t>
      </w:r>
      <w:r>
        <w:rPr>
          <w:rFonts w:ascii="Arial" w:eastAsia="Arial" w:hAnsi="Arial" w:cs="Arial"/>
          <w:color w:val="1F497D"/>
          <w:spacing w:val="53"/>
        </w:rPr>
        <w:t xml:space="preserve"> </w:t>
      </w:r>
      <w:r>
        <w:rPr>
          <w:color w:val="1F497D"/>
          <w:spacing w:val="-4"/>
        </w:rPr>
        <w:t>为经济新主题的阶段里，本领域会重新回到价值发现的轨道上，</w:t>
      </w:r>
      <w:r>
        <w:rPr>
          <w:color w:val="1F497D"/>
          <w:spacing w:val="-4"/>
        </w:rPr>
        <w:t xml:space="preserve"> </w:t>
      </w:r>
      <w:r>
        <w:rPr>
          <w:color w:val="1F497D"/>
          <w:spacing w:val="-4"/>
        </w:rPr>
        <w:t>弹</w:t>
      </w:r>
      <w:r>
        <w:rPr>
          <w:color w:val="1F497D"/>
        </w:rPr>
        <w:t xml:space="preserve"> </w:t>
      </w:r>
      <w:r>
        <w:rPr>
          <w:color w:val="1F497D"/>
          <w:spacing w:val="-4"/>
        </w:rPr>
        <w:t>药充足的龙头平台将快速修复基本面。在此</w:t>
      </w:r>
      <w:r>
        <w:rPr>
          <w:color w:val="1F497D"/>
          <w:spacing w:val="-5"/>
        </w:rPr>
        <w:t>基础之上，龙头公司依托于</w:t>
      </w:r>
      <w:r>
        <w:rPr>
          <w:color w:val="1F497D"/>
        </w:rPr>
        <w:t xml:space="preserve"> </w:t>
      </w:r>
      <w:r>
        <w:rPr>
          <w:color w:val="1F497D"/>
          <w:spacing w:val="-6"/>
        </w:rPr>
        <w:t>全品类运营经营，以及国内的商家和供应链优势，</w:t>
      </w:r>
      <w:r>
        <w:rPr>
          <w:color w:val="1F497D"/>
          <w:spacing w:val="-6"/>
        </w:rPr>
        <w:t xml:space="preserve"> </w:t>
      </w:r>
      <w:r>
        <w:rPr>
          <w:color w:val="1F497D"/>
          <w:spacing w:val="-6"/>
        </w:rPr>
        <w:t>出海创新商业模式，</w:t>
      </w:r>
      <w:r>
        <w:rPr>
          <w:color w:val="1F497D"/>
          <w:spacing w:val="10"/>
        </w:rPr>
        <w:t xml:space="preserve"> </w:t>
      </w:r>
      <w:r>
        <w:rPr>
          <w:color w:val="1F497D"/>
          <w:spacing w:val="-2"/>
        </w:rPr>
        <w:t>打造第二增长曲线。</w:t>
      </w:r>
    </w:p>
    <w:p>
      <w:pPr>
        <w:pStyle w:val="BodyText"/>
        <w:spacing w:before="77" w:line="273" w:lineRule="auto"/>
        <w:ind w:left="549" w:right="111" w:hanging="411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5"/>
        </w:rPr>
        <w:t xml:space="preserve">  </w:t>
      </w:r>
      <w:r>
        <w:rPr>
          <w:color w:val="1F497D"/>
          <w:spacing w:val="-6"/>
          <w14:textOutline w14:w="3831">
            <w14:solidFill>
              <w14:srgbClr w14:val="1F497D"/>
            </w14:solidFill>
            <w14:prstDash w14:val="solid"/>
            <w14:round/>
          </w14:textOutline>
        </w:rPr>
        <w:t>投资建议：</w:t>
      </w:r>
      <w:r>
        <w:rPr>
          <w:color w:val="1F497D"/>
          <w:spacing w:val="39"/>
        </w:rPr>
        <w:t xml:space="preserve"> </w:t>
      </w:r>
      <w:r>
        <w:rPr>
          <w:color w:val="1F497D"/>
          <w:spacing w:val="-6"/>
        </w:rPr>
        <w:t>龙头公司建议关注：主站货币化率持续提升</w:t>
      </w:r>
      <w:r>
        <w:rPr>
          <w:rFonts w:ascii="Arial" w:eastAsia="Arial" w:hAnsi="Arial" w:cs="Arial"/>
          <w:color w:val="1F497D"/>
          <w:spacing w:val="-7"/>
        </w:rPr>
        <w:t>+</w:t>
      </w:r>
      <w:r>
        <w:rPr>
          <w:color w:val="1F497D"/>
          <w:spacing w:val="-7"/>
        </w:rPr>
        <w:t>买菜扭亏为盈</w:t>
      </w:r>
      <w:r>
        <w:rPr>
          <w:color w:val="1F497D"/>
        </w:rPr>
        <w:t xml:space="preserve"> </w:t>
      </w:r>
      <w:r>
        <w:rPr>
          <w:rFonts w:ascii="Arial" w:eastAsia="Arial" w:hAnsi="Arial" w:cs="Arial"/>
          <w:color w:val="1F497D"/>
          <w:spacing w:val="-1"/>
        </w:rPr>
        <w:t>+</w:t>
      </w:r>
      <w:r>
        <w:rPr>
          <w:rFonts w:ascii="Arial" w:eastAsia="Arial" w:hAnsi="Arial" w:cs="Arial"/>
          <w:color w:val="1F497D"/>
          <w:spacing w:val="-7"/>
        </w:rPr>
        <w:t xml:space="preserve"> </w:t>
      </w:r>
      <w:r>
        <w:rPr>
          <w:color w:val="1F497D"/>
          <w:spacing w:val="-1"/>
        </w:rPr>
        <w:t>出海战略激进扩张的</w:t>
      </w:r>
      <w:r>
        <w:rPr>
          <w:color w:val="1F497D"/>
          <w:spacing w:val="-1"/>
          <w14:textOutline w14:w="3831">
            <w14:solidFill>
              <w14:srgbClr w14:val="1F497D"/>
            </w14:solidFill>
            <w14:prstDash w14:val="solid"/>
            <w14:round/>
          </w14:textOutline>
        </w:rPr>
        <w:t>拼多多</w:t>
      </w:r>
      <w:r>
        <w:rPr>
          <w:color w:val="1F497D"/>
          <w:spacing w:val="-1"/>
        </w:rPr>
        <w:t>；特卖心智既成</w:t>
      </w:r>
      <w:r>
        <w:rPr>
          <w:rFonts w:ascii="Arial" w:eastAsia="Arial" w:hAnsi="Arial" w:cs="Arial"/>
          <w:color w:val="1F497D"/>
          <w:spacing w:val="-1"/>
        </w:rPr>
        <w:t>+</w:t>
      </w:r>
      <w:r>
        <w:rPr>
          <w:color w:val="1F497D"/>
          <w:spacing w:val="-1"/>
        </w:rPr>
        <w:t>持续回购的</w:t>
      </w:r>
      <w:r>
        <w:rPr>
          <w:color w:val="1F497D"/>
          <w:spacing w:val="-1"/>
          <w14:textOutline w14:w="3831">
            <w14:solidFill>
              <w14:srgbClr w14:val="1F497D"/>
            </w14:solidFill>
            <w14:prstDash w14:val="solid"/>
            <w14:round/>
          </w14:textOutline>
        </w:rPr>
        <w:t>唯品会</w:t>
      </w:r>
      <w:r>
        <w:rPr>
          <w:color w:val="1F497D"/>
          <w:spacing w:val="-1"/>
        </w:rPr>
        <w:t>；组</w:t>
      </w:r>
      <w:r>
        <w:rPr>
          <w:color w:val="1F497D"/>
        </w:rPr>
        <w:t xml:space="preserve"> </w:t>
      </w:r>
      <w:r>
        <w:rPr>
          <w:color w:val="1F497D"/>
          <w:spacing w:val="-4"/>
        </w:rPr>
        <w:t>织结构变革释放成长性和估值提升空间的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阿里巴巴</w:t>
      </w:r>
      <w:r>
        <w:rPr>
          <w:color w:val="1F497D"/>
          <w:spacing w:val="-5"/>
          <w14:textOutline w14:w="3831">
            <w14:solidFill>
              <w14:srgbClr w14:val="1F497D"/>
            </w14:solidFill>
            <w14:prstDash w14:val="solid"/>
            <w14:round/>
          </w14:textOutline>
        </w:rPr>
        <w:t>（美股</w:t>
      </w:r>
      <w:r>
        <w:rPr>
          <w:rFonts w:ascii="Arial" w:eastAsia="Arial" w:hAnsi="Arial" w:cs="Arial"/>
          <w:b/>
          <w:bCs/>
          <w:color w:val="1F497D"/>
          <w:spacing w:val="-5"/>
        </w:rPr>
        <w:t>/</w:t>
      </w:r>
      <w:r>
        <w:rPr>
          <w:color w:val="1F497D"/>
          <w:spacing w:val="-5"/>
          <w14:textOutline w14:w="3831">
            <w14:solidFill>
              <w14:srgbClr w14:val="1F497D"/>
            </w14:solidFill>
            <w14:prstDash w14:val="solid"/>
            <w14:round/>
          </w14:textOutline>
        </w:rPr>
        <w:t>港股</w:t>
      </w:r>
      <w:r>
        <w:rPr>
          <w:color w:val="1F497D"/>
          <w:spacing w:val="-38"/>
          <w14:textOutline w14:w="3831">
            <w14:solidFill>
              <w14:srgbClr w14:val="1F497D"/>
            </w14:solidFill>
            <w14:prstDash w14:val="solid"/>
            <w14:round/>
          </w14:textOutline>
        </w:rPr>
        <w:t>）</w:t>
      </w:r>
      <w:r>
        <w:rPr>
          <w:color w:val="1F497D"/>
          <w:spacing w:val="-38"/>
        </w:rPr>
        <w:t>；</w:t>
      </w:r>
      <w:r>
        <w:rPr>
          <w:color w:val="1F497D"/>
          <w:spacing w:val="-5"/>
        </w:rPr>
        <w:t>物流</w:t>
      </w:r>
      <w:r>
        <w:rPr>
          <w:color w:val="1F497D"/>
          <w:spacing w:val="1"/>
        </w:rPr>
        <w:t xml:space="preserve"> </w:t>
      </w:r>
      <w:r>
        <w:rPr>
          <w:color w:val="1F497D"/>
          <w:spacing w:val="-4"/>
        </w:rPr>
        <w:t>和供应链竞争优势凸出的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京东（美股</w:t>
      </w:r>
      <w:r>
        <w:rPr>
          <w:rFonts w:ascii="Arial" w:eastAsia="Arial" w:hAnsi="Arial" w:cs="Arial"/>
          <w:b/>
          <w:bCs/>
          <w:color w:val="1F497D"/>
          <w:spacing w:val="-4"/>
        </w:rPr>
        <w:t>/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港股）</w:t>
      </w:r>
      <w:r>
        <w:rPr>
          <w:color w:val="1F497D"/>
          <w:spacing w:val="-4"/>
        </w:rPr>
        <w:t>。</w:t>
      </w:r>
    </w:p>
    <w:p>
      <w:pPr>
        <w:pStyle w:val="BodyText"/>
        <w:spacing w:before="63" w:line="186" w:lineRule="auto"/>
        <w:ind w:left="138"/>
      </w:pPr>
      <w:r>
        <w:rPr>
          <w:color w:val="1F497D"/>
          <w:position w:val="1"/>
        </w:rPr>
        <w:drawing>
          <wp:inline distT="0" distB="0" distL="0" distR="0">
            <wp:extent cx="77650" cy="7885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497D"/>
          <w:spacing w:val="37"/>
        </w:rPr>
        <w:t xml:space="preserve">  </w:t>
      </w:r>
      <w:r>
        <w:rPr>
          <w:color w:val="1F497D"/>
          <w:spacing w:val="-7"/>
          <w14:textOutline w14:w="3831">
            <w14:solidFill>
              <w14:srgbClr w14:val="1F497D"/>
            </w14:solidFill>
            <w14:prstDash w14:val="solid"/>
            <w14:round/>
          </w14:textOutline>
        </w:rPr>
        <w:t>风险提示。</w:t>
      </w:r>
      <w:r>
        <w:rPr>
          <w:color w:val="1F497D"/>
          <w:spacing w:val="53"/>
        </w:rPr>
        <w:t xml:space="preserve"> </w:t>
      </w:r>
      <w:r>
        <w:rPr>
          <w:color w:val="1F497D"/>
          <w:spacing w:val="-7"/>
        </w:rPr>
        <w:t>消费情绪回温不及预期；平台竞争激化；出海政</w:t>
      </w:r>
      <w:r>
        <w:rPr>
          <w:color w:val="1F497D"/>
          <w:spacing w:val="-8"/>
        </w:rPr>
        <w:t>策多变等。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"/>
        <w:tblW w:w="351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524"/>
        <w:gridCol w:w="992"/>
      </w:tblGrid>
      <w:tr>
        <w:tblPrEx>
          <w:tblW w:w="351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4"/>
        </w:trPr>
        <w:tc>
          <w:tcPr>
            <w:tcW w:w="3516" w:type="dxa"/>
            <w:gridSpan w:val="2"/>
            <w:shd w:val="clear" w:color="auto" w:fill="DEDFEF"/>
            <w:vAlign w:val="top"/>
          </w:tcPr>
          <w:p>
            <w:pPr>
              <w:spacing w:before="78" w:line="215" w:lineRule="auto"/>
              <w:ind w:left="117"/>
              <w:rPr>
                <w:rFonts w:ascii="KaiTi" w:eastAsia="KaiTi" w:hAnsi="KaiTi" w:cs="KaiTi"/>
                <w:sz w:val="24"/>
                <w:szCs w:val="24"/>
              </w:rPr>
            </w:pPr>
            <w:r>
              <w:pict>
                <v:shape id="_x0000_s1030" type="#_x0000_t202" style="width:24.9pt;height:16.65pt;margin-top:2.92pt;margin-left:146.53pt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25" w:lineRule="auto"/>
                          <w:ind w:left="20"/>
                          <w:rPr>
                            <w:rFonts w:ascii="KaiTi" w:eastAsia="KaiTi" w:hAnsi="KaiTi" w:cs="KaiT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17365D"/>
                            <w:spacing w:val="-6"/>
                            <w:sz w:val="24"/>
                            <w:szCs w:val="24"/>
                            <w14:textOutline w14:w="4354">
                              <w14:solidFill>
                                <w14:srgbClr w14:val="17365D"/>
                              </w14:solidFill>
                              <w14:prstDash w14:val="solid"/>
                              <w14:round/>
                            </w14:textOutline>
                          </w:rPr>
                          <w:t>买入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1" style="width:175.6pt;height:0.5pt;margin-top:19.85pt;margin-left:-175.56pt;mso-position-horizontal-relative:right-margin-area;mso-position-vertical-relative:top-margin-area;position:absolute;z-index:251666432" coordorigin="0,0" coordsize="3512,10" path="m,9l2371,9l2371,l,l,9xem2371,9l2381,9l2381,l2371,l2371,9xem2381,9l3511,9l3511,l2381,l2381,9xe" filled="t" fillcolor="#1f497d" stroked="f"/>
              </w:pict>
            </w:r>
            <w:r>
              <w:rPr>
                <w:rFonts w:ascii="KaiTi" w:eastAsia="KaiTi" w:hAnsi="KaiTi" w:cs="KaiTi"/>
                <w:color w:val="17365D"/>
                <w:spacing w:val="-1"/>
                <w:sz w:val="24"/>
                <w:szCs w:val="24"/>
                <w14:textOutline w14:w="4354">
                  <w14:solidFill>
                    <w14:srgbClr w14:val="17365D"/>
                  </w14:solidFill>
                  <w14:prstDash w14:val="solid"/>
                  <w14:round/>
                </w14:textOutline>
              </w:rPr>
              <w:t>行业评级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786"/>
        </w:trPr>
        <w:tc>
          <w:tcPr>
            <w:tcW w:w="3516" w:type="dxa"/>
            <w:gridSpan w:val="2"/>
            <w:vAlign w:val="top"/>
          </w:tcPr>
          <w:p>
            <w:pPr>
              <w:spacing w:before="33" w:line="343" w:lineRule="exact"/>
              <w:ind w:left="3066"/>
              <w:rPr>
                <w:rFonts w:ascii="KaiTi" w:eastAsia="KaiTi" w:hAnsi="KaiTi" w:cs="KaiTi"/>
                <w:sz w:val="18"/>
                <w:szCs w:val="18"/>
              </w:rPr>
            </w:pPr>
            <w:r>
              <w:pict>
                <v:shape id="_x0000_s1032" type="#_x0000_t202" style="width:38pt;height:28.9pt;margin-top:0.68pt;margin-left:4.68pt;position:absolute;z-index:25166540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76" w:lineRule="auto"/>
                          <w:ind w:left="20" w:right="20" w:firstLine="7"/>
                          <w:rPr>
                            <w:rFonts w:ascii="KaiTi" w:eastAsia="KaiTi" w:hAnsi="KaiTi" w:cs="KaiT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17365D"/>
                            <w:spacing w:val="-2"/>
                            <w:sz w:val="18"/>
                            <w:szCs w:val="18"/>
                          </w:rPr>
                          <w:t>前次评级</w:t>
                        </w:r>
                        <w:r>
                          <w:rPr>
                            <w:rFonts w:ascii="KaiTi" w:eastAsia="KaiTi" w:hAnsi="KaiTi" w:cs="KaiTi"/>
                            <w:color w:val="17365D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17365D"/>
                            <w:spacing w:val="-1"/>
                            <w:sz w:val="18"/>
                            <w:szCs w:val="18"/>
                          </w:rPr>
                          <w:t>报告日期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aiTi" w:eastAsia="KaiTi" w:hAnsi="KaiTi" w:cs="KaiTi"/>
                <w:color w:val="17365D"/>
                <w:spacing w:val="-5"/>
                <w:position w:val="12"/>
                <w:sz w:val="18"/>
                <w:szCs w:val="18"/>
              </w:rPr>
              <w:t>买入</w:t>
            </w:r>
          </w:p>
          <w:p>
            <w:pPr>
              <w:pStyle w:val="TableText"/>
              <w:spacing w:line="196" w:lineRule="auto"/>
              <w:ind w:left="2492"/>
            </w:pPr>
            <w:r>
              <w:rPr>
                <w:color w:val="17365D"/>
              </w:rPr>
              <w:t>2024-01-12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524"/>
        </w:trPr>
        <w:tc>
          <w:tcPr>
            <w:tcW w:w="3516" w:type="dxa"/>
            <w:gridSpan w:val="2"/>
            <w:tcBorders>
              <w:bottom w:val="single" w:sz="2" w:space="0" w:color="1F497D"/>
            </w:tcBorders>
            <w:vAlign w:val="top"/>
          </w:tcPr>
          <w:p>
            <w:pPr>
              <w:spacing w:before="243" w:line="220" w:lineRule="auto"/>
              <w:ind w:left="48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1F497D"/>
                <w:spacing w:val="1"/>
                <w:sz w:val="21"/>
                <w:szCs w:val="21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相对市场表现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2183"/>
        </w:trPr>
        <w:tc>
          <w:tcPr>
            <w:tcW w:w="3516" w:type="dxa"/>
            <w:gridSpan w:val="2"/>
            <w:tcBorders>
              <w:top w:val="single" w:sz="2" w:space="0" w:color="1F497D"/>
            </w:tcBorders>
            <w:vAlign w:val="top"/>
          </w:tcPr>
          <w:p>
            <w:pPr>
              <w:pStyle w:val="TableText"/>
              <w:spacing w:line="280" w:lineRule="auto"/>
              <w:rPr>
                <w:sz w:val="21"/>
              </w:rPr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rightMargin">
                    <wp:posOffset>-1903539</wp:posOffset>
                  </wp:positionH>
                  <wp:positionV relativeFrom="topMargin">
                    <wp:posOffset>229120</wp:posOffset>
                  </wp:positionV>
                  <wp:extent cx="1696211" cy="781875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6211" cy="781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33" style="width:64.7pt;height:17.55pt;margin-top:75.64pt;margin-left:-91.28pt;mso-position-horizontal-relative:right-margin-area;mso-position-vertical-relative:top-margin-area;position:absolute;z-index:251661312" coordorigin="0,0" coordsize="1293,350" path="m2,2l38,108l48,64l55,91l62,127l69,96l91,33m98,33l105,62l112,84l120,86l141,7m453,28l460,96l468,84l475,168l499,127l506,48l513,69l520,129l528,76m556,36l564,57l571,105l578,127l600,69l607,88l614,117l621,165l628,134l650,52l657,98l664,132l672,196l679,129l700,153l708,160l715,132l722,134l804,223l811,223l818,240l825,216l832,283l854,309l861,292l868,348m933,316l957,300l964,312l972,295l979,326l986,319l1008,259l1015,256l1022,247l1029,278l1036,295l1058,264l1065,256l1072,240l1080,261l1087,249l1108,230l1116,204l1123,204l1130,192l1137,223l1159,268l1166,244l1173,259l1183,244l1190,218l1212,232l1219,288l1226,273l1233,290l1240,343l1262,312l1269,280l1276,333l1284,324l1291,316e" filled="f" strokecolor="red" strokeweight="0.25pt">
                  <v:stroke endcap="round"/>
                </v:shape>
              </w:pict>
            </w:r>
            <w:r>
              <w:pict>
                <v:shape id="_x0000_s1034" style="width:31.2pt;height:12.45pt;margin-top:91.36pt;margin-left:-47.96pt;mso-position-horizontal-relative:right-margin-area;mso-position-vertical-relative:top-margin-area;position:absolute;z-index:251662336" coordorigin="0,0" coordsize="624,248" path="m2,33l9,76l16,84l38,153l45,93l52,67l60,76l67,2m424,2l446,67l453,86l460,139l468,96l475,156l496,180l504,218l511,220l518,151l525,146l556,165l564,156l571,156l578,201l600,245l607,172l614,141l621,122e" filled="f" strokecolor="red" strokeweight="0.25pt">
                  <v:stroke endcap="round"/>
                </v:shape>
              </w:pict>
            </w:r>
          </w:p>
          <w:p>
            <w:pPr>
              <w:pStyle w:val="TableText"/>
              <w:spacing w:before="32" w:line="203" w:lineRule="auto"/>
              <w:ind w:left="267"/>
              <w:rPr>
                <w:sz w:val="11"/>
                <w:szCs w:val="11"/>
              </w:rPr>
            </w:pPr>
            <w:r>
              <w:rPr>
                <w:spacing w:val="1"/>
                <w:sz w:val="11"/>
                <w:szCs w:val="11"/>
              </w:rPr>
              <w:t>5%</w:t>
            </w:r>
          </w:p>
          <w:p>
            <w:pPr>
              <w:spacing w:before="14" w:line="117" w:lineRule="exact"/>
              <w:ind w:firstLine="788"/>
            </w:pPr>
            <w:r>
              <w:rPr>
                <w:position w:val="-2"/>
              </w:rPr>
              <w:drawing>
                <wp:inline distT="0" distB="0" distL="0" distR="0">
                  <wp:extent cx="16891" cy="74802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1" cy="74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03" w:line="207" w:lineRule="auto"/>
              <w:ind w:left="227"/>
              <w:rPr>
                <w:sz w:val="11"/>
                <w:szCs w:val="11"/>
              </w:rPr>
            </w:pPr>
            <w:r>
              <w:pict>
                <v:shape id="_x0000_s1035" style="width:0.75pt;height:85.55pt;margin-top:-9.57pt;margin-left:25.92pt;position:absolute;z-index:-251658240" coordorigin="0,0" coordsize="15,1711" path="m7,1710l7,e" filled="f" strokecolor="#868686" strokeweight="0.75pt"/>
              </w:pict>
            </w:r>
            <w:r>
              <w:pict>
                <v:shape id="_x0000_s1036" style="width:1.75pt;height:86.3pt;margin-top:-9.94pt;margin-left:24.55pt;position:absolute;z-index:-251657216" coordorigin="0,0" coordsize="35,1726" path="m,1718l34,1718m,1377l34,1377m,1033l34,1033m,690l34,690m,349l34,349m,7l34,7e" filled="f" strokecolor="#868686" strokeweight="0.75pt"/>
              </w:pict>
            </w:r>
            <w:r>
              <w:pict>
                <v:shape id="_x0000_s1037" type="#_x0000_t202" style="width:105.3pt;height:7.4pt;margin-top:4.33pt;margin-left:40.07pt;position:absolute;z-index:25166438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03" w:lineRule="auto"/>
                          <w:ind w:left="20"/>
                          <w:rPr>
                            <w:sz w:val="11"/>
                            <w:szCs w:val="11"/>
                          </w:rPr>
                        </w:pPr>
                        <w:r>
                          <w:rPr>
                            <w:spacing w:val="1"/>
                            <w:sz w:val="11"/>
                            <w:szCs w:val="11"/>
                          </w:rPr>
                          <w:t>03/23     05/23     07/23</w:t>
                        </w:r>
                        <w:r>
                          <w:rPr>
                            <w:spacing w:val="5"/>
                            <w:sz w:val="11"/>
                            <w:szCs w:val="11"/>
                          </w:rPr>
                          <w:t xml:space="preserve">     </w:t>
                        </w:r>
                        <w:r>
                          <w:rPr>
                            <w:spacing w:val="1"/>
                            <w:sz w:val="11"/>
                            <w:szCs w:val="11"/>
                          </w:rPr>
                          <w:t>09/23</w:t>
                        </w:r>
                        <w:r>
                          <w:rPr>
                            <w:spacing w:val="3"/>
                            <w:sz w:val="11"/>
                            <w:szCs w:val="11"/>
                          </w:rPr>
                          <w:t xml:space="preserve">     </w:t>
                        </w:r>
                        <w:r>
                          <w:rPr>
                            <w:spacing w:val="1"/>
                            <w:sz w:val="11"/>
                            <w:szCs w:val="11"/>
                          </w:rPr>
                          <w:t>11/23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4"/>
                <w:sz w:val="11"/>
                <w:szCs w:val="11"/>
              </w:rPr>
              <w:t>-3%01/23</w:t>
            </w:r>
          </w:p>
          <w:p>
            <w:pPr>
              <w:pStyle w:val="TableText"/>
              <w:spacing w:before="233" w:line="203" w:lineRule="auto"/>
              <w:ind w:left="163"/>
              <w:rPr>
                <w:sz w:val="11"/>
                <w:szCs w:val="11"/>
              </w:rPr>
            </w:pPr>
            <w:r>
              <w:rPr>
                <w:spacing w:val="1"/>
                <w:sz w:val="11"/>
                <w:szCs w:val="11"/>
              </w:rPr>
              <w:t>-10%</w:t>
            </w:r>
          </w:p>
          <w:p>
            <w:pPr>
              <w:pStyle w:val="TableText"/>
              <w:spacing w:before="235" w:line="203" w:lineRule="auto"/>
              <w:ind w:left="163"/>
              <w:rPr>
                <w:sz w:val="11"/>
                <w:szCs w:val="11"/>
              </w:rPr>
            </w:pPr>
            <w:r>
              <w:rPr>
                <w:spacing w:val="1"/>
                <w:sz w:val="11"/>
                <w:szCs w:val="11"/>
              </w:rPr>
              <w:t>-18%</w:t>
            </w:r>
          </w:p>
          <w:p>
            <w:pPr>
              <w:pStyle w:val="TableText"/>
              <w:spacing w:before="235" w:line="203" w:lineRule="auto"/>
              <w:ind w:left="163"/>
              <w:rPr>
                <w:sz w:val="11"/>
                <w:szCs w:val="11"/>
              </w:rPr>
            </w:pPr>
            <w:r>
              <w:rPr>
                <w:spacing w:val="1"/>
                <w:sz w:val="11"/>
                <w:szCs w:val="11"/>
              </w:rPr>
              <w:t>-25%</w:t>
            </w:r>
          </w:p>
          <w:p>
            <w:pPr>
              <w:pStyle w:val="TableText"/>
              <w:spacing w:before="235" w:line="203" w:lineRule="auto"/>
              <w:ind w:left="163"/>
              <w:rPr>
                <w:sz w:val="11"/>
                <w:szCs w:val="11"/>
              </w:rPr>
            </w:pPr>
            <w:r>
              <w:rPr>
                <w:spacing w:val="1"/>
                <w:sz w:val="11"/>
                <w:szCs w:val="11"/>
              </w:rPr>
              <w:t>-33%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528"/>
        </w:trPr>
        <w:tc>
          <w:tcPr>
            <w:tcW w:w="3516" w:type="dxa"/>
            <w:gridSpan w:val="2"/>
            <w:vAlign w:val="top"/>
          </w:tcPr>
          <w:p>
            <w:pPr>
              <w:tabs>
                <w:tab w:val="left" w:pos="1219"/>
              </w:tabs>
              <w:spacing w:before="70" w:line="229" w:lineRule="auto"/>
              <w:ind w:left="83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KaiTi" w:eastAsia="KaiTi" w:hAnsi="KaiTi" w:cs="KaiTi"/>
                <w:strike/>
                <w:sz w:val="13"/>
                <w:szCs w:val="13"/>
              </w:rPr>
              <w:tab/>
            </w:r>
            <w:r>
              <w:rPr>
                <w:rFonts w:ascii="KaiTi" w:eastAsia="KaiTi" w:hAnsi="KaiTi" w:cs="KaiTi"/>
                <w:spacing w:val="-12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商贸零售</w:t>
            </w:r>
            <w:r>
              <w:rPr>
                <w:rFonts w:ascii="KaiTi" w:eastAsia="KaiTi" w:hAnsi="KaiTi" w:cs="KaiTi"/>
                <w:spacing w:val="-7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trike/>
                <w:spacing w:val="12"/>
                <w:sz w:val="13"/>
                <w:szCs w:val="13"/>
              </w:rPr>
              <w:t xml:space="preserve">     </w:t>
            </w:r>
            <w:r>
              <w:rPr>
                <w:rFonts w:ascii="KaiTi" w:eastAsia="KaiTi" w:hAnsi="KaiTi" w:cs="KaiTi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4"/>
                <w:sz w:val="13"/>
                <w:szCs w:val="13"/>
              </w:rPr>
              <w:t>沪深</w:t>
            </w:r>
            <w:r>
              <w:rPr>
                <w:rFonts w:ascii="Calibri" w:eastAsia="Calibri" w:hAnsi="Calibri" w:cs="Calibri"/>
                <w:spacing w:val="4"/>
                <w:sz w:val="13"/>
                <w:szCs w:val="13"/>
              </w:rPr>
              <w:t>300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2225"/>
        </w:trPr>
        <w:tc>
          <w:tcPr>
            <w:tcW w:w="3516" w:type="dxa"/>
            <w:gridSpan w:val="2"/>
            <w:tcBorders>
              <w:bottom w:val="single" w:sz="8" w:space="0" w:color="FFFFFF"/>
            </w:tcBorders>
            <w:vAlign w:val="top"/>
          </w:tcPr>
          <w:p>
            <w:pPr>
              <w:pStyle w:val="TableText"/>
              <w:spacing w:line="258" w:lineRule="auto"/>
              <w:rPr>
                <w:sz w:val="21"/>
              </w:rPr>
            </w:pP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rightMargin">
                    <wp:posOffset>-2040000</wp:posOffset>
                  </wp:positionH>
                  <wp:positionV relativeFrom="topMargin">
                    <wp:posOffset>471779</wp:posOffset>
                  </wp:positionV>
                  <wp:extent cx="219075" cy="194729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94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before="59" w:line="217" w:lineRule="auto"/>
              <w:ind w:left="128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15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rFonts w:ascii="KaiTi" w:eastAsia="KaiTi" w:hAnsi="KaiTi" w:cs="KaiTi"/>
                <w:color w:val="1F497D"/>
                <w:spacing w:val="19"/>
                <w:sz w:val="18"/>
                <w:szCs w:val="18"/>
              </w:rPr>
              <w:t xml:space="preserve">   </w:t>
            </w:r>
            <w:r>
              <w:rPr>
                <w:rFonts w:ascii="KaiTi" w:eastAsia="KaiTi" w:hAnsi="KaiTi" w:cs="KaiTi"/>
                <w:color w:val="1F497D"/>
                <w:spacing w:val="-15"/>
                <w:sz w:val="18"/>
                <w:szCs w:val="18"/>
              </w:rPr>
              <w:t>嵇文欣</w:t>
            </w:r>
          </w:p>
          <w:p>
            <w:pPr>
              <w:pStyle w:val="TableText"/>
              <w:spacing w:before="129" w:line="219" w:lineRule="auto"/>
              <w:ind w:left="1079"/>
              <w:rPr>
                <w:sz w:val="15"/>
                <w:szCs w:val="15"/>
              </w:rPr>
            </w:pPr>
            <w:r>
              <w:rPr>
                <w:color w:val="1F497D"/>
                <w:spacing w:val="-4"/>
                <w:sz w:val="15"/>
                <w:szCs w:val="15"/>
              </w:rPr>
              <w:t>SAC</w:t>
            </w:r>
            <w:r>
              <w:rPr>
                <w:color w:val="1F497D"/>
                <w:spacing w:val="42"/>
                <w:w w:val="101"/>
                <w:sz w:val="15"/>
                <w:szCs w:val="15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>执证号：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sz w:val="15"/>
                <w:szCs w:val="15"/>
              </w:rPr>
              <w:t>S0260520050001</w:t>
            </w:r>
          </w:p>
          <w:p>
            <w:pPr>
              <w:pStyle w:val="TableText"/>
              <w:spacing w:before="168" w:line="197" w:lineRule="auto"/>
              <w:ind w:left="1079"/>
              <w:rPr>
                <w:sz w:val="15"/>
                <w:szCs w:val="15"/>
              </w:rPr>
            </w:pPr>
            <w:r>
              <w:rPr>
                <w:color w:val="1F497D"/>
                <w:spacing w:val="-1"/>
                <w:sz w:val="15"/>
                <w:szCs w:val="15"/>
              </w:rPr>
              <w:t>SFC CE</w:t>
            </w:r>
            <w:r>
              <w:rPr>
                <w:color w:val="1F497D"/>
                <w:spacing w:val="11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1"/>
                <w:sz w:val="15"/>
                <w:szCs w:val="15"/>
              </w:rPr>
              <w:t>No. AOB364</w:t>
            </w:r>
          </w:p>
          <w:p>
            <w:pPr>
              <w:pStyle w:val="TableText"/>
              <w:spacing w:before="94"/>
              <w:ind w:left="303"/>
            </w:pPr>
            <w:r>
              <w:rPr>
                <w:color w:val="1F497D"/>
                <w:position w:val="-7"/>
              </w:rPr>
              <w:drawing>
                <wp:inline distT="0" distB="0" distL="0" distR="0">
                  <wp:extent cx="219075" cy="180975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4"/>
              </w:rPr>
              <w:t xml:space="preserve">        </w:t>
            </w:r>
            <w:r>
              <w:rPr>
                <w:color w:val="1F497D"/>
                <w:spacing w:val="-1"/>
              </w:rPr>
              <w:t>021-38003653</w:t>
            </w:r>
          </w:p>
          <w:p>
            <w:pPr>
              <w:pStyle w:val="TableText"/>
              <w:spacing w:before="48"/>
              <w:ind w:left="303"/>
            </w:pPr>
            <w:r>
              <w:rPr>
                <w:color w:val="1F497D"/>
                <w:position w:val="-6"/>
              </w:rPr>
              <w:drawing>
                <wp:inline distT="0" distB="0" distL="0" distR="0">
                  <wp:extent cx="219075" cy="17145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2"/>
              </w:rPr>
              <w:t xml:space="preserve">        </w:t>
            </w:r>
            <w:r>
              <w:rPr>
                <w:color w:val="1F497D"/>
              </w:rPr>
              <w:t>jiwenxin</w:t>
            </w:r>
            <w:r>
              <w:rPr>
                <w:color w:val="1F497D"/>
                <w:spacing w:val="2"/>
              </w:rPr>
              <w:t>@</w:t>
            </w:r>
            <w:r>
              <w:rPr>
                <w:color w:val="1F497D"/>
              </w:rPr>
              <w:t>gf</w:t>
            </w:r>
            <w:r>
              <w:rPr>
                <w:color w:val="1F497D"/>
                <w:spacing w:val="2"/>
              </w:rPr>
              <w:t>.</w:t>
            </w:r>
            <w:r>
              <w:rPr>
                <w:color w:val="1F497D"/>
              </w:rPr>
              <w:t>com</w:t>
            </w:r>
            <w:r>
              <w:rPr>
                <w:color w:val="1F497D"/>
                <w:spacing w:val="2"/>
              </w:rPr>
              <w:t>.</w:t>
            </w:r>
            <w:r>
              <w:rPr>
                <w:color w:val="1F497D"/>
              </w:rPr>
              <w:t>cn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321"/>
        </w:trPr>
        <w:tc>
          <w:tcPr>
            <w:tcW w:w="3516" w:type="dxa"/>
            <w:gridSpan w:val="2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spacing w:before="47" w:line="226" w:lineRule="auto"/>
              <w:ind w:left="11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1F497D"/>
                <w:spacing w:val="-9"/>
                <w:sz w:val="21"/>
                <w:szCs w:val="21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相关研究：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2789"/>
        </w:trPr>
        <w:tc>
          <w:tcPr>
            <w:tcW w:w="2524" w:type="dxa"/>
            <w:tcBorders>
              <w:top w:val="single" w:sz="2" w:space="0" w:color="1F497D"/>
            </w:tcBorders>
            <w:vAlign w:val="top"/>
          </w:tcPr>
          <w:p>
            <w:pPr>
              <w:pStyle w:val="TableText"/>
              <w:spacing w:before="72" w:line="297" w:lineRule="auto"/>
              <w:ind w:left="120" w:right="132" w:firstLine="5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color w:val="1F497D"/>
                <w:spacing w:val="-2"/>
              </w:rPr>
              <w:t>海外高端品牌观察</w:t>
            </w:r>
            <w:r>
              <w:rPr>
                <w:color w:val="1F497D"/>
                <w:spacing w:val="-2"/>
              </w:rPr>
              <w:t xml:space="preserve">:23 </w:t>
            </w:r>
            <w:r>
              <w:rPr>
                <w:rFonts w:ascii="KaiTi" w:eastAsia="KaiTi" w:hAnsi="KaiTi" w:cs="KaiTi"/>
                <w:color w:val="1F497D"/>
                <w:spacing w:val="-2"/>
              </w:rPr>
              <w:t>年全球</w:t>
            </w:r>
            <w:r>
              <w:rPr>
                <w:rFonts w:ascii="KaiTi" w:eastAsia="KaiTi" w:hAnsi="KaiTi" w:cs="KaiTi"/>
                <w:color w:val="1F497D"/>
                <w:spacing w:val="13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1"/>
              </w:rPr>
              <w:t>奢侈品市场增速趋缓，品牌</w:t>
            </w:r>
            <w:r>
              <w:rPr>
                <w:rFonts w:ascii="KaiTi" w:eastAsia="KaiTi" w:hAnsi="KaiTi" w:cs="KaiTi"/>
                <w:color w:val="1F497D"/>
                <w:spacing w:val="1"/>
              </w:rPr>
              <w:t xml:space="preserve">  </w:t>
            </w:r>
            <w:r>
              <w:rPr>
                <w:rFonts w:ascii="KaiTi" w:eastAsia="KaiTi" w:hAnsi="KaiTi" w:cs="KaiTi"/>
                <w:color w:val="1F497D"/>
                <w:spacing w:val="-1"/>
              </w:rPr>
              <w:t>和地区表现分化</w:t>
            </w:r>
          </w:p>
          <w:p>
            <w:pPr>
              <w:pStyle w:val="TableText"/>
              <w:spacing w:before="108" w:line="298" w:lineRule="auto"/>
              <w:ind w:left="117" w:right="133" w:hanging="3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color w:val="1F497D"/>
                <w:spacing w:val="-2"/>
              </w:rPr>
              <w:t>批零社服行业</w:t>
            </w:r>
            <w:r>
              <w:rPr>
                <w:color w:val="1F497D"/>
                <w:spacing w:val="-2"/>
              </w:rPr>
              <w:t>:11</w:t>
            </w:r>
            <w:r>
              <w:rPr>
                <w:color w:val="1F497D"/>
                <w:spacing w:val="22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2"/>
              </w:rPr>
              <w:t>月社零同比</w:t>
            </w:r>
            <w:r>
              <w:rPr>
                <w:rFonts w:ascii="KaiTi" w:eastAsia="KaiTi" w:hAnsi="KaiTi" w:cs="KaiTi"/>
                <w:color w:val="1F497D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3"/>
              </w:rPr>
              <w:t>增长</w:t>
            </w:r>
            <w:r>
              <w:rPr>
                <w:rFonts w:ascii="KaiTi" w:eastAsia="KaiTi" w:hAnsi="KaiTi" w:cs="KaiTi"/>
                <w:color w:val="1F497D"/>
                <w:spacing w:val="-19"/>
              </w:rPr>
              <w:t xml:space="preserve"> </w:t>
            </w:r>
            <w:r>
              <w:rPr>
                <w:color w:val="1F497D"/>
                <w:spacing w:val="-3"/>
              </w:rPr>
              <w:t>10.1%</w:t>
            </w:r>
            <w:r>
              <w:rPr>
                <w:rFonts w:ascii="KaiTi" w:eastAsia="KaiTi" w:hAnsi="KaiTi" w:cs="KaiTi"/>
                <w:color w:val="1F497D"/>
                <w:spacing w:val="-3"/>
              </w:rPr>
              <w:t>，低基数下温和</w:t>
            </w:r>
            <w:r>
              <w:rPr>
                <w:rFonts w:ascii="KaiTi" w:eastAsia="KaiTi" w:hAnsi="KaiTi" w:cs="KaiTi"/>
                <w:color w:val="1F497D"/>
              </w:rPr>
              <w:t xml:space="preserve">  </w:t>
            </w:r>
            <w:r>
              <w:rPr>
                <w:rFonts w:ascii="KaiTi" w:eastAsia="KaiTi" w:hAnsi="KaiTi" w:cs="KaiTi"/>
                <w:color w:val="1F497D"/>
                <w:spacing w:val="-2"/>
              </w:rPr>
              <w:t>复苏</w:t>
            </w:r>
          </w:p>
          <w:p>
            <w:pPr>
              <w:pStyle w:val="TableText"/>
              <w:spacing w:before="108" w:line="282" w:lineRule="auto"/>
              <w:ind w:left="117" w:right="118" w:hanging="3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color w:val="1F497D"/>
                <w:spacing w:val="-1"/>
              </w:rPr>
              <w:t>批零社服行业</w:t>
            </w:r>
            <w:r>
              <w:rPr>
                <w:rFonts w:ascii="KaiTi" w:eastAsia="KaiTi" w:hAnsi="KaiTi" w:cs="KaiTi"/>
                <w:color w:val="1F497D"/>
                <w:spacing w:val="-36"/>
              </w:rPr>
              <w:t xml:space="preserve"> </w:t>
            </w:r>
            <w:r>
              <w:rPr>
                <w:color w:val="1F497D"/>
                <w:spacing w:val="-1"/>
              </w:rPr>
              <w:t xml:space="preserve">2024 </w:t>
            </w:r>
            <w:r>
              <w:rPr>
                <w:rFonts w:ascii="KaiTi" w:eastAsia="KaiTi" w:hAnsi="KaiTi" w:cs="KaiTi"/>
                <w:color w:val="1F497D"/>
                <w:spacing w:val="-1"/>
              </w:rPr>
              <w:t>年投资策</w:t>
            </w:r>
            <w:r>
              <w:rPr>
                <w:rFonts w:ascii="KaiTi" w:eastAsia="KaiTi" w:hAnsi="KaiTi" w:cs="KaiTi"/>
                <w:color w:val="1F497D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1"/>
              </w:rPr>
              <w:t>略</w:t>
            </w:r>
            <w:r>
              <w:rPr>
                <w:color w:val="1F497D"/>
                <w:spacing w:val="-1"/>
              </w:rPr>
              <w:t>:</w:t>
            </w:r>
            <w:r>
              <w:rPr>
                <w:rFonts w:ascii="KaiTi" w:eastAsia="KaiTi" w:hAnsi="KaiTi" w:cs="KaiTi"/>
                <w:color w:val="1F497D"/>
                <w:spacing w:val="-1"/>
              </w:rPr>
              <w:t>在分化中寻找动能</w:t>
            </w:r>
          </w:p>
        </w:tc>
        <w:tc>
          <w:tcPr>
            <w:tcW w:w="992" w:type="dxa"/>
            <w:tcBorders>
              <w:top w:val="single" w:sz="2" w:space="0" w:color="1F497D"/>
            </w:tcBorders>
            <w:vAlign w:val="top"/>
          </w:tcPr>
          <w:p>
            <w:pPr>
              <w:pStyle w:val="TableText"/>
              <w:spacing w:before="109" w:line="195" w:lineRule="auto"/>
              <w:ind w:left="118"/>
              <w:rPr>
                <w:sz w:val="15"/>
                <w:szCs w:val="15"/>
              </w:rPr>
            </w:pPr>
            <w:r>
              <w:rPr>
                <w:color w:val="1F497D"/>
                <w:spacing w:val="-1"/>
                <w:sz w:val="15"/>
                <w:szCs w:val="15"/>
              </w:rPr>
              <w:t>2023-12-26</w:t>
            </w:r>
          </w:p>
          <w:p>
            <w:pPr>
              <w:pStyle w:val="TableText"/>
              <w:spacing w:line="263" w:lineRule="auto"/>
              <w:rPr>
                <w:sz w:val="21"/>
              </w:rPr>
            </w:pPr>
          </w:p>
          <w:p>
            <w:pPr>
              <w:pStyle w:val="TableText"/>
              <w:spacing w:line="263" w:lineRule="auto"/>
              <w:rPr>
                <w:sz w:val="21"/>
              </w:rPr>
            </w:pPr>
          </w:p>
          <w:p>
            <w:pPr>
              <w:pStyle w:val="TableText"/>
              <w:spacing w:line="263" w:lineRule="auto"/>
              <w:rPr>
                <w:sz w:val="21"/>
              </w:rPr>
            </w:pPr>
          </w:p>
          <w:p>
            <w:pPr>
              <w:pStyle w:val="TableText"/>
              <w:spacing w:before="43" w:line="195" w:lineRule="auto"/>
              <w:ind w:left="118"/>
              <w:rPr>
                <w:sz w:val="15"/>
                <w:szCs w:val="15"/>
              </w:rPr>
            </w:pPr>
            <w:r>
              <w:rPr>
                <w:color w:val="1F497D"/>
                <w:sz w:val="15"/>
                <w:szCs w:val="15"/>
              </w:rPr>
              <w:t>2023-12-16</w:t>
            </w:r>
          </w:p>
          <w:p>
            <w:pPr>
              <w:pStyle w:val="TableText"/>
              <w:spacing w:line="263" w:lineRule="auto"/>
              <w:rPr>
                <w:sz w:val="21"/>
              </w:rPr>
            </w:pPr>
          </w:p>
          <w:p>
            <w:pPr>
              <w:pStyle w:val="TableText"/>
              <w:spacing w:line="264" w:lineRule="auto"/>
              <w:rPr>
                <w:sz w:val="21"/>
              </w:rPr>
            </w:pPr>
          </w:p>
          <w:p>
            <w:pPr>
              <w:pStyle w:val="TableText"/>
              <w:spacing w:line="264" w:lineRule="auto"/>
              <w:rPr>
                <w:sz w:val="21"/>
              </w:rPr>
            </w:pPr>
          </w:p>
          <w:p>
            <w:pPr>
              <w:pStyle w:val="TableText"/>
              <w:spacing w:before="43" w:line="195" w:lineRule="auto"/>
              <w:ind w:left="118"/>
              <w:rPr>
                <w:sz w:val="15"/>
                <w:szCs w:val="15"/>
              </w:rPr>
            </w:pPr>
            <w:r>
              <w:rPr>
                <w:color w:val="1F497D"/>
                <w:spacing w:val="-1"/>
                <w:sz w:val="15"/>
                <w:szCs w:val="15"/>
              </w:rPr>
              <w:t>2023-12-03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760"/>
        </w:trPr>
        <w:tc>
          <w:tcPr>
            <w:tcW w:w="3516" w:type="dxa"/>
            <w:gridSpan w:val="2"/>
            <w:vAlign w:val="top"/>
          </w:tcPr>
          <w:p>
            <w:pPr>
              <w:pStyle w:val="TableText"/>
              <w:spacing w:before="241" w:line="215" w:lineRule="auto"/>
              <w:ind w:left="128"/>
            </w:pPr>
            <w:r>
              <w:rPr>
                <w:rFonts w:ascii="KaiTi" w:eastAsia="KaiTi" w:hAnsi="KaiTi" w:cs="KaiTi"/>
                <w:color w:val="1F497D"/>
                <w:spacing w:val="-7"/>
              </w:rPr>
              <w:t>联系人：</w:t>
            </w:r>
            <w:r>
              <w:rPr>
                <w:rFonts w:ascii="KaiTi" w:eastAsia="KaiTi" w:hAnsi="KaiTi" w:cs="KaiTi"/>
                <w:color w:val="1F497D"/>
                <w:spacing w:val="26"/>
              </w:rPr>
              <w:t xml:space="preserve">   </w:t>
            </w:r>
            <w:r>
              <w:rPr>
                <w:rFonts w:ascii="KaiTi" w:eastAsia="KaiTi" w:hAnsi="KaiTi" w:cs="KaiTi"/>
                <w:color w:val="1F497D"/>
                <w:spacing w:val="-7"/>
              </w:rPr>
              <w:t>杨起帆</w:t>
            </w:r>
            <w:r>
              <w:rPr>
                <w:rFonts w:ascii="KaiTi" w:eastAsia="KaiTi" w:hAnsi="KaiTi" w:cs="KaiTi"/>
                <w:color w:val="1F497D"/>
                <w:spacing w:val="-35"/>
              </w:rPr>
              <w:t xml:space="preserve"> </w:t>
            </w:r>
            <w:r>
              <w:rPr>
                <w:color w:val="1F497D"/>
                <w:spacing w:val="-7"/>
              </w:rPr>
              <w:t>021-38003554</w:t>
            </w:r>
          </w:p>
          <w:p>
            <w:pPr>
              <w:pStyle w:val="TableText"/>
              <w:spacing w:before="140" w:line="184" w:lineRule="auto"/>
              <w:ind w:left="1075"/>
            </w:pPr>
            <w:r>
              <w:rPr>
                <w:color w:val="1F497D"/>
                <w:spacing w:val="-1"/>
              </w:rPr>
              <w:t>yangqifan@gf.com.cn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4"/>
          <w:footerReference w:type="default" r:id="rId15"/>
          <w:type w:val="continuous"/>
          <w:pgSz w:w="11907" w:h="16839"/>
          <w:pgMar w:top="1715" w:right="638" w:bottom="1291" w:left="622" w:header="794" w:footer="743" w:gutter="0"/>
          <w:pgNumType w:start="2"/>
          <w:cols w:num="2" w:space="708" w:equalWidth="0">
            <w:col w:w="7028" w:space="100"/>
            <w:col w:w="3517" w:space="0"/>
          </w:cols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68" w:line="218" w:lineRule="auto"/>
        <w:ind w:left="76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重点公司估值和财务分析表</w:t>
      </w:r>
    </w:p>
    <w:p>
      <w:pPr>
        <w:spacing w:line="19" w:lineRule="exact"/>
      </w:pPr>
    </w:p>
    <w:tbl>
      <w:tblPr>
        <w:tblStyle w:val="TableNormal0"/>
        <w:tblW w:w="10494" w:type="dxa"/>
        <w:tblInd w:w="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10"/>
        <w:gridCol w:w="870"/>
        <w:gridCol w:w="522"/>
        <w:gridCol w:w="644"/>
        <w:gridCol w:w="897"/>
        <w:gridCol w:w="443"/>
        <w:gridCol w:w="829"/>
        <w:gridCol w:w="694"/>
        <w:gridCol w:w="709"/>
        <w:gridCol w:w="709"/>
        <w:gridCol w:w="708"/>
        <w:gridCol w:w="710"/>
        <w:gridCol w:w="673"/>
        <w:gridCol w:w="1176"/>
      </w:tblGrid>
      <w:tr>
        <w:tblPrEx>
          <w:tblW w:w="10494" w:type="dxa"/>
          <w:tblInd w:w="1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44"/>
        </w:trPr>
        <w:tc>
          <w:tcPr>
            <w:tcW w:w="910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13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股票简称</w:t>
            </w:r>
          </w:p>
        </w:tc>
        <w:tc>
          <w:tcPr>
            <w:tcW w:w="870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10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股票代码</w:t>
            </w:r>
          </w:p>
        </w:tc>
        <w:tc>
          <w:tcPr>
            <w:tcW w:w="522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8" w:lineRule="auto"/>
              <w:ind w:left="10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货币</w:t>
            </w:r>
          </w:p>
        </w:tc>
        <w:tc>
          <w:tcPr>
            <w:tcW w:w="644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326" w:lineRule="exact"/>
              <w:ind w:left="19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position w:val="1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最新</w:t>
            </w:r>
          </w:p>
          <w:p>
            <w:pPr>
              <w:spacing w:line="224" w:lineRule="auto"/>
              <w:ind w:left="11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收盘价</w:t>
            </w:r>
          </w:p>
        </w:tc>
        <w:tc>
          <w:tcPr>
            <w:tcW w:w="897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215" w:lineRule="auto"/>
              <w:ind w:left="30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最近</w:t>
            </w:r>
          </w:p>
          <w:p>
            <w:pPr>
              <w:spacing w:before="139" w:line="218" w:lineRule="auto"/>
              <w:ind w:left="13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报告日期</w:t>
            </w:r>
          </w:p>
        </w:tc>
        <w:tc>
          <w:tcPr>
            <w:tcW w:w="443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4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评级</w:t>
            </w:r>
          </w:p>
        </w:tc>
        <w:tc>
          <w:tcPr>
            <w:tcW w:w="829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326" w:lineRule="exact"/>
              <w:ind w:left="7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position w:val="1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合理价值</w:t>
            </w:r>
          </w:p>
          <w:p>
            <w:pPr>
              <w:pStyle w:val="TableText"/>
              <w:spacing w:line="239" w:lineRule="auto"/>
              <w:ind w:left="5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（元</w:t>
            </w:r>
            <w:r>
              <w:rPr>
                <w:b/>
                <w:bCs/>
                <w:color w:val="1F497D"/>
                <w:sz w:val="16"/>
                <w:szCs w:val="16"/>
              </w:rPr>
              <w:t>/</w:t>
            </w:r>
            <w:r>
              <w:rPr>
                <w:rFonts w:ascii="KaiTi" w:eastAsia="KaiTi" w:hAnsi="KaiTi" w:cs="KaiTi"/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股）</w:t>
            </w:r>
          </w:p>
        </w:tc>
        <w:tc>
          <w:tcPr>
            <w:tcW w:w="1403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82" w:line="213" w:lineRule="auto"/>
              <w:ind w:left="412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EPS(</w:t>
            </w:r>
            <w:r>
              <w:rPr>
                <w:rFonts w:ascii="KaiTi" w:eastAsia="KaiTi" w:hAnsi="KaiTi" w:cs="KaiTi"/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元</w:t>
            </w: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)</w:t>
            </w:r>
          </w:p>
        </w:tc>
        <w:tc>
          <w:tcPr>
            <w:tcW w:w="1417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05" w:line="197" w:lineRule="auto"/>
              <w:ind w:left="519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PE(x)</w:t>
            </w:r>
          </w:p>
        </w:tc>
        <w:tc>
          <w:tcPr>
            <w:tcW w:w="1383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05" w:line="197" w:lineRule="auto"/>
              <w:ind w:left="197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EV/EBITDA(x)</w:t>
            </w:r>
          </w:p>
        </w:tc>
        <w:tc>
          <w:tcPr>
            <w:tcW w:w="1176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05" w:line="197" w:lineRule="auto"/>
              <w:ind w:left="319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ROE(%)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18"/>
        </w:trPr>
        <w:tc>
          <w:tcPr>
            <w:tcW w:w="910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870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522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644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897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443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829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69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14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70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28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70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30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70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29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710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29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67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30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1176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93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  <w:r>
              <w:rPr>
                <w:b/>
                <w:bCs/>
                <w:color w:val="1F497D"/>
                <w:spacing w:val="11"/>
                <w:w w:val="101"/>
                <w:sz w:val="16"/>
                <w:szCs w:val="16"/>
              </w:rPr>
              <w:t xml:space="preserve">  </w:t>
            </w: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4"/>
        </w:trPr>
        <w:tc>
          <w:tcPr>
            <w:tcW w:w="910" w:type="dxa"/>
            <w:tcBorders>
              <w:top w:val="single" w:sz="6" w:space="0" w:color="000000"/>
            </w:tcBorders>
            <w:vAlign w:val="top"/>
          </w:tcPr>
          <w:p>
            <w:pPr>
              <w:spacing w:before="77" w:line="228" w:lineRule="auto"/>
              <w:ind w:left="14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</w:rPr>
              <w:t>阿里巴巴</w:t>
            </w:r>
          </w:p>
        </w:tc>
        <w:tc>
          <w:tcPr>
            <w:tcW w:w="870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3" w:line="194" w:lineRule="auto"/>
              <w:ind w:left="134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BABA.N</w:t>
            </w:r>
          </w:p>
        </w:tc>
        <w:tc>
          <w:tcPr>
            <w:tcW w:w="522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0" w:line="197" w:lineRule="auto"/>
              <w:ind w:left="97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USD</w:t>
            </w:r>
          </w:p>
        </w:tc>
        <w:tc>
          <w:tcPr>
            <w:tcW w:w="644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2" w:line="195" w:lineRule="auto"/>
              <w:ind w:left="151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71.41</w:t>
            </w:r>
          </w:p>
        </w:tc>
        <w:tc>
          <w:tcPr>
            <w:tcW w:w="89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0" w:line="197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2024/1/12</w:t>
            </w:r>
          </w:p>
        </w:tc>
        <w:tc>
          <w:tcPr>
            <w:tcW w:w="443" w:type="dxa"/>
            <w:tcBorders>
              <w:top w:val="single" w:sz="6" w:space="0" w:color="000000"/>
            </w:tcBorders>
            <w:vAlign w:val="top"/>
          </w:tcPr>
          <w:p>
            <w:pPr>
              <w:spacing w:before="77" w:line="226" w:lineRule="auto"/>
              <w:ind w:left="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2" w:line="195" w:lineRule="auto"/>
              <w:ind w:left="204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98.85</w:t>
            </w:r>
          </w:p>
        </w:tc>
        <w:tc>
          <w:tcPr>
            <w:tcW w:w="694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2" w:line="195" w:lineRule="auto"/>
              <w:ind w:left="14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63.30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2" w:line="19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73.10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2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8.10</w:t>
            </w:r>
          </w:p>
        </w:tc>
        <w:tc>
          <w:tcPr>
            <w:tcW w:w="708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2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7.10</w:t>
            </w:r>
          </w:p>
        </w:tc>
        <w:tc>
          <w:tcPr>
            <w:tcW w:w="710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2" w:line="195" w:lineRule="auto"/>
              <w:ind w:left="20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6.30</w:t>
            </w:r>
          </w:p>
        </w:tc>
        <w:tc>
          <w:tcPr>
            <w:tcW w:w="67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2" w:line="195" w:lineRule="auto"/>
              <w:ind w:left="20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4.50</w:t>
            </w:r>
          </w:p>
        </w:tc>
        <w:tc>
          <w:tcPr>
            <w:tcW w:w="117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2" w:line="195" w:lineRule="auto"/>
              <w:ind w:left="173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9.10</w:t>
            </w:r>
            <w:r>
              <w:rPr>
                <w:color w:val="1F497D"/>
                <w:spacing w:val="1"/>
                <w:sz w:val="16"/>
                <w:szCs w:val="16"/>
              </w:rPr>
              <w:t xml:space="preserve">     </w:t>
            </w:r>
            <w:r>
              <w:rPr>
                <w:color w:val="1F497D"/>
                <w:spacing w:val="-3"/>
                <w:sz w:val="16"/>
                <w:szCs w:val="16"/>
              </w:rPr>
              <w:t>10.10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18"/>
        </w:trPr>
        <w:tc>
          <w:tcPr>
            <w:tcW w:w="910" w:type="dxa"/>
            <w:vAlign w:val="top"/>
          </w:tcPr>
          <w:p>
            <w:pPr>
              <w:pStyle w:val="TableText"/>
              <w:spacing w:before="96" w:line="242" w:lineRule="auto"/>
              <w:ind w:left="76"/>
              <w:rPr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1F497D"/>
                <w:spacing w:val="8"/>
                <w:sz w:val="12"/>
                <w:szCs w:val="12"/>
              </w:rPr>
              <w:t>阿里巴巴</w:t>
            </w:r>
            <w:r>
              <w:rPr>
                <w:color w:val="1F497D"/>
                <w:spacing w:val="8"/>
                <w:sz w:val="12"/>
                <w:szCs w:val="12"/>
              </w:rPr>
              <w:t>-</w:t>
            </w:r>
            <w:r>
              <w:rPr>
                <w:color w:val="1F497D"/>
                <w:sz w:val="12"/>
                <w:szCs w:val="12"/>
              </w:rPr>
              <w:t>SW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04" w:line="195" w:lineRule="auto"/>
              <w:ind w:left="66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09988.HK</w:t>
            </w:r>
          </w:p>
        </w:tc>
        <w:tc>
          <w:tcPr>
            <w:tcW w:w="522" w:type="dxa"/>
            <w:vAlign w:val="top"/>
          </w:tcPr>
          <w:p>
            <w:pPr>
              <w:pStyle w:val="TableText"/>
              <w:spacing w:before="105" w:line="194" w:lineRule="auto"/>
              <w:ind w:left="98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HKD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spacing w:before="104" w:line="195" w:lineRule="auto"/>
              <w:ind w:left="151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70.55</w:t>
            </w:r>
          </w:p>
        </w:tc>
        <w:tc>
          <w:tcPr>
            <w:tcW w:w="897" w:type="dxa"/>
            <w:vAlign w:val="top"/>
          </w:tcPr>
          <w:p>
            <w:pPr>
              <w:pStyle w:val="TableText"/>
              <w:spacing w:before="103" w:line="197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2024/1/12</w:t>
            </w:r>
          </w:p>
        </w:tc>
        <w:tc>
          <w:tcPr>
            <w:tcW w:w="443" w:type="dxa"/>
            <w:vAlign w:val="top"/>
          </w:tcPr>
          <w:p>
            <w:pPr>
              <w:spacing w:before="80" w:line="226" w:lineRule="auto"/>
              <w:ind w:left="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spacing w:before="104" w:line="195" w:lineRule="auto"/>
              <w:ind w:left="204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96.59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04" w:line="195" w:lineRule="auto"/>
              <w:ind w:left="19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7.91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4" w:line="195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9.14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4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8.10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04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7.10</w:t>
            </w:r>
          </w:p>
        </w:tc>
        <w:tc>
          <w:tcPr>
            <w:tcW w:w="710" w:type="dxa"/>
            <w:vAlign w:val="top"/>
          </w:tcPr>
          <w:p>
            <w:pPr>
              <w:pStyle w:val="TableText"/>
              <w:spacing w:before="104" w:line="195" w:lineRule="auto"/>
              <w:ind w:left="20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6.30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04" w:line="195" w:lineRule="auto"/>
              <w:ind w:left="20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4.50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4" w:line="195" w:lineRule="auto"/>
              <w:ind w:left="173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9.10</w:t>
            </w:r>
            <w:r>
              <w:rPr>
                <w:color w:val="1F497D"/>
                <w:spacing w:val="1"/>
                <w:sz w:val="16"/>
                <w:szCs w:val="16"/>
              </w:rPr>
              <w:t xml:space="preserve">     </w:t>
            </w:r>
            <w:r>
              <w:rPr>
                <w:color w:val="1F497D"/>
                <w:spacing w:val="-3"/>
                <w:sz w:val="16"/>
                <w:szCs w:val="16"/>
              </w:rPr>
              <w:t>10.10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36"/>
        </w:trPr>
        <w:tc>
          <w:tcPr>
            <w:tcW w:w="910" w:type="dxa"/>
            <w:vAlign w:val="top"/>
          </w:tcPr>
          <w:p>
            <w:pPr>
              <w:spacing w:before="87" w:line="223" w:lineRule="auto"/>
              <w:ind w:left="29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2"/>
                <w:sz w:val="16"/>
                <w:szCs w:val="16"/>
              </w:rPr>
              <w:t>京东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11" w:line="197" w:lineRule="auto"/>
              <w:ind w:left="23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JD.O</w:t>
            </w:r>
          </w:p>
        </w:tc>
        <w:tc>
          <w:tcPr>
            <w:tcW w:w="522" w:type="dxa"/>
            <w:vAlign w:val="top"/>
          </w:tcPr>
          <w:p>
            <w:pPr>
              <w:pStyle w:val="TableText"/>
              <w:spacing w:before="111" w:line="197" w:lineRule="auto"/>
              <w:ind w:left="97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USD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spacing w:before="113" w:line="195" w:lineRule="auto"/>
              <w:ind w:left="148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25.39</w:t>
            </w:r>
          </w:p>
        </w:tc>
        <w:tc>
          <w:tcPr>
            <w:tcW w:w="897" w:type="dxa"/>
            <w:vAlign w:val="top"/>
          </w:tcPr>
          <w:p>
            <w:pPr>
              <w:pStyle w:val="TableText"/>
              <w:spacing w:before="111" w:line="197" w:lineRule="auto"/>
              <w:ind w:left="5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2023/11/19</w:t>
            </w:r>
          </w:p>
        </w:tc>
        <w:tc>
          <w:tcPr>
            <w:tcW w:w="443" w:type="dxa"/>
            <w:vAlign w:val="top"/>
          </w:tcPr>
          <w:p>
            <w:pPr>
              <w:spacing w:before="88" w:line="226" w:lineRule="auto"/>
              <w:ind w:left="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spacing w:before="113" w:line="195" w:lineRule="auto"/>
              <w:ind w:left="200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43.84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13" w:line="195" w:lineRule="auto"/>
              <w:ind w:left="191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8.02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13" w:line="195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9.01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13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9.30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13" w:line="195" w:lineRule="auto"/>
              <w:ind w:left="20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8.30</w:t>
            </w:r>
          </w:p>
        </w:tc>
        <w:tc>
          <w:tcPr>
            <w:tcW w:w="710" w:type="dxa"/>
            <w:vAlign w:val="top"/>
          </w:tcPr>
          <w:p>
            <w:pPr>
              <w:pStyle w:val="TableText"/>
              <w:spacing w:before="113" w:line="195" w:lineRule="auto"/>
              <w:ind w:left="17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10.70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3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15.50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3" w:line="195" w:lineRule="auto"/>
              <w:ind w:left="138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10.30</w:t>
            </w:r>
            <w:r>
              <w:rPr>
                <w:color w:val="1F497D"/>
                <w:spacing w:val="3"/>
                <w:sz w:val="16"/>
                <w:szCs w:val="16"/>
              </w:rPr>
              <w:t xml:space="preserve">    </w:t>
            </w:r>
            <w:r>
              <w:rPr>
                <w:color w:val="1F497D"/>
                <w:spacing w:val="-4"/>
                <w:sz w:val="16"/>
                <w:szCs w:val="16"/>
              </w:rPr>
              <w:t>10.10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16"/>
        </w:trPr>
        <w:tc>
          <w:tcPr>
            <w:tcW w:w="910" w:type="dxa"/>
            <w:vAlign w:val="top"/>
          </w:tcPr>
          <w:p>
            <w:pPr>
              <w:pStyle w:val="TableText"/>
              <w:spacing w:before="95" w:line="233" w:lineRule="auto"/>
              <w:ind w:left="67"/>
              <w:rPr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1F497D"/>
                <w:spacing w:val="10"/>
                <w:sz w:val="12"/>
                <w:szCs w:val="12"/>
              </w:rPr>
              <w:t>京东集团</w:t>
            </w:r>
            <w:r>
              <w:rPr>
                <w:color w:val="1F497D"/>
                <w:spacing w:val="10"/>
                <w:sz w:val="12"/>
                <w:szCs w:val="12"/>
              </w:rPr>
              <w:t>-</w:t>
            </w:r>
            <w:r>
              <w:rPr>
                <w:color w:val="1F497D"/>
                <w:sz w:val="12"/>
                <w:szCs w:val="12"/>
              </w:rPr>
              <w:t>SW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03" w:line="195" w:lineRule="auto"/>
              <w:ind w:left="66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09618.HK</w:t>
            </w:r>
          </w:p>
        </w:tc>
        <w:tc>
          <w:tcPr>
            <w:tcW w:w="522" w:type="dxa"/>
            <w:vAlign w:val="top"/>
          </w:tcPr>
          <w:p>
            <w:pPr>
              <w:pStyle w:val="TableText"/>
              <w:spacing w:before="104" w:line="194" w:lineRule="auto"/>
              <w:ind w:left="98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HKD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spacing w:before="103" w:line="195" w:lineRule="auto"/>
              <w:ind w:left="150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99.90</w:t>
            </w:r>
          </w:p>
        </w:tc>
        <w:tc>
          <w:tcPr>
            <w:tcW w:w="897" w:type="dxa"/>
            <w:vAlign w:val="top"/>
          </w:tcPr>
          <w:p>
            <w:pPr>
              <w:pStyle w:val="TableText"/>
              <w:spacing w:before="101" w:line="197" w:lineRule="auto"/>
              <w:ind w:left="5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2023/11/19</w:t>
            </w:r>
          </w:p>
        </w:tc>
        <w:tc>
          <w:tcPr>
            <w:tcW w:w="443" w:type="dxa"/>
            <w:vAlign w:val="top"/>
          </w:tcPr>
          <w:p>
            <w:pPr>
              <w:spacing w:before="78" w:line="226" w:lineRule="auto"/>
              <w:ind w:left="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spacing w:before="103" w:line="195" w:lineRule="auto"/>
              <w:ind w:left="172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170.92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03" w:line="195" w:lineRule="auto"/>
              <w:ind w:left="187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4.01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3" w:line="195" w:lineRule="auto"/>
              <w:ind w:left="204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4.51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3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9.30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03" w:line="195" w:lineRule="auto"/>
              <w:ind w:left="20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8.30</w:t>
            </w:r>
          </w:p>
        </w:tc>
        <w:tc>
          <w:tcPr>
            <w:tcW w:w="710" w:type="dxa"/>
            <w:vAlign w:val="top"/>
          </w:tcPr>
          <w:p>
            <w:pPr>
              <w:pStyle w:val="TableText"/>
              <w:spacing w:before="103" w:line="195" w:lineRule="auto"/>
              <w:ind w:left="17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10.70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03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15.50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3" w:line="195" w:lineRule="auto"/>
              <w:ind w:left="138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10.30</w:t>
            </w:r>
            <w:r>
              <w:rPr>
                <w:color w:val="1F497D"/>
                <w:spacing w:val="3"/>
                <w:sz w:val="16"/>
                <w:szCs w:val="16"/>
              </w:rPr>
              <w:t xml:space="preserve">    </w:t>
            </w:r>
            <w:r>
              <w:rPr>
                <w:color w:val="1F497D"/>
                <w:spacing w:val="-4"/>
                <w:sz w:val="16"/>
                <w:szCs w:val="16"/>
              </w:rPr>
              <w:t>10.10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8"/>
        </w:trPr>
        <w:tc>
          <w:tcPr>
            <w:tcW w:w="910" w:type="dxa"/>
            <w:vAlign w:val="top"/>
          </w:tcPr>
          <w:p>
            <w:pPr>
              <w:spacing w:before="88" w:line="213" w:lineRule="auto"/>
              <w:ind w:left="21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</w:rPr>
              <w:t>拼多多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12" w:line="197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PDD.O</w:t>
            </w:r>
          </w:p>
        </w:tc>
        <w:tc>
          <w:tcPr>
            <w:tcW w:w="522" w:type="dxa"/>
            <w:vAlign w:val="top"/>
          </w:tcPr>
          <w:p>
            <w:pPr>
              <w:pStyle w:val="TableText"/>
              <w:spacing w:before="112" w:line="197" w:lineRule="auto"/>
              <w:ind w:left="97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USD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spacing w:before="113" w:line="195" w:lineRule="auto"/>
              <w:ind w:left="118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151.33</w:t>
            </w:r>
          </w:p>
        </w:tc>
        <w:tc>
          <w:tcPr>
            <w:tcW w:w="897" w:type="dxa"/>
            <w:vAlign w:val="top"/>
          </w:tcPr>
          <w:p>
            <w:pPr>
              <w:pStyle w:val="TableText"/>
              <w:spacing w:before="112" w:line="197" w:lineRule="auto"/>
              <w:ind w:left="5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2023/05/28</w:t>
            </w:r>
          </w:p>
        </w:tc>
        <w:tc>
          <w:tcPr>
            <w:tcW w:w="443" w:type="dxa"/>
            <w:vAlign w:val="top"/>
          </w:tcPr>
          <w:p>
            <w:pPr>
              <w:spacing w:before="89" w:line="226" w:lineRule="auto"/>
              <w:ind w:left="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spacing w:before="113" w:line="195" w:lineRule="auto"/>
              <w:ind w:left="172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101.26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13" w:line="195" w:lineRule="auto"/>
              <w:ind w:left="14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33.31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13" w:line="195" w:lineRule="auto"/>
              <w:ind w:left="165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35.72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13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15.20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13" w:line="195" w:lineRule="auto"/>
              <w:ind w:left="17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14.10</w:t>
            </w:r>
          </w:p>
        </w:tc>
        <w:tc>
          <w:tcPr>
            <w:tcW w:w="710" w:type="dxa"/>
            <w:vAlign w:val="top"/>
          </w:tcPr>
          <w:p>
            <w:pPr>
              <w:pStyle w:val="TableText"/>
              <w:spacing w:before="113" w:line="195" w:lineRule="auto"/>
              <w:ind w:left="17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13.70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3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12.20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3" w:line="195" w:lineRule="auto"/>
              <w:ind w:left="125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24.00</w:t>
            </w:r>
            <w:r>
              <w:rPr>
                <w:color w:val="1F497D"/>
                <w:spacing w:val="3"/>
                <w:sz w:val="16"/>
                <w:szCs w:val="16"/>
              </w:rPr>
              <w:t xml:space="preserve">    </w:t>
            </w:r>
            <w:r>
              <w:rPr>
                <w:color w:val="1F497D"/>
                <w:spacing w:val="-3"/>
                <w:sz w:val="16"/>
                <w:szCs w:val="16"/>
              </w:rPr>
              <w:t>19.00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9"/>
        </w:trPr>
        <w:tc>
          <w:tcPr>
            <w:tcW w:w="910" w:type="dxa"/>
            <w:vAlign w:val="top"/>
          </w:tcPr>
          <w:p>
            <w:pPr>
              <w:spacing w:before="85" w:line="221" w:lineRule="auto"/>
              <w:ind w:left="21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</w:rPr>
              <w:t>唯品会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08" w:line="197" w:lineRule="auto"/>
              <w:ind w:left="154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VIPS.N</w:t>
            </w:r>
          </w:p>
        </w:tc>
        <w:tc>
          <w:tcPr>
            <w:tcW w:w="522" w:type="dxa"/>
            <w:vAlign w:val="top"/>
          </w:tcPr>
          <w:p>
            <w:pPr>
              <w:pStyle w:val="TableText"/>
              <w:spacing w:before="108" w:line="197" w:lineRule="auto"/>
              <w:ind w:left="97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USD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spacing w:before="109" w:line="195" w:lineRule="auto"/>
              <w:ind w:left="161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16.89</w:t>
            </w:r>
          </w:p>
        </w:tc>
        <w:tc>
          <w:tcPr>
            <w:tcW w:w="897" w:type="dxa"/>
            <w:vAlign w:val="top"/>
          </w:tcPr>
          <w:p>
            <w:pPr>
              <w:pStyle w:val="TableText"/>
              <w:spacing w:before="108" w:line="197" w:lineRule="auto"/>
              <w:ind w:left="5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2023/11/21</w:t>
            </w:r>
          </w:p>
        </w:tc>
        <w:tc>
          <w:tcPr>
            <w:tcW w:w="443" w:type="dxa"/>
            <w:vAlign w:val="top"/>
          </w:tcPr>
          <w:p>
            <w:pPr>
              <w:spacing w:before="85" w:line="226" w:lineRule="auto"/>
              <w:ind w:left="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spacing w:before="109" w:line="195" w:lineRule="auto"/>
              <w:ind w:left="21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18.83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09" w:line="195" w:lineRule="auto"/>
              <w:ind w:left="159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16.90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9" w:line="195" w:lineRule="auto"/>
              <w:ind w:left="176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17.90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9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6.60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09" w:line="195" w:lineRule="auto"/>
              <w:ind w:left="20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6.20</w:t>
            </w:r>
          </w:p>
        </w:tc>
        <w:tc>
          <w:tcPr>
            <w:tcW w:w="710" w:type="dxa"/>
            <w:vAlign w:val="top"/>
          </w:tcPr>
          <w:p>
            <w:pPr>
              <w:pStyle w:val="TableText"/>
              <w:spacing w:before="109" w:line="195" w:lineRule="auto"/>
              <w:ind w:left="20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5.10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09" w:line="195" w:lineRule="auto"/>
              <w:ind w:left="20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4.50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9" w:line="195" w:lineRule="auto"/>
              <w:ind w:left="138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18.40</w:t>
            </w:r>
            <w:r>
              <w:rPr>
                <w:color w:val="1F497D"/>
                <w:spacing w:val="3"/>
                <w:sz w:val="16"/>
                <w:szCs w:val="16"/>
              </w:rPr>
              <w:t xml:space="preserve">    </w:t>
            </w:r>
            <w:r>
              <w:rPr>
                <w:color w:val="1F497D"/>
                <w:spacing w:val="-4"/>
                <w:sz w:val="16"/>
                <w:szCs w:val="16"/>
              </w:rPr>
              <w:t>16.20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1"/>
        </w:trPr>
        <w:tc>
          <w:tcPr>
            <w:tcW w:w="910" w:type="dxa"/>
            <w:vAlign w:val="top"/>
          </w:tcPr>
          <w:p>
            <w:pPr>
              <w:spacing w:before="82" w:line="223" w:lineRule="auto"/>
              <w:ind w:left="21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</w:rPr>
              <w:t>携程网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05" w:line="197" w:lineRule="auto"/>
              <w:ind w:left="9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TCOM.O</w:t>
            </w:r>
          </w:p>
        </w:tc>
        <w:tc>
          <w:tcPr>
            <w:tcW w:w="522" w:type="dxa"/>
            <w:vAlign w:val="top"/>
          </w:tcPr>
          <w:p>
            <w:pPr>
              <w:pStyle w:val="TableText"/>
              <w:spacing w:before="105" w:line="197" w:lineRule="auto"/>
              <w:ind w:left="97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USD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spacing w:before="107" w:line="195" w:lineRule="auto"/>
              <w:ind w:left="150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37.55</w:t>
            </w:r>
          </w:p>
        </w:tc>
        <w:tc>
          <w:tcPr>
            <w:tcW w:w="897" w:type="dxa"/>
            <w:vAlign w:val="top"/>
          </w:tcPr>
          <w:p>
            <w:pPr>
              <w:pStyle w:val="TableText"/>
              <w:spacing w:before="105" w:line="197" w:lineRule="auto"/>
              <w:ind w:left="5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2023/11/25</w:t>
            </w:r>
          </w:p>
        </w:tc>
        <w:tc>
          <w:tcPr>
            <w:tcW w:w="443" w:type="dxa"/>
            <w:vAlign w:val="top"/>
          </w:tcPr>
          <w:p>
            <w:pPr>
              <w:spacing w:before="82" w:line="226" w:lineRule="auto"/>
              <w:ind w:left="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spacing w:before="107" w:line="195" w:lineRule="auto"/>
              <w:ind w:left="249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6.52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07" w:line="195" w:lineRule="auto"/>
              <w:ind w:left="202"/>
              <w:rPr>
                <w:sz w:val="16"/>
                <w:szCs w:val="16"/>
              </w:rPr>
            </w:pPr>
            <w:r>
              <w:rPr>
                <w:color w:val="1F497D"/>
                <w:spacing w:val="-5"/>
                <w:sz w:val="16"/>
                <w:szCs w:val="16"/>
              </w:rPr>
              <w:t>1.40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7" w:line="195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5.50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7" w:line="195" w:lineRule="auto"/>
              <w:ind w:left="162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27.00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07" w:line="195" w:lineRule="auto"/>
              <w:ind w:left="20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6.90</w:t>
            </w:r>
          </w:p>
        </w:tc>
        <w:tc>
          <w:tcPr>
            <w:tcW w:w="710" w:type="dxa"/>
            <w:vAlign w:val="top"/>
          </w:tcPr>
          <w:p>
            <w:pPr>
              <w:pStyle w:val="TableText"/>
              <w:spacing w:before="107" w:line="195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42.56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07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8.90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7" w:line="195" w:lineRule="auto"/>
              <w:ind w:left="145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-1.00</w:t>
            </w:r>
            <w:r>
              <w:rPr>
                <w:color w:val="1F497D"/>
                <w:spacing w:val="3"/>
                <w:sz w:val="16"/>
                <w:szCs w:val="16"/>
              </w:rPr>
              <w:t xml:space="preserve">     </w:t>
            </w:r>
            <w:r>
              <w:rPr>
                <w:color w:val="1F497D"/>
                <w:spacing w:val="-2"/>
                <w:sz w:val="16"/>
                <w:szCs w:val="16"/>
              </w:rPr>
              <w:t>5.30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31"/>
        </w:trPr>
        <w:tc>
          <w:tcPr>
            <w:tcW w:w="910" w:type="dxa"/>
            <w:vAlign w:val="top"/>
          </w:tcPr>
          <w:p>
            <w:pPr>
              <w:pStyle w:val="TableText"/>
              <w:spacing w:before="87" w:line="219" w:lineRule="auto"/>
              <w:ind w:left="53"/>
              <w:rPr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</w:rPr>
              <w:t>携程集团</w:t>
            </w:r>
            <w:r>
              <w:rPr>
                <w:color w:val="1F497D"/>
                <w:sz w:val="16"/>
                <w:szCs w:val="16"/>
              </w:rPr>
              <w:t>-S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12" w:line="195" w:lineRule="auto"/>
              <w:ind w:left="66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09961.HK</w:t>
            </w:r>
          </w:p>
        </w:tc>
        <w:tc>
          <w:tcPr>
            <w:tcW w:w="522" w:type="dxa"/>
            <w:vAlign w:val="top"/>
          </w:tcPr>
          <w:p>
            <w:pPr>
              <w:pStyle w:val="TableText"/>
              <w:spacing w:before="113" w:line="194" w:lineRule="auto"/>
              <w:ind w:left="98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HKD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spacing w:before="112" w:line="195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293.60</w:t>
            </w:r>
          </w:p>
        </w:tc>
        <w:tc>
          <w:tcPr>
            <w:tcW w:w="897" w:type="dxa"/>
            <w:vAlign w:val="top"/>
          </w:tcPr>
          <w:p>
            <w:pPr>
              <w:pStyle w:val="TableText"/>
              <w:spacing w:before="111" w:line="197" w:lineRule="auto"/>
              <w:ind w:left="5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2023/11/25</w:t>
            </w:r>
          </w:p>
        </w:tc>
        <w:tc>
          <w:tcPr>
            <w:tcW w:w="443" w:type="dxa"/>
            <w:vAlign w:val="top"/>
          </w:tcPr>
          <w:p>
            <w:pPr>
              <w:spacing w:before="88" w:line="226" w:lineRule="auto"/>
              <w:ind w:left="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spacing w:before="112" w:line="195" w:lineRule="auto"/>
              <w:ind w:left="21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17.07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12" w:line="195" w:lineRule="auto"/>
              <w:ind w:left="191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0.47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12" w:line="195" w:lineRule="auto"/>
              <w:ind w:left="219"/>
              <w:rPr>
                <w:sz w:val="16"/>
                <w:szCs w:val="16"/>
              </w:rPr>
            </w:pPr>
            <w:r>
              <w:rPr>
                <w:color w:val="1F497D"/>
                <w:spacing w:val="-5"/>
                <w:sz w:val="16"/>
                <w:szCs w:val="16"/>
              </w:rPr>
              <w:t>1.83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12" w:line="195" w:lineRule="auto"/>
              <w:ind w:left="162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27.00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12" w:line="195" w:lineRule="auto"/>
              <w:ind w:left="20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6.90</w:t>
            </w:r>
          </w:p>
        </w:tc>
        <w:tc>
          <w:tcPr>
            <w:tcW w:w="710" w:type="dxa"/>
            <w:vAlign w:val="top"/>
          </w:tcPr>
          <w:p>
            <w:pPr>
              <w:pStyle w:val="TableText"/>
              <w:spacing w:before="112" w:line="195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42.56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2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8.90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2" w:line="195" w:lineRule="auto"/>
              <w:ind w:left="145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-1.00</w:t>
            </w:r>
            <w:r>
              <w:rPr>
                <w:color w:val="1F497D"/>
                <w:spacing w:val="3"/>
                <w:sz w:val="16"/>
                <w:szCs w:val="16"/>
              </w:rPr>
              <w:t xml:space="preserve">     </w:t>
            </w:r>
            <w:r>
              <w:rPr>
                <w:color w:val="1F497D"/>
                <w:spacing w:val="-2"/>
                <w:sz w:val="16"/>
                <w:szCs w:val="16"/>
              </w:rPr>
              <w:t>5.30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19"/>
        </w:trPr>
        <w:tc>
          <w:tcPr>
            <w:tcW w:w="910" w:type="dxa"/>
            <w:vAlign w:val="top"/>
          </w:tcPr>
          <w:p>
            <w:pPr>
              <w:spacing w:before="83" w:line="216" w:lineRule="auto"/>
              <w:ind w:left="15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同程旅行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08" w:line="195" w:lineRule="auto"/>
              <w:ind w:left="66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00780.HK</w:t>
            </w:r>
          </w:p>
        </w:tc>
        <w:tc>
          <w:tcPr>
            <w:tcW w:w="522" w:type="dxa"/>
            <w:vAlign w:val="top"/>
          </w:tcPr>
          <w:p>
            <w:pPr>
              <w:pStyle w:val="TableText"/>
              <w:spacing w:before="109" w:line="194" w:lineRule="auto"/>
              <w:ind w:left="98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HKD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spacing w:before="108" w:line="195" w:lineRule="auto"/>
              <w:ind w:left="161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15.94</w:t>
            </w:r>
          </w:p>
        </w:tc>
        <w:tc>
          <w:tcPr>
            <w:tcW w:w="897" w:type="dxa"/>
            <w:vAlign w:val="top"/>
          </w:tcPr>
          <w:p>
            <w:pPr>
              <w:pStyle w:val="TableText"/>
              <w:spacing w:before="107" w:line="197" w:lineRule="auto"/>
              <w:ind w:left="5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2023/11/23</w:t>
            </w:r>
          </w:p>
        </w:tc>
        <w:tc>
          <w:tcPr>
            <w:tcW w:w="443" w:type="dxa"/>
            <w:vAlign w:val="top"/>
          </w:tcPr>
          <w:p>
            <w:pPr>
              <w:spacing w:before="84" w:line="226" w:lineRule="auto"/>
              <w:ind w:left="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spacing w:before="108" w:line="195" w:lineRule="auto"/>
              <w:ind w:left="200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45.91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08" w:line="195" w:lineRule="auto"/>
              <w:ind w:left="146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20.40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8" w:line="195" w:lineRule="auto"/>
              <w:ind w:left="16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21.00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8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13.00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08" w:line="195" w:lineRule="auto"/>
              <w:ind w:left="17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13.00</w:t>
            </w:r>
          </w:p>
        </w:tc>
        <w:tc>
          <w:tcPr>
            <w:tcW w:w="710" w:type="dxa"/>
            <w:vAlign w:val="top"/>
          </w:tcPr>
          <w:p>
            <w:pPr>
              <w:pStyle w:val="TableText"/>
              <w:spacing w:before="108" w:line="195" w:lineRule="auto"/>
              <w:ind w:left="17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14.00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08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14.00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8" w:line="195" w:lineRule="auto"/>
              <w:ind w:left="173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9.10</w:t>
            </w:r>
            <w:r>
              <w:rPr>
                <w:color w:val="1F497D"/>
                <w:spacing w:val="8"/>
                <w:sz w:val="16"/>
                <w:szCs w:val="16"/>
              </w:rPr>
              <w:t xml:space="preserve">     </w:t>
            </w:r>
            <w:r>
              <w:rPr>
                <w:color w:val="1F497D"/>
                <w:spacing w:val="-2"/>
                <w:sz w:val="16"/>
                <w:szCs w:val="16"/>
              </w:rPr>
              <w:t>8.00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38"/>
        </w:trPr>
        <w:tc>
          <w:tcPr>
            <w:tcW w:w="910" w:type="dxa"/>
            <w:vAlign w:val="top"/>
          </w:tcPr>
          <w:p>
            <w:pPr>
              <w:spacing w:before="91" w:line="216" w:lineRule="auto"/>
              <w:ind w:left="14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</w:rPr>
              <w:t>宝尊电商</w:t>
            </w:r>
          </w:p>
        </w:tc>
        <w:tc>
          <w:tcPr>
            <w:tcW w:w="870" w:type="dxa"/>
            <w:vAlign w:val="top"/>
          </w:tcPr>
          <w:p>
            <w:pPr>
              <w:pStyle w:val="TableText"/>
              <w:spacing w:before="114" w:line="197" w:lineRule="auto"/>
              <w:ind w:left="12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BZUN.O</w:t>
            </w:r>
          </w:p>
        </w:tc>
        <w:tc>
          <w:tcPr>
            <w:tcW w:w="522" w:type="dxa"/>
            <w:vAlign w:val="top"/>
          </w:tcPr>
          <w:p>
            <w:pPr>
              <w:pStyle w:val="TableText"/>
              <w:spacing w:before="114" w:line="197" w:lineRule="auto"/>
              <w:ind w:left="97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USD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spacing w:before="116" w:line="195" w:lineRule="auto"/>
              <w:ind w:left="194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2.24</w:t>
            </w:r>
          </w:p>
        </w:tc>
        <w:tc>
          <w:tcPr>
            <w:tcW w:w="897" w:type="dxa"/>
            <w:vAlign w:val="top"/>
          </w:tcPr>
          <w:p>
            <w:pPr>
              <w:pStyle w:val="TableText"/>
              <w:spacing w:before="114" w:line="197" w:lineRule="auto"/>
              <w:ind w:left="5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2023/03/31</w:t>
            </w:r>
          </w:p>
        </w:tc>
        <w:tc>
          <w:tcPr>
            <w:tcW w:w="443" w:type="dxa"/>
            <w:vAlign w:val="top"/>
          </w:tcPr>
          <w:p>
            <w:pPr>
              <w:spacing w:before="91" w:line="226" w:lineRule="auto"/>
              <w:ind w:left="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spacing w:before="116" w:line="195" w:lineRule="auto"/>
              <w:ind w:left="161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357.98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16" w:line="195" w:lineRule="auto"/>
              <w:ind w:left="146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20.40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16" w:line="195" w:lineRule="auto"/>
              <w:ind w:left="16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21.00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16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13.00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16" w:line="195" w:lineRule="auto"/>
              <w:ind w:left="17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13.00</w:t>
            </w:r>
          </w:p>
        </w:tc>
        <w:tc>
          <w:tcPr>
            <w:tcW w:w="710" w:type="dxa"/>
            <w:vAlign w:val="top"/>
          </w:tcPr>
          <w:p>
            <w:pPr>
              <w:pStyle w:val="TableText"/>
              <w:spacing w:before="116" w:line="195" w:lineRule="auto"/>
              <w:ind w:left="17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14.00</w:t>
            </w:r>
          </w:p>
        </w:tc>
        <w:tc>
          <w:tcPr>
            <w:tcW w:w="673" w:type="dxa"/>
            <w:vAlign w:val="top"/>
          </w:tcPr>
          <w:p>
            <w:pPr>
              <w:pStyle w:val="TableText"/>
              <w:spacing w:before="116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14.00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6" w:line="195" w:lineRule="auto"/>
              <w:ind w:left="173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9.10</w:t>
            </w:r>
            <w:r>
              <w:rPr>
                <w:color w:val="1F497D"/>
                <w:spacing w:val="8"/>
                <w:sz w:val="16"/>
                <w:szCs w:val="16"/>
              </w:rPr>
              <w:t xml:space="preserve">     </w:t>
            </w:r>
            <w:r>
              <w:rPr>
                <w:color w:val="1F497D"/>
                <w:spacing w:val="-2"/>
                <w:sz w:val="16"/>
                <w:szCs w:val="16"/>
              </w:rPr>
              <w:t>8.00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25"/>
        </w:trPr>
        <w:tc>
          <w:tcPr>
            <w:tcW w:w="91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6" w:line="230" w:lineRule="auto"/>
              <w:ind w:left="120"/>
              <w:rPr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1F497D"/>
                <w:spacing w:val="6"/>
                <w:sz w:val="12"/>
                <w:szCs w:val="12"/>
              </w:rPr>
              <w:t>宝尊电商</w:t>
            </w:r>
            <w:r>
              <w:rPr>
                <w:color w:val="1F497D"/>
                <w:spacing w:val="6"/>
                <w:sz w:val="12"/>
                <w:szCs w:val="12"/>
              </w:rPr>
              <w:t>-W</w:t>
            </w:r>
          </w:p>
        </w:tc>
        <w:tc>
          <w:tcPr>
            <w:tcW w:w="87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66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09991.HK</w:t>
            </w:r>
          </w:p>
        </w:tc>
        <w:tc>
          <w:tcPr>
            <w:tcW w:w="522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5" w:line="194" w:lineRule="auto"/>
              <w:ind w:left="98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HKD</w:t>
            </w:r>
          </w:p>
        </w:tc>
        <w:tc>
          <w:tcPr>
            <w:tcW w:w="64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9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5.89</w:t>
            </w:r>
          </w:p>
        </w:tc>
        <w:tc>
          <w:tcPr>
            <w:tcW w:w="89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2" w:line="197" w:lineRule="auto"/>
              <w:ind w:left="5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2023/03/31</w:t>
            </w:r>
          </w:p>
        </w:tc>
        <w:tc>
          <w:tcPr>
            <w:tcW w:w="443" w:type="dxa"/>
            <w:tcBorders>
              <w:bottom w:val="single" w:sz="2" w:space="0" w:color="000000"/>
            </w:tcBorders>
            <w:vAlign w:val="top"/>
          </w:tcPr>
          <w:p>
            <w:pPr>
              <w:spacing w:before="79" w:line="226" w:lineRule="auto"/>
              <w:ind w:left="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202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21.44</w:t>
            </w:r>
          </w:p>
        </w:tc>
        <w:tc>
          <w:tcPr>
            <w:tcW w:w="69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91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0.98</w:t>
            </w:r>
          </w:p>
        </w:tc>
        <w:tc>
          <w:tcPr>
            <w:tcW w:w="70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219"/>
              <w:rPr>
                <w:sz w:val="16"/>
                <w:szCs w:val="16"/>
              </w:rPr>
            </w:pPr>
            <w:r>
              <w:rPr>
                <w:color w:val="1F497D"/>
                <w:spacing w:val="-5"/>
                <w:sz w:val="16"/>
                <w:szCs w:val="16"/>
              </w:rPr>
              <w:t>1.18</w:t>
            </w:r>
          </w:p>
        </w:tc>
        <w:tc>
          <w:tcPr>
            <w:tcW w:w="70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14.10</w:t>
            </w:r>
          </w:p>
        </w:tc>
        <w:tc>
          <w:tcPr>
            <w:tcW w:w="70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74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11.70</w:t>
            </w:r>
          </w:p>
        </w:tc>
        <w:tc>
          <w:tcPr>
            <w:tcW w:w="71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20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9.60</w:t>
            </w:r>
          </w:p>
        </w:tc>
        <w:tc>
          <w:tcPr>
            <w:tcW w:w="67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8.30</w:t>
            </w:r>
          </w:p>
        </w:tc>
        <w:tc>
          <w:tcPr>
            <w:tcW w:w="117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73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9.70</w:t>
            </w:r>
            <w:r>
              <w:rPr>
                <w:color w:val="1F497D"/>
                <w:spacing w:val="1"/>
                <w:sz w:val="16"/>
                <w:szCs w:val="16"/>
              </w:rPr>
              <w:t xml:space="preserve">     </w:t>
            </w:r>
            <w:r>
              <w:rPr>
                <w:color w:val="1F497D"/>
                <w:spacing w:val="-3"/>
                <w:sz w:val="16"/>
                <w:szCs w:val="16"/>
              </w:rPr>
              <w:t>11.20</w:t>
            </w:r>
          </w:p>
        </w:tc>
      </w:tr>
    </w:tbl>
    <w:p>
      <w:pPr>
        <w:pStyle w:val="BodyText"/>
        <w:spacing w:before="75" w:line="216" w:lineRule="auto"/>
        <w:ind w:left="16"/>
        <w:rPr>
          <w:sz w:val="18"/>
          <w:szCs w:val="18"/>
        </w:rPr>
      </w:pPr>
      <w:r>
        <w:rPr>
          <w:color w:val="1F497D"/>
          <w:spacing w:val="-7"/>
          <w:sz w:val="18"/>
          <w:szCs w:val="18"/>
        </w:rPr>
        <w:t>数据来源：</w:t>
      </w:r>
      <w:r>
        <w:rPr>
          <w:color w:val="1F497D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7"/>
          <w:sz w:val="18"/>
          <w:szCs w:val="18"/>
        </w:rPr>
        <w:t>Wind</w:t>
      </w:r>
      <w:r>
        <w:rPr>
          <w:color w:val="1F497D"/>
          <w:spacing w:val="-7"/>
          <w:sz w:val="18"/>
          <w:szCs w:val="18"/>
        </w:rPr>
        <w:t>、广发证券发展研究中心</w:t>
      </w:r>
    </w:p>
    <w:p>
      <w:pPr>
        <w:pStyle w:val="BodyText"/>
        <w:spacing w:before="113" w:line="214" w:lineRule="auto"/>
        <w:ind w:left="14"/>
        <w:rPr>
          <w:sz w:val="18"/>
          <w:szCs w:val="18"/>
        </w:rPr>
      </w:pPr>
      <w:r>
        <w:rPr>
          <w:color w:val="1F497D"/>
          <w:spacing w:val="-1"/>
          <w:sz w:val="18"/>
          <w:szCs w:val="18"/>
        </w:rPr>
        <w:t>备注：表中估值指标按照最新收盘价计算</w:t>
      </w:r>
    </w:p>
    <w:p>
      <w:pPr>
        <w:pStyle w:val="BodyText"/>
        <w:spacing w:before="118" w:line="225" w:lineRule="auto"/>
        <w:ind w:left="32"/>
        <w:rPr>
          <w:rFonts w:ascii="Arial" w:eastAsia="Arial" w:hAnsi="Arial" w:cs="Arial"/>
          <w:sz w:val="18"/>
          <w:szCs w:val="18"/>
        </w:rPr>
      </w:pPr>
      <w:r>
        <w:rPr>
          <w:color w:val="1F497D"/>
          <w:spacing w:val="-1"/>
          <w:sz w:val="18"/>
          <w:szCs w:val="18"/>
        </w:rPr>
        <w:t>阿里巴巴（</w:t>
      </w:r>
      <w:r>
        <w:rPr>
          <w:rFonts w:ascii="Arial" w:eastAsia="Arial" w:hAnsi="Arial" w:cs="Arial"/>
          <w:color w:val="1F497D"/>
          <w:spacing w:val="-1"/>
          <w:sz w:val="18"/>
          <w:szCs w:val="18"/>
        </w:rPr>
        <w:t>BABA.N</w:t>
      </w:r>
      <w:r>
        <w:rPr>
          <w:color w:val="1F497D"/>
          <w:spacing w:val="-1"/>
          <w:sz w:val="18"/>
          <w:szCs w:val="18"/>
        </w:rPr>
        <w:t>）收盘价、合理价值单位均为美元</w:t>
      </w:r>
      <w:r>
        <w:rPr>
          <w:rFonts w:ascii="Arial" w:eastAsia="Arial" w:hAnsi="Arial" w:cs="Arial"/>
          <w:color w:val="1F497D"/>
          <w:spacing w:val="-1"/>
          <w:sz w:val="18"/>
          <w:szCs w:val="18"/>
        </w:rPr>
        <w:t>/ADS</w:t>
      </w:r>
      <w:r>
        <w:rPr>
          <w:rFonts w:ascii="Arial" w:eastAsia="Arial" w:hAnsi="Arial" w:cs="Arial"/>
          <w:color w:val="1F497D"/>
          <w:spacing w:val="-26"/>
          <w:sz w:val="18"/>
          <w:szCs w:val="18"/>
        </w:rPr>
        <w:t xml:space="preserve"> </w:t>
      </w:r>
      <w:r>
        <w:rPr>
          <w:color w:val="1F497D"/>
          <w:spacing w:val="-1"/>
          <w:sz w:val="18"/>
          <w:szCs w:val="18"/>
        </w:rPr>
        <w:t>，</w:t>
      </w:r>
      <w:r>
        <w:rPr>
          <w:rFonts w:ascii="Arial" w:eastAsia="Arial" w:hAnsi="Arial" w:cs="Arial"/>
          <w:color w:val="1F497D"/>
          <w:spacing w:val="-1"/>
          <w:sz w:val="18"/>
          <w:szCs w:val="18"/>
        </w:rPr>
        <w:t>EP</w:t>
      </w:r>
      <w:r>
        <w:rPr>
          <w:rFonts w:ascii="Arial" w:eastAsia="Arial" w:hAnsi="Arial" w:cs="Arial"/>
          <w:color w:val="1F497D"/>
          <w:spacing w:val="-2"/>
          <w:sz w:val="18"/>
          <w:szCs w:val="18"/>
        </w:rPr>
        <w:t xml:space="preserve">S </w:t>
      </w:r>
      <w:r>
        <w:rPr>
          <w:color w:val="1F497D"/>
          <w:spacing w:val="-2"/>
          <w:sz w:val="18"/>
          <w:szCs w:val="18"/>
        </w:rPr>
        <w:t>采用</w:t>
      </w:r>
      <w:r>
        <w:rPr>
          <w:color w:val="1F497D"/>
          <w:spacing w:val="-32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2"/>
          <w:sz w:val="18"/>
          <w:szCs w:val="18"/>
        </w:rPr>
        <w:t>non-GAAP</w:t>
      </w:r>
      <w:r>
        <w:rPr>
          <w:rFonts w:ascii="Arial" w:eastAsia="Arial" w:hAnsi="Arial" w:cs="Arial"/>
          <w:color w:val="1F497D"/>
          <w:spacing w:val="27"/>
          <w:sz w:val="18"/>
          <w:szCs w:val="18"/>
        </w:rPr>
        <w:t xml:space="preserve"> </w:t>
      </w:r>
      <w:r>
        <w:rPr>
          <w:color w:val="1F497D"/>
          <w:spacing w:val="-2"/>
          <w:sz w:val="18"/>
          <w:szCs w:val="18"/>
        </w:rPr>
        <w:t>口径计算，单位人民币，阿里巴巴</w:t>
      </w:r>
      <w:r>
        <w:rPr>
          <w:rFonts w:ascii="Arial" w:eastAsia="Arial" w:hAnsi="Arial" w:cs="Arial"/>
          <w:color w:val="1F497D"/>
          <w:spacing w:val="-2"/>
          <w:sz w:val="18"/>
          <w:szCs w:val="18"/>
        </w:rPr>
        <w:t>-SW</w:t>
      </w:r>
    </w:p>
    <w:p>
      <w:pPr>
        <w:pStyle w:val="BodyText"/>
        <w:spacing w:before="107" w:line="225" w:lineRule="auto"/>
        <w:ind w:left="12"/>
        <w:rPr>
          <w:sz w:val="18"/>
          <w:szCs w:val="18"/>
        </w:rPr>
      </w:pPr>
      <w:r>
        <w:rPr>
          <w:color w:val="1F497D"/>
          <w:spacing w:val="-3"/>
          <w:sz w:val="18"/>
          <w:szCs w:val="18"/>
        </w:rPr>
        <w:t>（</w:t>
      </w:r>
      <w:r>
        <w:rPr>
          <w:rFonts w:ascii="Arial" w:eastAsia="Arial" w:hAnsi="Arial" w:cs="Arial"/>
          <w:color w:val="1F497D"/>
          <w:spacing w:val="-3"/>
          <w:sz w:val="18"/>
          <w:szCs w:val="18"/>
        </w:rPr>
        <w:t>09988.HK</w:t>
      </w:r>
      <w:r>
        <w:rPr>
          <w:color w:val="1F497D"/>
          <w:spacing w:val="-3"/>
          <w:sz w:val="18"/>
          <w:szCs w:val="18"/>
        </w:rPr>
        <w:t>）收盘价、合理价值单位均为港元</w:t>
      </w:r>
      <w:r>
        <w:rPr>
          <w:rFonts w:ascii="Arial" w:eastAsia="Arial" w:hAnsi="Arial" w:cs="Arial"/>
          <w:color w:val="1F497D"/>
          <w:spacing w:val="-3"/>
          <w:sz w:val="18"/>
          <w:szCs w:val="18"/>
        </w:rPr>
        <w:t>/</w:t>
      </w:r>
      <w:r>
        <w:rPr>
          <w:color w:val="1F497D"/>
          <w:spacing w:val="-3"/>
          <w:sz w:val="18"/>
          <w:szCs w:val="18"/>
        </w:rPr>
        <w:t>股，</w:t>
      </w:r>
      <w:r>
        <w:rPr>
          <w:color w:val="1F497D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3"/>
          <w:sz w:val="18"/>
          <w:szCs w:val="18"/>
        </w:rPr>
        <w:t xml:space="preserve">EPS </w:t>
      </w:r>
      <w:r>
        <w:rPr>
          <w:color w:val="1F497D"/>
          <w:spacing w:val="-3"/>
          <w:sz w:val="18"/>
          <w:szCs w:val="18"/>
        </w:rPr>
        <w:t>采用</w:t>
      </w:r>
      <w:r>
        <w:rPr>
          <w:color w:val="1F497D"/>
          <w:spacing w:val="-33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3"/>
          <w:sz w:val="18"/>
          <w:szCs w:val="18"/>
        </w:rPr>
        <w:t>non-G</w:t>
      </w:r>
      <w:r>
        <w:rPr>
          <w:rFonts w:ascii="Arial" w:eastAsia="Arial" w:hAnsi="Arial" w:cs="Arial"/>
          <w:color w:val="1F497D"/>
          <w:spacing w:val="-4"/>
          <w:sz w:val="18"/>
          <w:szCs w:val="18"/>
        </w:rPr>
        <w:t>AAP</w:t>
      </w:r>
      <w:r>
        <w:rPr>
          <w:rFonts w:ascii="Arial" w:eastAsia="Arial" w:hAnsi="Arial" w:cs="Arial"/>
          <w:color w:val="1F497D"/>
          <w:spacing w:val="28"/>
          <w:sz w:val="18"/>
          <w:szCs w:val="18"/>
        </w:rPr>
        <w:t xml:space="preserve"> </w:t>
      </w:r>
      <w:r>
        <w:rPr>
          <w:color w:val="1F497D"/>
          <w:spacing w:val="-4"/>
          <w:sz w:val="18"/>
          <w:szCs w:val="18"/>
        </w:rPr>
        <w:t>口径计算，单位人民币；</w:t>
      </w:r>
    </w:p>
    <w:p>
      <w:pPr>
        <w:pStyle w:val="BodyText"/>
        <w:spacing w:before="106" w:line="280" w:lineRule="auto"/>
        <w:ind w:left="15" w:right="454" w:firstLine="5"/>
        <w:rPr>
          <w:sz w:val="18"/>
          <w:szCs w:val="18"/>
        </w:rPr>
      </w:pPr>
      <w:r>
        <w:rPr>
          <w:color w:val="1F497D"/>
          <w:spacing w:val="-1"/>
          <w:sz w:val="18"/>
          <w:szCs w:val="18"/>
        </w:rPr>
        <w:t>京东（</w:t>
      </w:r>
      <w:r>
        <w:rPr>
          <w:rFonts w:ascii="Arial" w:eastAsia="Arial" w:hAnsi="Arial" w:cs="Arial"/>
          <w:color w:val="1F497D"/>
          <w:spacing w:val="-1"/>
          <w:sz w:val="18"/>
          <w:szCs w:val="18"/>
        </w:rPr>
        <w:t>JD.O</w:t>
      </w:r>
      <w:r>
        <w:rPr>
          <w:color w:val="1F497D"/>
          <w:spacing w:val="-1"/>
          <w:sz w:val="18"/>
          <w:szCs w:val="18"/>
        </w:rPr>
        <w:t>）收盘价、合理价值均为美元</w:t>
      </w:r>
      <w:r>
        <w:rPr>
          <w:rFonts w:ascii="Arial" w:eastAsia="Arial" w:hAnsi="Arial" w:cs="Arial"/>
          <w:color w:val="1F497D"/>
          <w:spacing w:val="-1"/>
          <w:sz w:val="18"/>
          <w:szCs w:val="18"/>
        </w:rPr>
        <w:t>/ADS</w:t>
      </w:r>
      <w:r>
        <w:rPr>
          <w:rFonts w:ascii="Arial" w:eastAsia="Arial" w:hAnsi="Arial" w:cs="Arial"/>
          <w:color w:val="1F497D"/>
          <w:spacing w:val="-25"/>
          <w:sz w:val="18"/>
          <w:szCs w:val="18"/>
        </w:rPr>
        <w:t xml:space="preserve"> </w:t>
      </w:r>
      <w:r>
        <w:rPr>
          <w:color w:val="1F497D"/>
          <w:spacing w:val="-1"/>
          <w:sz w:val="18"/>
          <w:szCs w:val="18"/>
        </w:rPr>
        <w:t>，</w:t>
      </w:r>
      <w:r>
        <w:rPr>
          <w:rFonts w:ascii="Arial" w:eastAsia="Arial" w:hAnsi="Arial" w:cs="Arial"/>
          <w:color w:val="1F497D"/>
          <w:spacing w:val="-1"/>
          <w:sz w:val="18"/>
          <w:szCs w:val="18"/>
        </w:rPr>
        <w:t xml:space="preserve">EPS </w:t>
      </w:r>
      <w:r>
        <w:rPr>
          <w:color w:val="1F497D"/>
          <w:spacing w:val="-1"/>
          <w:sz w:val="18"/>
          <w:szCs w:val="18"/>
        </w:rPr>
        <w:t>采用</w:t>
      </w:r>
      <w:r>
        <w:rPr>
          <w:color w:val="1F497D"/>
          <w:spacing w:val="-33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1"/>
          <w:sz w:val="18"/>
          <w:szCs w:val="18"/>
        </w:rPr>
        <w:t>non-GAAP</w:t>
      </w:r>
      <w:r>
        <w:rPr>
          <w:rFonts w:ascii="Arial" w:eastAsia="Arial" w:hAnsi="Arial" w:cs="Arial"/>
          <w:color w:val="1F497D"/>
          <w:spacing w:val="27"/>
          <w:w w:val="101"/>
          <w:sz w:val="18"/>
          <w:szCs w:val="18"/>
        </w:rPr>
        <w:t xml:space="preserve"> </w:t>
      </w:r>
      <w:r>
        <w:rPr>
          <w:color w:val="1F497D"/>
          <w:spacing w:val="-1"/>
          <w:sz w:val="18"/>
          <w:szCs w:val="18"/>
        </w:rPr>
        <w:t>口径计算，单</w:t>
      </w:r>
      <w:r>
        <w:rPr>
          <w:color w:val="1F497D"/>
          <w:spacing w:val="-2"/>
          <w:sz w:val="18"/>
          <w:szCs w:val="18"/>
        </w:rPr>
        <w:t>位人民币，京东集团</w:t>
      </w:r>
      <w:r>
        <w:rPr>
          <w:rFonts w:ascii="Arial" w:eastAsia="Arial" w:hAnsi="Arial" w:cs="Arial"/>
          <w:color w:val="1F497D"/>
          <w:spacing w:val="-2"/>
          <w:sz w:val="18"/>
          <w:szCs w:val="18"/>
        </w:rPr>
        <w:t>-SW</w:t>
      </w:r>
      <w:r>
        <w:rPr>
          <w:color w:val="1F497D"/>
          <w:spacing w:val="-2"/>
          <w:sz w:val="18"/>
          <w:szCs w:val="18"/>
        </w:rPr>
        <w:t>（</w:t>
      </w:r>
      <w:r>
        <w:rPr>
          <w:rFonts w:ascii="Arial" w:eastAsia="Arial" w:hAnsi="Arial" w:cs="Arial"/>
          <w:color w:val="1F497D"/>
          <w:spacing w:val="-2"/>
          <w:sz w:val="18"/>
          <w:szCs w:val="18"/>
        </w:rPr>
        <w:t>09618.HK</w:t>
      </w:r>
      <w:r>
        <w:rPr>
          <w:color w:val="1F497D"/>
          <w:spacing w:val="-2"/>
          <w:sz w:val="18"/>
          <w:szCs w:val="18"/>
        </w:rPr>
        <w:t>）收盘</w:t>
      </w:r>
      <w:r>
        <w:rPr>
          <w:color w:val="1F497D"/>
          <w:sz w:val="18"/>
          <w:szCs w:val="18"/>
        </w:rPr>
        <w:t xml:space="preserve"> </w:t>
      </w:r>
      <w:r>
        <w:rPr>
          <w:color w:val="1F497D"/>
          <w:spacing w:val="-4"/>
          <w:sz w:val="18"/>
          <w:szCs w:val="18"/>
        </w:rPr>
        <w:t>价、合理价值单位均为港元</w:t>
      </w:r>
      <w:r>
        <w:rPr>
          <w:rFonts w:ascii="Arial" w:eastAsia="Arial" w:hAnsi="Arial" w:cs="Arial"/>
          <w:color w:val="1F497D"/>
          <w:spacing w:val="-4"/>
          <w:sz w:val="18"/>
          <w:szCs w:val="18"/>
        </w:rPr>
        <w:t>/</w:t>
      </w:r>
      <w:r>
        <w:rPr>
          <w:color w:val="1F497D"/>
          <w:spacing w:val="-4"/>
          <w:sz w:val="18"/>
          <w:szCs w:val="18"/>
        </w:rPr>
        <w:t>股，</w:t>
      </w:r>
      <w:r>
        <w:rPr>
          <w:color w:val="1F497D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4"/>
          <w:sz w:val="18"/>
          <w:szCs w:val="18"/>
        </w:rPr>
        <w:t xml:space="preserve">EPS </w:t>
      </w:r>
      <w:r>
        <w:rPr>
          <w:color w:val="1F497D"/>
          <w:spacing w:val="-4"/>
          <w:sz w:val="18"/>
          <w:szCs w:val="18"/>
        </w:rPr>
        <w:t>采用</w:t>
      </w:r>
      <w:r>
        <w:rPr>
          <w:color w:val="1F497D"/>
          <w:spacing w:val="-32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5"/>
          <w:sz w:val="18"/>
          <w:szCs w:val="18"/>
        </w:rPr>
        <w:t>non-GAAP</w:t>
      </w:r>
      <w:r>
        <w:rPr>
          <w:rFonts w:ascii="Arial" w:eastAsia="Arial" w:hAnsi="Arial" w:cs="Arial"/>
          <w:color w:val="1F497D"/>
          <w:spacing w:val="27"/>
          <w:w w:val="101"/>
          <w:sz w:val="18"/>
          <w:szCs w:val="18"/>
        </w:rPr>
        <w:t xml:space="preserve"> </w:t>
      </w:r>
      <w:r>
        <w:rPr>
          <w:color w:val="1F497D"/>
          <w:spacing w:val="-5"/>
          <w:sz w:val="18"/>
          <w:szCs w:val="18"/>
        </w:rPr>
        <w:t>口径计算，单位人民币；</w:t>
      </w:r>
    </w:p>
    <w:p>
      <w:pPr>
        <w:pStyle w:val="BodyText"/>
        <w:spacing w:before="108" w:line="224" w:lineRule="auto"/>
        <w:ind w:left="16"/>
        <w:rPr>
          <w:sz w:val="18"/>
          <w:szCs w:val="18"/>
        </w:rPr>
      </w:pPr>
      <w:r>
        <w:rPr>
          <w:color w:val="1F497D"/>
          <w:spacing w:val="-2"/>
          <w:sz w:val="18"/>
          <w:szCs w:val="18"/>
        </w:rPr>
        <w:t>拼多多（</w:t>
      </w:r>
      <w:r>
        <w:rPr>
          <w:rFonts w:ascii="Arial" w:eastAsia="Arial" w:hAnsi="Arial" w:cs="Arial"/>
          <w:color w:val="1F497D"/>
          <w:spacing w:val="-2"/>
          <w:sz w:val="18"/>
          <w:szCs w:val="18"/>
        </w:rPr>
        <w:t>PDD.O</w:t>
      </w:r>
      <w:r>
        <w:rPr>
          <w:color w:val="1F497D"/>
          <w:spacing w:val="-2"/>
          <w:sz w:val="18"/>
          <w:szCs w:val="18"/>
        </w:rPr>
        <w:t>）收盘价、合理价值均为美元</w:t>
      </w:r>
      <w:r>
        <w:rPr>
          <w:rFonts w:ascii="Arial" w:eastAsia="Arial" w:hAnsi="Arial" w:cs="Arial"/>
          <w:color w:val="1F497D"/>
          <w:spacing w:val="-2"/>
          <w:sz w:val="18"/>
          <w:szCs w:val="18"/>
        </w:rPr>
        <w:t>/ADS</w:t>
      </w:r>
      <w:r>
        <w:rPr>
          <w:rFonts w:ascii="Arial" w:eastAsia="Arial" w:hAnsi="Arial" w:cs="Arial"/>
          <w:color w:val="1F497D"/>
          <w:spacing w:val="-25"/>
          <w:sz w:val="18"/>
          <w:szCs w:val="18"/>
        </w:rPr>
        <w:t xml:space="preserve"> </w:t>
      </w:r>
      <w:r>
        <w:rPr>
          <w:color w:val="1F497D"/>
          <w:spacing w:val="-2"/>
          <w:sz w:val="18"/>
          <w:szCs w:val="18"/>
        </w:rPr>
        <w:t>，</w:t>
      </w:r>
      <w:r>
        <w:rPr>
          <w:rFonts w:ascii="Arial" w:eastAsia="Arial" w:hAnsi="Arial" w:cs="Arial"/>
          <w:color w:val="1F497D"/>
          <w:spacing w:val="-2"/>
          <w:sz w:val="18"/>
          <w:szCs w:val="18"/>
        </w:rPr>
        <w:t xml:space="preserve">EPS </w:t>
      </w:r>
      <w:r>
        <w:rPr>
          <w:color w:val="1F497D"/>
          <w:spacing w:val="-2"/>
          <w:sz w:val="18"/>
          <w:szCs w:val="18"/>
        </w:rPr>
        <w:t>采用</w:t>
      </w:r>
      <w:r>
        <w:rPr>
          <w:color w:val="1F497D"/>
          <w:spacing w:val="-33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2"/>
          <w:sz w:val="18"/>
          <w:szCs w:val="18"/>
        </w:rPr>
        <w:t>non-GAAP</w:t>
      </w:r>
      <w:r>
        <w:rPr>
          <w:rFonts w:ascii="Arial" w:eastAsia="Arial" w:hAnsi="Arial" w:cs="Arial"/>
          <w:color w:val="1F497D"/>
          <w:spacing w:val="28"/>
          <w:sz w:val="18"/>
          <w:szCs w:val="18"/>
        </w:rPr>
        <w:t xml:space="preserve"> </w:t>
      </w:r>
      <w:r>
        <w:rPr>
          <w:color w:val="1F497D"/>
          <w:spacing w:val="-2"/>
          <w:sz w:val="18"/>
          <w:szCs w:val="18"/>
        </w:rPr>
        <w:t>口径计</w:t>
      </w:r>
      <w:r>
        <w:rPr>
          <w:color w:val="1F497D"/>
          <w:spacing w:val="-3"/>
          <w:sz w:val="18"/>
          <w:szCs w:val="18"/>
        </w:rPr>
        <w:t>算，单位人民币；</w:t>
      </w:r>
    </w:p>
    <w:p>
      <w:pPr>
        <w:pStyle w:val="BodyText"/>
        <w:spacing w:before="105" w:line="280" w:lineRule="auto"/>
        <w:ind w:left="12" w:right="1334" w:firstLine="20"/>
        <w:rPr>
          <w:sz w:val="18"/>
          <w:szCs w:val="18"/>
        </w:rPr>
      </w:pPr>
      <w:r>
        <w:rPr>
          <w:color w:val="1F497D"/>
          <w:spacing w:val="-1"/>
          <w:sz w:val="18"/>
          <w:szCs w:val="18"/>
        </w:rPr>
        <w:t>宝尊电商（</w:t>
      </w:r>
      <w:r>
        <w:rPr>
          <w:rFonts w:ascii="Arial" w:eastAsia="Arial" w:hAnsi="Arial" w:cs="Arial"/>
          <w:color w:val="1F497D"/>
          <w:spacing w:val="-1"/>
          <w:sz w:val="18"/>
          <w:szCs w:val="18"/>
        </w:rPr>
        <w:t>BZUN.O</w:t>
      </w:r>
      <w:r>
        <w:rPr>
          <w:color w:val="1F497D"/>
          <w:spacing w:val="-1"/>
          <w:sz w:val="18"/>
          <w:szCs w:val="18"/>
        </w:rPr>
        <w:t>）收盘价、合理价值均为美元</w:t>
      </w:r>
      <w:r>
        <w:rPr>
          <w:rFonts w:ascii="Arial" w:eastAsia="Arial" w:hAnsi="Arial" w:cs="Arial"/>
          <w:color w:val="1F497D"/>
          <w:spacing w:val="-1"/>
          <w:sz w:val="18"/>
          <w:szCs w:val="18"/>
        </w:rPr>
        <w:t>/AD</w:t>
      </w:r>
      <w:r>
        <w:rPr>
          <w:rFonts w:ascii="Arial" w:eastAsia="Arial" w:hAnsi="Arial" w:cs="Arial"/>
          <w:color w:val="1F497D"/>
          <w:spacing w:val="-2"/>
          <w:sz w:val="18"/>
          <w:szCs w:val="18"/>
        </w:rPr>
        <w:t>S</w:t>
      </w:r>
      <w:r>
        <w:rPr>
          <w:rFonts w:ascii="Arial" w:eastAsia="Arial" w:hAnsi="Arial" w:cs="Arial"/>
          <w:color w:val="1F497D"/>
          <w:spacing w:val="-25"/>
          <w:sz w:val="18"/>
          <w:szCs w:val="18"/>
        </w:rPr>
        <w:t xml:space="preserve"> </w:t>
      </w:r>
      <w:r>
        <w:rPr>
          <w:color w:val="1F497D"/>
          <w:spacing w:val="-2"/>
          <w:sz w:val="18"/>
          <w:szCs w:val="18"/>
        </w:rPr>
        <w:t>，</w:t>
      </w:r>
      <w:r>
        <w:rPr>
          <w:rFonts w:ascii="Arial" w:eastAsia="Arial" w:hAnsi="Arial" w:cs="Arial"/>
          <w:color w:val="1F497D"/>
          <w:spacing w:val="-2"/>
          <w:sz w:val="18"/>
          <w:szCs w:val="18"/>
        </w:rPr>
        <w:t xml:space="preserve">EPS </w:t>
      </w:r>
      <w:r>
        <w:rPr>
          <w:color w:val="1F497D"/>
          <w:spacing w:val="-2"/>
          <w:sz w:val="18"/>
          <w:szCs w:val="18"/>
        </w:rPr>
        <w:t>采用</w:t>
      </w:r>
      <w:r>
        <w:rPr>
          <w:color w:val="1F497D"/>
          <w:spacing w:val="-33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2"/>
          <w:sz w:val="18"/>
          <w:szCs w:val="18"/>
        </w:rPr>
        <w:t>non-GAAP</w:t>
      </w:r>
      <w:r>
        <w:rPr>
          <w:rFonts w:ascii="Arial" w:eastAsia="Arial" w:hAnsi="Arial" w:cs="Arial"/>
          <w:color w:val="1F497D"/>
          <w:spacing w:val="28"/>
          <w:sz w:val="18"/>
          <w:szCs w:val="18"/>
        </w:rPr>
        <w:t xml:space="preserve"> </w:t>
      </w:r>
      <w:r>
        <w:rPr>
          <w:color w:val="1F497D"/>
          <w:spacing w:val="-2"/>
          <w:sz w:val="18"/>
          <w:szCs w:val="18"/>
        </w:rPr>
        <w:t>口径计算，单位人民币，宝尊电商</w:t>
      </w:r>
      <w:r>
        <w:rPr>
          <w:rFonts w:ascii="Arial" w:eastAsia="Arial" w:hAnsi="Arial" w:cs="Arial"/>
          <w:color w:val="1F497D"/>
          <w:spacing w:val="-2"/>
          <w:sz w:val="18"/>
          <w:szCs w:val="18"/>
        </w:rPr>
        <w:t>-SW</w:t>
      </w:r>
      <w:r>
        <w:rPr>
          <w:rFonts w:ascii="Arial" w:eastAsia="Arial" w:hAnsi="Arial" w:cs="Arial"/>
          <w:color w:val="1F497D"/>
          <w:sz w:val="18"/>
          <w:szCs w:val="18"/>
        </w:rPr>
        <w:t xml:space="preserve"> </w:t>
      </w:r>
      <w:r>
        <w:rPr>
          <w:color w:val="1F497D"/>
          <w:spacing w:val="-3"/>
          <w:sz w:val="18"/>
          <w:szCs w:val="18"/>
        </w:rPr>
        <w:t>（</w:t>
      </w:r>
      <w:r>
        <w:rPr>
          <w:rFonts w:ascii="Arial" w:eastAsia="Arial" w:hAnsi="Arial" w:cs="Arial"/>
          <w:color w:val="1F497D"/>
          <w:spacing w:val="-3"/>
          <w:sz w:val="18"/>
          <w:szCs w:val="18"/>
        </w:rPr>
        <w:t>09991.HK</w:t>
      </w:r>
      <w:r>
        <w:rPr>
          <w:color w:val="1F497D"/>
          <w:spacing w:val="-3"/>
          <w:sz w:val="18"/>
          <w:szCs w:val="18"/>
        </w:rPr>
        <w:t>）收盘价、合理价值单位均为港元</w:t>
      </w:r>
      <w:r>
        <w:rPr>
          <w:rFonts w:ascii="Arial" w:eastAsia="Arial" w:hAnsi="Arial" w:cs="Arial"/>
          <w:color w:val="1F497D"/>
          <w:spacing w:val="-3"/>
          <w:sz w:val="18"/>
          <w:szCs w:val="18"/>
        </w:rPr>
        <w:t>/</w:t>
      </w:r>
      <w:r>
        <w:rPr>
          <w:color w:val="1F497D"/>
          <w:spacing w:val="-3"/>
          <w:sz w:val="18"/>
          <w:szCs w:val="18"/>
        </w:rPr>
        <w:t>股，</w:t>
      </w:r>
      <w:r>
        <w:rPr>
          <w:color w:val="1F497D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3"/>
          <w:sz w:val="18"/>
          <w:szCs w:val="18"/>
        </w:rPr>
        <w:t xml:space="preserve">EPS </w:t>
      </w:r>
      <w:r>
        <w:rPr>
          <w:color w:val="1F497D"/>
          <w:spacing w:val="-3"/>
          <w:sz w:val="18"/>
          <w:szCs w:val="18"/>
        </w:rPr>
        <w:t>采用</w:t>
      </w:r>
      <w:r>
        <w:rPr>
          <w:color w:val="1F497D"/>
          <w:spacing w:val="-33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3"/>
          <w:sz w:val="18"/>
          <w:szCs w:val="18"/>
        </w:rPr>
        <w:t>non-GAAP</w:t>
      </w:r>
      <w:r>
        <w:rPr>
          <w:rFonts w:ascii="Arial" w:eastAsia="Arial" w:hAnsi="Arial" w:cs="Arial"/>
          <w:color w:val="1F497D"/>
          <w:spacing w:val="27"/>
          <w:w w:val="101"/>
          <w:sz w:val="18"/>
          <w:szCs w:val="18"/>
        </w:rPr>
        <w:t xml:space="preserve"> </w:t>
      </w:r>
      <w:r>
        <w:rPr>
          <w:color w:val="1F497D"/>
          <w:spacing w:val="-3"/>
          <w:sz w:val="18"/>
          <w:szCs w:val="18"/>
        </w:rPr>
        <w:t>口径计算，</w:t>
      </w:r>
      <w:r>
        <w:rPr>
          <w:color w:val="1F497D"/>
          <w:spacing w:val="-4"/>
          <w:sz w:val="18"/>
          <w:szCs w:val="18"/>
        </w:rPr>
        <w:t>单位人民币。</w:t>
      </w:r>
    </w:p>
    <w:p>
      <w:pPr>
        <w:spacing w:line="280" w:lineRule="auto"/>
        <w:rPr>
          <w:sz w:val="18"/>
          <w:szCs w:val="18"/>
        </w:rPr>
        <w:sectPr>
          <w:headerReference w:type="default" r:id="rId16"/>
          <w:footerReference w:type="default" r:id="rId17"/>
          <w:pgSz w:w="11907" w:h="16839"/>
          <w:pgMar w:top="1383" w:right="649" w:bottom="1291" w:left="622" w:header="794" w:footer="743" w:gutter="0"/>
          <w:pgNumType w:start="3"/>
          <w:cols w:space="708"/>
        </w:sectPr>
      </w:pP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187574422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101" w:line="221" w:lineRule="auto"/>
            <w:ind w:left="6299"/>
            <w:rPr>
              <w:sz w:val="31"/>
              <w:szCs w:val="31"/>
            </w:rPr>
          </w:pPr>
          <w:r>
            <w:rPr>
              <w:color w:val="0F243E"/>
              <w:spacing w:val="-6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目录索引</w:t>
          </w:r>
        </w:p>
        <w:p>
          <w:pPr>
            <w:pStyle w:val="BodyText"/>
            <w:tabs>
              <w:tab w:val="right" w:leader="dot" w:pos="10634"/>
            </w:tabs>
            <w:spacing w:before="170" w:line="213" w:lineRule="auto"/>
            <w:ind w:left="2424"/>
            <w:rPr>
              <w:rFonts w:ascii="Arial" w:eastAsia="Arial" w:hAnsi="Arial" w:cs="Arial"/>
            </w:rPr>
          </w:pPr>
          <w:r>
            <w:rPr>
              <w:spacing w:val="-1"/>
            </w:rPr>
            <w:t>一、</w:t>
          </w:r>
          <w:r>
            <w:rPr>
              <w:rFonts w:ascii="Arial" w:eastAsia="Arial" w:hAnsi="Arial" w:cs="Arial"/>
              <w:spacing w:val="-1"/>
            </w:rPr>
            <w:t>23Q3</w:t>
          </w:r>
          <w:r>
            <w:rPr>
              <w:rFonts w:ascii="Arial" w:eastAsia="Arial" w:hAnsi="Arial" w:cs="Arial"/>
              <w:spacing w:val="22"/>
            </w:rPr>
            <w:t xml:space="preserve"> </w:t>
          </w:r>
          <w:r>
            <w:rPr>
              <w:spacing w:val="-1"/>
            </w:rPr>
            <w:t>电商增速放缓，</w:t>
          </w:r>
          <w:r>
            <w:rPr>
              <w:rFonts w:ascii="Arial" w:eastAsia="Arial" w:hAnsi="Arial" w:cs="Arial"/>
              <w:spacing w:val="-1"/>
            </w:rPr>
            <w:t xml:space="preserve">23Q4 </w:t>
          </w:r>
          <w:r>
            <w:rPr>
              <w:spacing w:val="-1"/>
            </w:rPr>
            <w:t>销</w:t>
          </w:r>
          <w:r>
            <w:rPr>
              <w:spacing w:val="-2"/>
            </w:rPr>
            <w:t>售旺季平台低价竞争升级</w:t>
          </w:r>
          <w:r>
            <w:rPr>
              <w:spacing w:val="-86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hyperlink w:anchor="bookmark1" w:history="1">
            <w:r>
              <w:rPr>
                <w:rFonts w:ascii="Arial" w:eastAsia="Arial" w:hAnsi="Arial" w:cs="Arial"/>
                <w:spacing w:val="-8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4" w:line="213" w:lineRule="auto"/>
            <w:ind w:left="2894"/>
            <w:rPr>
              <w:rFonts w:ascii="Arial" w:eastAsia="Arial" w:hAnsi="Arial" w:cs="Arial"/>
            </w:rPr>
          </w:pPr>
          <w:r>
            <w:t>（一）电商渗透率持续提升，快递业务量增长态势良好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hyperlink w:anchor="bookmark2" w:history="1">
            <w:r>
              <w:rPr>
                <w:rFonts w:ascii="Arial" w:eastAsia="Arial" w:hAnsi="Arial" w:cs="Arial"/>
                <w:spacing w:val="-8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4" w:line="213" w:lineRule="auto"/>
            <w:ind w:left="2894"/>
            <w:rPr>
              <w:rFonts w:ascii="Arial" w:eastAsia="Arial" w:hAnsi="Arial" w:cs="Arial"/>
            </w:rPr>
          </w:pPr>
          <w:r>
            <w:rPr>
              <w:spacing w:val="-3"/>
            </w:rPr>
            <w:t>（二）</w:t>
          </w:r>
          <w:r>
            <w:rPr>
              <w:spacing w:val="-14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 xml:space="preserve">3Q23 </w:t>
          </w:r>
          <w:r>
            <w:rPr>
              <w:spacing w:val="-3"/>
            </w:rPr>
            <w:t>龙头电商收入表现良好，严格控费下利润端大幅回暖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3" w:history="1"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3" w:line="217" w:lineRule="auto"/>
            <w:ind w:left="2894"/>
            <w:rPr>
              <w:rFonts w:ascii="Arial" w:eastAsia="Arial" w:hAnsi="Arial" w:cs="Arial"/>
            </w:rPr>
          </w:pPr>
          <w:r>
            <w:rPr>
              <w:spacing w:val="-4"/>
            </w:rPr>
            <w:t>（三）</w:t>
          </w:r>
          <w:r>
            <w:rPr>
              <w:spacing w:val="-26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 xml:space="preserve">23 </w:t>
          </w:r>
          <w:r>
            <w:rPr>
              <w:spacing w:val="-4"/>
            </w:rPr>
            <w:t>年电商平台围绕价格力和内容发力</w:t>
          </w:r>
          <w:r>
            <w:rPr>
              <w:spacing w:val="-67"/>
            </w:rPr>
            <w:t xml:space="preserve"> </w:t>
          </w:r>
          <w:r>
            <w:tab/>
          </w:r>
          <w:r>
            <w:rPr>
              <w:spacing w:val="-46"/>
            </w:rPr>
            <w:t xml:space="preserve"> </w:t>
          </w:r>
          <w:hyperlink w:anchor="bookmark4" w:history="1">
            <w:r>
              <w:rPr>
                <w:rFonts w:ascii="Arial" w:eastAsia="Arial" w:hAnsi="Arial" w:cs="Arial"/>
                <w:spacing w:val="-20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6" w:lineRule="auto"/>
            <w:ind w:left="2894"/>
            <w:rPr>
              <w:rFonts w:ascii="Arial" w:eastAsia="Arial" w:hAnsi="Arial" w:cs="Arial"/>
            </w:rPr>
          </w:pPr>
          <w:r>
            <w:rPr>
              <w:spacing w:val="-8"/>
            </w:rPr>
            <w:t>（四）</w:t>
          </w:r>
          <w:r>
            <w:rPr>
              <w:spacing w:val="-25"/>
            </w:rPr>
            <w:t xml:space="preserve"> </w:t>
          </w:r>
          <w:r>
            <w:rPr>
              <w:rFonts w:ascii="Arial" w:eastAsia="Arial" w:hAnsi="Arial" w:cs="Arial"/>
              <w:spacing w:val="-8"/>
            </w:rPr>
            <w:t xml:space="preserve">23 </w:t>
          </w:r>
          <w:r>
            <w:rPr>
              <w:spacing w:val="-8"/>
            </w:rPr>
            <w:t>年双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8"/>
            </w:rPr>
            <w:t xml:space="preserve">11 </w:t>
          </w:r>
          <w:r>
            <w:rPr>
              <w:spacing w:val="-8"/>
            </w:rPr>
            <w:t>收官：</w:t>
          </w:r>
          <w:r>
            <w:rPr>
              <w:spacing w:val="-8"/>
            </w:rPr>
            <w:t xml:space="preserve"> </w:t>
          </w:r>
          <w:r>
            <w:rPr>
              <w:spacing w:val="-8"/>
            </w:rPr>
            <w:t>全网销售总额同比增长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  <w:spacing w:val="-8"/>
            </w:rPr>
            <w:t>2.08%</w:t>
          </w:r>
          <w:r>
            <w:rPr>
              <w:rFonts w:ascii="Arial" w:eastAsia="Arial" w:hAnsi="Arial" w:cs="Arial"/>
              <w:spacing w:val="-13"/>
            </w:rPr>
            <w:t xml:space="preserve"> </w:t>
          </w:r>
          <w:r>
            <w:rPr>
              <w:rFonts w:ascii="Arial" w:eastAsia="Arial" w:hAnsi="Arial" w:cs="Arial"/>
            </w:rPr>
            <w:tab/>
          </w:r>
          <w:r>
            <w:rPr>
              <w:rFonts w:ascii="Arial" w:eastAsia="Arial" w:hAnsi="Arial" w:cs="Arial"/>
              <w:spacing w:val="-15"/>
            </w:rPr>
            <w:t xml:space="preserve"> </w:t>
          </w:r>
          <w:hyperlink w:anchor="bookmark5" w:history="1">
            <w:r>
              <w:rPr>
                <w:rFonts w:ascii="Arial" w:eastAsia="Arial" w:hAnsi="Arial" w:cs="Arial"/>
                <w:spacing w:val="-1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3" w:lineRule="auto"/>
            <w:ind w:left="2419"/>
            <w:rPr>
              <w:rFonts w:ascii="Arial" w:eastAsia="Arial" w:hAnsi="Arial" w:cs="Arial"/>
            </w:rPr>
          </w:pPr>
          <w:r>
            <w:t>二、展望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</w:rPr>
            <w:t>2024</w:t>
          </w:r>
          <w:r>
            <w:t>：出海新增量，性价比消费</w:t>
          </w:r>
          <w:r>
            <w:rPr>
              <w:spacing w:val="-1"/>
            </w:rPr>
            <w:t>环境下效率领先者占优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6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3" w:line="213" w:lineRule="auto"/>
            <w:ind w:left="2894"/>
            <w:rPr>
              <w:rFonts w:ascii="Arial" w:eastAsia="Arial" w:hAnsi="Arial" w:cs="Arial"/>
            </w:rPr>
          </w:pPr>
          <w:r>
            <w:rPr>
              <w:spacing w:val="-8"/>
            </w:rPr>
            <w:t>（一）拼多多：</w:t>
          </w:r>
          <w:r>
            <w:rPr>
              <w:spacing w:val="-9"/>
            </w:rPr>
            <w:t xml:space="preserve"> </w:t>
          </w:r>
          <w:r>
            <w:rPr>
              <w:spacing w:val="-8"/>
            </w:rPr>
            <w:t>付费流量占比提升，</w:t>
          </w:r>
          <w:r>
            <w:rPr>
              <w:spacing w:val="-29"/>
            </w:rPr>
            <w:t xml:space="preserve"> </w:t>
          </w:r>
          <w:r>
            <w:rPr>
              <w:spacing w:val="-8"/>
            </w:rPr>
            <w:t>提振主站货币化率，</w:t>
          </w:r>
          <w:r>
            <w:rPr>
              <w:spacing w:val="-8"/>
            </w:rPr>
            <w:t xml:space="preserve"> </w:t>
          </w:r>
          <w:r>
            <w:rPr>
              <w:spacing w:val="-8"/>
            </w:rPr>
            <w:t>海外业务持续高增</w:t>
          </w:r>
          <w:r>
            <w:rPr>
              <w:spacing w:val="-54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7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5" w:line="213" w:lineRule="auto"/>
            <w:ind w:left="2894"/>
            <w:rPr>
              <w:rFonts w:ascii="Arial" w:eastAsia="Arial" w:hAnsi="Arial" w:cs="Arial"/>
            </w:rPr>
          </w:pPr>
          <w:r>
            <w:rPr>
              <w:spacing w:val="-8"/>
            </w:rPr>
            <w:t>（二）</w:t>
          </w:r>
          <w:r>
            <w:rPr>
              <w:spacing w:val="-26"/>
            </w:rPr>
            <w:t xml:space="preserve"> </w:t>
          </w:r>
          <w:r>
            <w:rPr>
              <w:spacing w:val="-8"/>
            </w:rPr>
            <w:t>唯品会：</w:t>
          </w:r>
          <w:r>
            <w:rPr>
              <w:spacing w:val="-8"/>
            </w:rPr>
            <w:t xml:space="preserve"> </w:t>
          </w:r>
          <w:r>
            <w:rPr>
              <w:spacing w:val="-8"/>
            </w:rPr>
            <w:t>品牌特卖心智强化私域运营，</w:t>
          </w:r>
          <w:r>
            <w:rPr>
              <w:spacing w:val="-28"/>
            </w:rPr>
            <w:t xml:space="preserve"> </w:t>
          </w:r>
          <w:r>
            <w:rPr>
              <w:spacing w:val="-8"/>
            </w:rPr>
            <w:t>持续回购彰显管理层信心</w:t>
          </w:r>
          <w:r>
            <w:rPr>
              <w:spacing w:val="-37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8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23" w:lineRule="auto"/>
            <w:ind w:left="2422"/>
            <w:rPr>
              <w:rFonts w:ascii="Arial" w:eastAsia="Arial" w:hAnsi="Arial" w:cs="Arial"/>
            </w:rPr>
          </w:pPr>
          <w:r>
            <w:rPr>
              <w:spacing w:val="-2"/>
            </w:rPr>
            <w:t>三、风险提示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9" w:history="1">
            <w:r>
              <w:rPr>
                <w:rFonts w:ascii="Arial" w:eastAsia="Arial" w:hAnsi="Arial" w:cs="Arial"/>
                <w:spacing w:val="-3"/>
              </w:rPr>
              <w:t>22</w:t>
            </w:r>
          </w:hyperlink>
        </w:p>
      </w:sdtContent>
    </w:sdt>
    <w:p>
      <w:pPr>
        <w:spacing w:line="223" w:lineRule="auto"/>
        <w:rPr>
          <w:rFonts w:ascii="Arial" w:eastAsia="Arial" w:hAnsi="Arial" w:cs="Arial"/>
        </w:rPr>
        <w:sectPr>
          <w:headerReference w:type="default" r:id="rId18"/>
          <w:footerReference w:type="default" r:id="rId19"/>
          <w:pgSz w:w="11907" w:h="16839"/>
          <w:pgMar w:top="1383" w:right="646" w:bottom="1291" w:left="622" w:header="794" w:footer="743" w:gutter="0"/>
          <w:pgNumType w:start="4"/>
          <w:cols w:space="708"/>
        </w:sectPr>
      </w:pP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1225817537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101" w:line="221" w:lineRule="auto"/>
            <w:ind w:left="6273"/>
            <w:rPr>
              <w:sz w:val="31"/>
              <w:szCs w:val="31"/>
            </w:rPr>
          </w:pPr>
          <w:r>
            <w:rPr>
              <w:color w:val="0F243E"/>
              <w:spacing w:val="-1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图表索引</w:t>
          </w:r>
        </w:p>
        <w:p>
          <w:pPr>
            <w:pStyle w:val="BodyText"/>
            <w:tabs>
              <w:tab w:val="right" w:leader="dot" w:pos="10634"/>
            </w:tabs>
            <w:spacing w:before="169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9"/>
            </w:rPr>
            <w:t>图</w:t>
          </w:r>
          <w:r>
            <w:rPr>
              <w:spacing w:val="-25"/>
            </w:rPr>
            <w:t xml:space="preserve"> </w:t>
          </w:r>
          <w:r>
            <w:rPr>
              <w:rFonts w:ascii="Arial" w:eastAsia="Arial" w:hAnsi="Arial" w:cs="Arial"/>
              <w:spacing w:val="-9"/>
            </w:rPr>
            <w:t>1</w:t>
          </w:r>
          <w:r>
            <w:rPr>
              <w:spacing w:val="-9"/>
            </w:rPr>
            <w:t>：</w:t>
          </w:r>
          <w:r>
            <w:rPr>
              <w:spacing w:val="-60"/>
            </w:rPr>
            <w:t xml:space="preserve"> </w:t>
          </w:r>
          <w:r>
            <w:rPr>
              <w:spacing w:val="-9"/>
            </w:rPr>
            <w:t>电商销售增速变化</w:t>
          </w:r>
          <w:r>
            <w:rPr>
              <w:spacing w:val="-86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hyperlink w:anchor="bookmark1" w:history="1">
            <w:r>
              <w:rPr>
                <w:rFonts w:ascii="Arial" w:eastAsia="Arial" w:hAnsi="Arial" w:cs="Arial"/>
                <w:spacing w:val="-8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8" w:line="217" w:lineRule="auto"/>
            <w:ind w:left="3124"/>
            <w:rPr>
              <w:rFonts w:ascii="Arial" w:eastAsia="Arial" w:hAnsi="Arial" w:cs="Arial"/>
            </w:rPr>
          </w:pPr>
          <w:r>
            <w:rPr>
              <w:spacing w:val="-6"/>
            </w:rPr>
            <w:t>图</w:t>
          </w:r>
          <w:r>
            <w:rPr>
              <w:spacing w:val="-39"/>
            </w:rPr>
            <w:t xml:space="preserve"> </w:t>
          </w:r>
          <w:r>
            <w:rPr>
              <w:rFonts w:ascii="Arial" w:eastAsia="Arial" w:hAnsi="Arial" w:cs="Arial"/>
              <w:spacing w:val="-6"/>
            </w:rPr>
            <w:t>2</w:t>
          </w:r>
          <w:r>
            <w:rPr>
              <w:spacing w:val="-6"/>
            </w:rPr>
            <w:t>：</w:t>
          </w:r>
          <w:r>
            <w:rPr>
              <w:spacing w:val="-60"/>
            </w:rPr>
            <w:t xml:space="preserve"> </w:t>
          </w:r>
          <w:r>
            <w:rPr>
              <w:spacing w:val="-6"/>
            </w:rPr>
            <w:t>电商与线下零售增速对比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hyperlink w:anchor="bookmark2" w:history="1">
            <w:r>
              <w:rPr>
                <w:rFonts w:ascii="Arial" w:eastAsia="Arial" w:hAnsi="Arial" w:cs="Arial"/>
                <w:spacing w:val="-8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9" w:line="221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0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3</w:t>
          </w:r>
          <w:r>
            <w:rPr>
              <w:spacing w:val="-3"/>
            </w:rPr>
            <w:t>：快递增速与实物网购增速对比</w:t>
          </w:r>
          <w:r>
            <w:rPr>
              <w:spacing w:val="-43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hyperlink w:anchor="bookmark10" w:history="1">
            <w:r>
              <w:rPr>
                <w:rFonts w:ascii="Arial" w:eastAsia="Arial" w:hAnsi="Arial" w:cs="Arial"/>
                <w:spacing w:val="-8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5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6"/>
            </w:rPr>
            <w:t>图</w:t>
          </w:r>
          <w:r>
            <w:rPr>
              <w:spacing w:val="-43"/>
            </w:rPr>
            <w:t xml:space="preserve"> </w:t>
          </w:r>
          <w:r>
            <w:rPr>
              <w:rFonts w:ascii="Arial" w:eastAsia="Arial" w:hAnsi="Arial" w:cs="Arial"/>
              <w:spacing w:val="-6"/>
            </w:rPr>
            <w:t>4</w:t>
          </w:r>
          <w:r>
            <w:rPr>
              <w:spacing w:val="-6"/>
            </w:rPr>
            <w:t>：</w:t>
          </w:r>
          <w:r>
            <w:rPr>
              <w:spacing w:val="-56"/>
            </w:rPr>
            <w:t xml:space="preserve"> </w:t>
          </w:r>
          <w:r>
            <w:rPr>
              <w:spacing w:val="-6"/>
            </w:rPr>
            <w:t>网购零售额同比增量情况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hyperlink w:anchor="bookmark11" w:history="1">
            <w:r>
              <w:rPr>
                <w:rFonts w:ascii="Arial" w:eastAsia="Arial" w:hAnsi="Arial" w:cs="Arial"/>
                <w:spacing w:val="-8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0" w:line="220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6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5</w:t>
          </w:r>
          <w:r>
            <w:rPr>
              <w:spacing w:val="-3"/>
            </w:rPr>
            <w:t>：主要公司总收入增长情况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12" w:history="1"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4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28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6</w:t>
          </w:r>
          <w:r>
            <w:rPr>
              <w:spacing w:val="-3"/>
            </w:rPr>
            <w:t>：主要公司核心业务收入增长情况</w:t>
          </w:r>
          <w:r>
            <w:rPr>
              <w:spacing w:val="-79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13" w:history="1"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8" w:line="219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28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7</w:t>
          </w:r>
          <w:r>
            <w:rPr>
              <w:spacing w:val="-3"/>
            </w:rPr>
            <w:t>：主要公司月度活跃用户数量增速</w:t>
          </w:r>
          <w:r>
            <w:rPr>
              <w:spacing w:val="-79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14" w:history="1"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8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28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8</w:t>
          </w:r>
          <w:r>
            <w:rPr>
              <w:spacing w:val="-3"/>
            </w:rPr>
            <w:t>：主要公司人均单日使用时长增速</w:t>
          </w:r>
          <w:r>
            <w:rPr>
              <w:spacing w:val="-79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15" w:history="1"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8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4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9</w:t>
          </w:r>
          <w:r>
            <w:rPr>
              <w:spacing w:val="-3"/>
            </w:rPr>
            <w:t>：阿里巴巴中国商业收入拆分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6" w:history="1">
            <w:r>
              <w:rPr>
                <w:rFonts w:ascii="Arial" w:eastAsia="Arial" w:hAnsi="Arial" w:cs="Arial"/>
                <w:spacing w:val="-9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9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17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10</w:t>
          </w:r>
          <w:r>
            <w:rPr>
              <w:spacing w:val="-4"/>
            </w:rPr>
            <w:t>：阿里巴巴中国商业利润情况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7" w:history="1">
            <w:r>
              <w:rPr>
                <w:rFonts w:ascii="Arial" w:eastAsia="Arial" w:hAnsi="Arial" w:cs="Arial"/>
                <w:spacing w:val="-9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9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5"/>
            </w:rPr>
            <w:t>图</w:t>
          </w:r>
          <w:r>
            <w:rPr>
              <w:spacing w:val="-19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>11</w:t>
          </w:r>
          <w:r>
            <w:rPr>
              <w:spacing w:val="-5"/>
            </w:rPr>
            <w:t>：京东零售收入和同比增速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8" w:history="1">
            <w:r>
              <w:rPr>
                <w:rFonts w:ascii="Arial" w:eastAsia="Arial" w:hAnsi="Arial" w:cs="Arial"/>
                <w:spacing w:val="-9"/>
              </w:rPr>
              <w:t>9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8" w:line="231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24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12</w:t>
          </w:r>
          <w:r>
            <w:rPr>
              <w:spacing w:val="-3"/>
            </w:rPr>
            <w:t>：京东物流</w:t>
          </w:r>
          <w:r>
            <w:rPr>
              <w:spacing w:val="-38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 xml:space="preserve">non-GAAP </w:t>
          </w:r>
          <w:r>
            <w:rPr>
              <w:spacing w:val="-3"/>
            </w:rPr>
            <w:t>经营利润和利润率</w:t>
          </w:r>
          <w:r>
            <w:rPr>
              <w:spacing w:val="-78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9" w:history="1">
            <w:r>
              <w:rPr>
                <w:rFonts w:ascii="Arial" w:eastAsia="Arial" w:hAnsi="Arial" w:cs="Arial"/>
                <w:spacing w:val="-9"/>
              </w:rPr>
              <w:t>9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63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17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13</w:t>
          </w:r>
          <w:r>
            <w:rPr>
              <w:spacing w:val="-4"/>
            </w:rPr>
            <w:t>：拼多多广告和佣金收入情况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20" w:history="1">
            <w:r>
              <w:rPr>
                <w:rFonts w:ascii="Arial" w:eastAsia="Arial" w:hAnsi="Arial" w:cs="Arial"/>
                <w:spacing w:val="-9"/>
              </w:rPr>
              <w:t>9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5" w:line="225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18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14</w:t>
          </w:r>
          <w:r>
            <w:rPr>
              <w:spacing w:val="-4"/>
            </w:rPr>
            <w:t>：拼多多</w:t>
          </w:r>
          <w:r>
            <w:rPr>
              <w:spacing w:val="-40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 xml:space="preserve">non-GAAP </w:t>
          </w:r>
          <w:r>
            <w:rPr>
              <w:spacing w:val="-4"/>
            </w:rPr>
            <w:t>盈利水平</w:t>
          </w:r>
          <w:r>
            <w:rPr>
              <w:spacing w:val="-64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21" w:history="1">
            <w:r>
              <w:rPr>
                <w:rFonts w:ascii="Arial" w:eastAsia="Arial" w:hAnsi="Arial" w:cs="Arial"/>
                <w:spacing w:val="-9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0" w:line="229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1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15</w:t>
          </w:r>
          <w:r>
            <w:rPr>
              <w:spacing w:val="-2"/>
            </w:rPr>
            <w:t>：唯品会收入（百万元）及同比增速（</w:t>
          </w:r>
          <w:r>
            <w:rPr>
              <w:rFonts w:ascii="Arial" w:eastAsia="Arial" w:hAnsi="Arial" w:cs="Arial"/>
              <w:spacing w:val="-2"/>
            </w:rPr>
            <w:t>%</w:t>
          </w:r>
          <w:r>
            <w:rPr>
              <w:spacing w:val="-2"/>
            </w:rPr>
            <w:t>）</w:t>
          </w:r>
          <w:r>
            <w:tab/>
          </w:r>
          <w:r>
            <w:rPr>
              <w:spacing w:val="-61"/>
            </w:rPr>
            <w:t xml:space="preserve"> </w:t>
          </w:r>
          <w:hyperlink w:anchor="bookmark22" w:history="1">
            <w:r>
              <w:rPr>
                <w:rFonts w:ascii="Arial" w:eastAsia="Arial" w:hAnsi="Arial" w:cs="Arial"/>
                <w:spacing w:val="-11"/>
              </w:rPr>
              <w:t>10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66" w:line="231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16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16</w:t>
          </w:r>
          <w:r>
            <w:rPr>
              <w:spacing w:val="-4"/>
            </w:rPr>
            <w:t>：唯品会季度</w:t>
          </w:r>
          <w:r>
            <w:rPr>
              <w:spacing w:val="-40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non-GAAP</w:t>
          </w:r>
          <w:r>
            <w:rPr>
              <w:rFonts w:ascii="Arial" w:eastAsia="Arial" w:hAnsi="Arial" w:cs="Arial"/>
              <w:spacing w:val="15"/>
            </w:rPr>
            <w:t xml:space="preserve"> </w:t>
          </w:r>
          <w:r>
            <w:rPr>
              <w:spacing w:val="-4"/>
            </w:rPr>
            <w:t>归母净利润情况</w:t>
          </w:r>
          <w:r>
            <w:rPr>
              <w:spacing w:val="-78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3" w:history="1">
            <w:r>
              <w:rPr>
                <w:rFonts w:ascii="Arial" w:eastAsia="Arial" w:hAnsi="Arial" w:cs="Arial"/>
                <w:spacing w:val="-11"/>
              </w:rPr>
              <w:t>10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63" w:line="220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17</w:t>
          </w:r>
          <w:r>
            <w:rPr>
              <w:spacing w:val="-4"/>
            </w:rPr>
            <w:t>：携程净营业收入情况</w:t>
          </w:r>
          <w:r>
            <w:rPr>
              <w:spacing w:val="-65"/>
            </w:rPr>
            <w:t xml:space="preserve"> </w:t>
          </w:r>
          <w:r>
            <w:tab/>
          </w:r>
          <w:r>
            <w:rPr>
              <w:spacing w:val="-46"/>
            </w:rPr>
            <w:t xml:space="preserve"> </w:t>
          </w:r>
          <w:hyperlink w:anchor="bookmark24" w:history="1">
            <w:r>
              <w:rPr>
                <w:rFonts w:ascii="Arial" w:eastAsia="Arial" w:hAnsi="Arial" w:cs="Arial"/>
                <w:spacing w:val="-20"/>
              </w:rPr>
              <w:t>11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5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25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18</w:t>
          </w:r>
          <w:r>
            <w:rPr>
              <w:spacing w:val="-4"/>
            </w:rPr>
            <w:t>：同程旅行营业收入情况</w:t>
          </w:r>
          <w:r>
            <w:rPr>
              <w:spacing w:val="-45"/>
            </w:rPr>
            <w:t xml:space="preserve"> </w:t>
          </w:r>
          <w:r>
            <w:tab/>
          </w:r>
          <w:r>
            <w:rPr>
              <w:spacing w:val="-46"/>
            </w:rPr>
            <w:t xml:space="preserve"> </w:t>
          </w:r>
          <w:hyperlink w:anchor="bookmark25" w:history="1">
            <w:r>
              <w:rPr>
                <w:rFonts w:ascii="Arial" w:eastAsia="Arial" w:hAnsi="Arial" w:cs="Arial"/>
                <w:spacing w:val="-20"/>
              </w:rPr>
              <w:t>11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0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28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19</w:t>
          </w:r>
          <w:r>
            <w:rPr>
              <w:spacing w:val="-3"/>
            </w:rPr>
            <w:t>：主要龙头公司</w:t>
          </w:r>
          <w:r>
            <w:rPr>
              <w:spacing w:val="-39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Non-GAAP</w:t>
          </w:r>
          <w:r>
            <w:rPr>
              <w:rFonts w:ascii="Arial" w:eastAsia="Arial" w:hAnsi="Arial" w:cs="Arial"/>
              <w:spacing w:val="17"/>
              <w:w w:val="101"/>
            </w:rPr>
            <w:t xml:space="preserve"> </w:t>
          </w:r>
          <w:r>
            <w:rPr>
              <w:spacing w:val="-3"/>
            </w:rPr>
            <w:t>营销费用同比</w:t>
          </w:r>
          <w:r>
            <w:rPr>
              <w:spacing w:val="-4"/>
            </w:rPr>
            <w:t>增速情况</w:t>
          </w:r>
          <w:r>
            <w:rPr>
              <w:spacing w:val="-89"/>
            </w:rPr>
            <w:t xml:space="preserve"> </w:t>
          </w:r>
          <w:r>
            <w:tab/>
          </w:r>
          <w:r>
            <w:rPr>
              <w:spacing w:val="-46"/>
            </w:rPr>
            <w:t xml:space="preserve"> </w:t>
          </w:r>
          <w:hyperlink w:anchor="bookmark26" w:history="1">
            <w:r>
              <w:rPr>
                <w:rFonts w:ascii="Arial" w:eastAsia="Arial" w:hAnsi="Arial" w:cs="Arial"/>
                <w:spacing w:val="-20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41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20</w:t>
          </w:r>
          <w:r>
            <w:rPr>
              <w:spacing w:val="-2"/>
            </w:rPr>
            <w:t>：唯品会用户数及对应的营销费用变化</w:t>
          </w:r>
          <w:r>
            <w:rPr>
              <w:spacing w:val="-38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7" w:history="1">
            <w:r>
              <w:rPr>
                <w:rFonts w:ascii="Arial" w:eastAsia="Arial" w:hAnsi="Arial" w:cs="Arial"/>
                <w:spacing w:val="-1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5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21</w:t>
          </w:r>
          <w:r>
            <w:rPr>
              <w:spacing w:val="-3"/>
            </w:rPr>
            <w:t>：唯品会季度活跃用户情况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8" w:history="1">
            <w:r>
              <w:rPr>
                <w:rFonts w:ascii="Arial" w:eastAsia="Arial" w:hAnsi="Arial" w:cs="Arial"/>
                <w:spacing w:val="-1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6"/>
            </w:rPr>
            <w:t>图</w:t>
          </w:r>
          <w:r>
            <w:rPr>
              <w:spacing w:val="-38"/>
            </w:rPr>
            <w:t xml:space="preserve"> </w:t>
          </w:r>
          <w:r>
            <w:rPr>
              <w:rFonts w:ascii="Arial" w:eastAsia="Arial" w:hAnsi="Arial" w:cs="Arial"/>
              <w:spacing w:val="-6"/>
            </w:rPr>
            <w:t>22</w:t>
          </w:r>
          <w:r>
            <w:rPr>
              <w:spacing w:val="-6"/>
            </w:rPr>
            <w:t>：携程销售费用（百万元）</w:t>
          </w:r>
          <w:r>
            <w:rPr>
              <w:spacing w:val="-28"/>
            </w:rPr>
            <w:t xml:space="preserve"> </w:t>
          </w:r>
          <w:r>
            <w:rPr>
              <w:spacing w:val="-6"/>
            </w:rPr>
            <w:t>和销售费率</w:t>
          </w:r>
          <w:r>
            <w:rPr>
              <w:spacing w:val="-38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9" w:history="1">
            <w:r>
              <w:rPr>
                <w:rFonts w:ascii="Arial" w:eastAsia="Arial" w:hAnsi="Arial" w:cs="Arial"/>
                <w:spacing w:val="-1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7"/>
            </w:rPr>
            <w:t>图</w:t>
          </w:r>
          <w:r>
            <w:rPr>
              <w:spacing w:val="-42"/>
            </w:rPr>
            <w:t xml:space="preserve"> </w:t>
          </w:r>
          <w:r>
            <w:rPr>
              <w:rFonts w:ascii="Arial" w:eastAsia="Arial" w:hAnsi="Arial" w:cs="Arial"/>
              <w:spacing w:val="-7"/>
            </w:rPr>
            <w:t>23</w:t>
          </w:r>
          <w:r>
            <w:rPr>
              <w:spacing w:val="-7"/>
            </w:rPr>
            <w:t>：</w:t>
          </w:r>
          <w:r>
            <w:rPr>
              <w:spacing w:val="-57"/>
            </w:rPr>
            <w:t xml:space="preserve"> </w:t>
          </w:r>
          <w:r>
            <w:rPr>
              <w:spacing w:val="-7"/>
            </w:rPr>
            <w:t>同程旅行销售费用（百万元）</w:t>
          </w:r>
          <w:r>
            <w:rPr>
              <w:spacing w:val="-38"/>
            </w:rPr>
            <w:t xml:space="preserve"> </w:t>
          </w:r>
          <w:r>
            <w:rPr>
              <w:spacing w:val="-7"/>
            </w:rPr>
            <w:t>和销售费率</w:t>
          </w:r>
          <w:r>
            <w:rPr>
              <w:spacing w:val="-54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0" w:history="1">
            <w:r>
              <w:rPr>
                <w:rFonts w:ascii="Arial" w:eastAsia="Arial" w:hAnsi="Arial" w:cs="Arial"/>
                <w:spacing w:val="-1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7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24</w:t>
          </w:r>
          <w:r>
            <w:rPr>
              <w:spacing w:val="-3"/>
            </w:rPr>
            <w:t>：携程单季度各项费用率水平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1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5"/>
            </w:rPr>
            <w:t>图</w:t>
          </w:r>
          <w:r>
            <w:rPr>
              <w:spacing w:val="-39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>25</w:t>
          </w:r>
          <w:r>
            <w:rPr>
              <w:spacing w:val="-5"/>
            </w:rPr>
            <w:t>：</w:t>
          </w:r>
          <w:r>
            <w:rPr>
              <w:spacing w:val="-57"/>
            </w:rPr>
            <w:t xml:space="preserve"> </w:t>
          </w:r>
          <w:r>
            <w:rPr>
              <w:spacing w:val="-5"/>
            </w:rPr>
            <w:t>同程旅行单季度各项费用率水平</w:t>
          </w:r>
          <w:r>
            <w:rPr>
              <w:spacing w:val="-78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2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7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5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26</w:t>
          </w:r>
          <w:r>
            <w:rPr>
              <w:spacing w:val="-3"/>
            </w:rPr>
            <w:t>：龙头平台核心业务利润率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3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27</w:t>
          </w:r>
          <w:r>
            <w:rPr>
              <w:spacing w:val="-4"/>
            </w:rPr>
            <w:t>：历年</w:t>
          </w:r>
          <w:r>
            <w:rPr>
              <w:spacing w:val="-45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 xml:space="preserve">618 </w:t>
          </w:r>
          <w:r>
            <w:rPr>
              <w:spacing w:val="-4"/>
            </w:rPr>
            <w:t>和双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 xml:space="preserve">11 </w:t>
          </w:r>
          <w:r>
            <w:rPr>
              <w:spacing w:val="-4"/>
            </w:rPr>
            <w:t>销售额和同比增速</w:t>
          </w:r>
          <w:r>
            <w:rPr>
              <w:spacing w:val="-35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4" w:history="1">
            <w:r>
              <w:rPr>
                <w:rFonts w:ascii="Arial" w:eastAsia="Arial" w:hAnsi="Arial" w:cs="Arial"/>
                <w:spacing w:val="-1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42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28</w:t>
          </w:r>
          <w:r>
            <w:rPr>
              <w:spacing w:val="-3"/>
            </w:rPr>
            <w:t>：</w:t>
          </w:r>
          <w:r>
            <w:rPr>
              <w:rFonts w:ascii="Arial" w:eastAsia="Arial" w:hAnsi="Arial" w:cs="Arial"/>
              <w:spacing w:val="-3"/>
            </w:rPr>
            <w:t xml:space="preserve">2022-2023 </w:t>
          </w:r>
          <w:r>
            <w:rPr>
              <w:spacing w:val="-3"/>
            </w:rPr>
            <w:t>年双十一期间典型</w:t>
          </w:r>
          <w:r>
            <w:rPr>
              <w:spacing w:val="-52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APP</w:t>
          </w:r>
          <w:r>
            <w:rPr>
              <w:rFonts w:ascii="Arial" w:eastAsia="Arial" w:hAnsi="Arial" w:cs="Arial"/>
              <w:spacing w:val="46"/>
            </w:rPr>
            <w:t xml:space="preserve"> </w:t>
          </w:r>
          <w:r>
            <w:rPr>
              <w:spacing w:val="-3"/>
            </w:rPr>
            <w:t>日活跃用户规模</w:t>
          </w:r>
          <w:r>
            <w:rPr>
              <w:spacing w:val="-86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5" w:history="1">
            <w:r>
              <w:rPr>
                <w:rFonts w:ascii="Arial" w:eastAsia="Arial" w:hAnsi="Arial" w:cs="Arial"/>
                <w:spacing w:val="-13"/>
              </w:rPr>
              <w:t>1</w:t>
            </w:r>
            <w:r>
              <w:rPr>
                <w:rFonts w:ascii="Arial" w:eastAsia="Arial" w:hAnsi="Arial" w:cs="Arial"/>
                <w:spacing w:val="-9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45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29</w:t>
          </w:r>
          <w:r>
            <w:rPr>
              <w:spacing w:val="-2"/>
            </w:rPr>
            <w:t>：拼多多广告和佣金变现主要工具</w:t>
          </w:r>
          <w:r>
            <w:rPr>
              <w:spacing w:val="-78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6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2" w:line="213" w:lineRule="auto"/>
            <w:ind w:left="3124"/>
            <w:rPr>
              <w:rFonts w:ascii="Arial" w:eastAsia="Arial" w:hAnsi="Arial" w:cs="Arial"/>
            </w:rPr>
            <w:sectPr>
              <w:headerReference w:type="default" r:id="rId20"/>
              <w:footerReference w:type="default" r:id="rId21"/>
              <w:pgSz w:w="11907" w:h="16839"/>
              <w:pgMar w:top="1383" w:right="646" w:bottom="1291" w:left="622" w:header="794" w:footer="743" w:gutter="0"/>
              <w:pgNumType w:start="5"/>
              <w:cols w:space="708"/>
            </w:sectPr>
          </w:pPr>
          <w:r>
            <w:rPr>
              <w:spacing w:val="-2"/>
            </w:rPr>
            <w:t>图</w:t>
          </w:r>
          <w:r>
            <w:rPr>
              <w:spacing w:val="-41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30</w:t>
          </w:r>
          <w:r>
            <w:rPr>
              <w:spacing w:val="-2"/>
            </w:rPr>
            <w:t>：拼多多广告工具的主要商品推广工具</w:t>
          </w:r>
          <w:r>
            <w:rPr>
              <w:spacing w:val="-38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7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</w:sdtContent>
    </w:sdt>
    <w:sdt>
      <w:sdtPr>
        <w:rPr>
          <w:rFonts w:ascii="KaiTi" w:eastAsia="KaiTi" w:hAnsi="KaiTi" w:cs="KaiTi"/>
          <w:sz w:val="31"/>
          <w:szCs w:val="31"/>
        </w:rPr>
        <w:id w:val="283894009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6"/>
            </w:tabs>
            <w:spacing w:before="85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9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31</w:t>
          </w:r>
          <w:r>
            <w:rPr>
              <w:spacing w:val="-3"/>
            </w:rPr>
            <w:t>：</w:t>
          </w:r>
          <w:r>
            <w:rPr>
              <w:rFonts w:ascii="Arial" w:eastAsia="Arial" w:hAnsi="Arial" w:cs="Arial"/>
              <w:spacing w:val="-3"/>
            </w:rPr>
            <w:t xml:space="preserve">2022 </w:t>
          </w:r>
          <w:r>
            <w:rPr>
              <w:spacing w:val="-3"/>
            </w:rPr>
            <w:t>年</w:t>
          </w:r>
          <w:r>
            <w:rPr>
              <w:spacing w:val="-4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 xml:space="preserve">9 </w:t>
          </w:r>
          <w:r>
            <w:rPr>
              <w:spacing w:val="-3"/>
            </w:rPr>
            <w:t>月</w:t>
          </w:r>
          <w:r>
            <w:rPr>
              <w:spacing w:val="-48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 xml:space="preserve">Temu </w:t>
          </w:r>
          <w:r>
            <w:rPr>
              <w:spacing w:val="-3"/>
            </w:rPr>
            <w:t>价格带分布</w:t>
          </w:r>
          <w:r>
            <w:rPr>
              <w:rFonts w:ascii="Arial" w:eastAsia="Arial" w:hAnsi="Arial" w:cs="Arial"/>
              <w:spacing w:val="-3"/>
            </w:rPr>
            <w:t>(</w:t>
          </w:r>
          <w:r>
            <w:rPr>
              <w:spacing w:val="-3"/>
            </w:rPr>
            <w:t>欧洲以外的地区</w:t>
          </w:r>
          <w:r>
            <w:rPr>
              <w:rFonts w:ascii="Arial" w:eastAsia="Arial" w:hAnsi="Arial" w:cs="Arial"/>
              <w:spacing w:val="-3"/>
            </w:rPr>
            <w:t>)</w:t>
          </w:r>
          <w:r>
            <w:rPr>
              <w:rFonts w:ascii="Arial" w:eastAsia="Arial" w:hAnsi="Arial" w:cs="Arial"/>
              <w:spacing w:val="-35"/>
            </w:rPr>
            <w:t xml:space="preserve"> </w:t>
          </w:r>
          <w:r>
            <w:rPr>
              <w:rFonts w:ascii="Arial" w:eastAsia="Arial" w:hAnsi="Arial" w:cs="Arial"/>
            </w:rPr>
            <w:tab/>
          </w:r>
          <w:r>
            <w:rPr>
              <w:rFonts w:ascii="Arial" w:eastAsia="Arial" w:hAnsi="Arial" w:cs="Arial"/>
              <w:spacing w:val="-15"/>
            </w:rPr>
            <w:t xml:space="preserve"> </w:t>
          </w:r>
          <w:hyperlink w:anchor="bookmark38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35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32</w:t>
          </w:r>
          <w:r>
            <w:rPr>
              <w:spacing w:val="-4"/>
            </w:rPr>
            <w:t>：</w:t>
          </w:r>
          <w:r>
            <w:rPr>
              <w:rFonts w:ascii="Arial" w:eastAsia="Arial" w:hAnsi="Arial" w:cs="Arial"/>
              <w:spacing w:val="-4"/>
            </w:rPr>
            <w:t xml:space="preserve">2023 </w:t>
          </w:r>
          <w:r>
            <w:rPr>
              <w:spacing w:val="-4"/>
            </w:rPr>
            <w:t>年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10</w:t>
          </w:r>
          <w:r>
            <w:rPr>
              <w:rFonts w:ascii="Arial" w:eastAsia="Arial" w:hAnsi="Arial" w:cs="Arial"/>
              <w:spacing w:val="14"/>
              <w:w w:val="101"/>
            </w:rPr>
            <w:t xml:space="preserve"> </w:t>
          </w:r>
          <w:r>
            <w:rPr>
              <w:spacing w:val="-4"/>
            </w:rPr>
            <w:t>月</w:t>
          </w:r>
          <w:r>
            <w:rPr>
              <w:spacing w:val="-48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 xml:space="preserve">Temu </w:t>
          </w:r>
          <w:r>
            <w:rPr>
              <w:spacing w:val="-4"/>
            </w:rPr>
            <w:t>价格带分布</w:t>
          </w:r>
          <w:r>
            <w:rPr>
              <w:rFonts w:ascii="Arial" w:eastAsia="Arial" w:hAnsi="Arial" w:cs="Arial"/>
              <w:spacing w:val="-4"/>
            </w:rPr>
            <w:t>(</w:t>
          </w:r>
          <w:r>
            <w:rPr>
              <w:spacing w:val="-4"/>
            </w:rPr>
            <w:t>欧洲以外的地区</w:t>
          </w:r>
          <w:r>
            <w:rPr>
              <w:rFonts w:ascii="Arial" w:eastAsia="Arial" w:hAnsi="Arial" w:cs="Arial"/>
              <w:spacing w:val="-4"/>
            </w:rPr>
            <w:t>)</w:t>
          </w:r>
          <w:r>
            <w:rPr>
              <w:rFonts w:ascii="Arial" w:eastAsia="Arial" w:hAnsi="Arial" w:cs="Arial"/>
              <w:spacing w:val="-37"/>
            </w:rPr>
            <w:t xml:space="preserve"> </w:t>
          </w:r>
          <w:r>
            <w:rPr>
              <w:rFonts w:ascii="Arial" w:eastAsia="Arial" w:hAnsi="Arial" w:cs="Arial"/>
            </w:rPr>
            <w:tab/>
          </w:r>
          <w:r>
            <w:rPr>
              <w:rFonts w:ascii="Arial" w:eastAsia="Arial" w:hAnsi="Arial" w:cs="Arial"/>
              <w:spacing w:val="-15"/>
            </w:rPr>
            <w:t xml:space="preserve"> </w:t>
          </w:r>
          <w:hyperlink w:anchor="bookmark39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5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5"/>
            </w:rPr>
            <w:t>图</w:t>
          </w:r>
          <w:r>
            <w:rPr>
              <w:spacing w:val="-25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>33</w:t>
          </w:r>
          <w:r>
            <w:rPr>
              <w:spacing w:val="-5"/>
            </w:rPr>
            <w:t>：社零服装品类月零售规模（亿元）</w:t>
          </w:r>
          <w:r>
            <w:rPr>
              <w:spacing w:val="-40"/>
            </w:rPr>
            <w:t xml:space="preserve"> </w:t>
          </w:r>
          <w:r>
            <w:rPr>
              <w:spacing w:val="-5"/>
            </w:rPr>
            <w:t>和同比增速</w:t>
          </w:r>
          <w:r>
            <w:rPr>
              <w:spacing w:val="-72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0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7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34</w:t>
          </w:r>
          <w:r>
            <w:rPr>
              <w:spacing w:val="-2"/>
            </w:rPr>
            <w:t>：</w:t>
          </w:r>
          <w:r>
            <w:rPr>
              <w:rFonts w:ascii="Arial" w:eastAsia="Arial" w:hAnsi="Arial" w:cs="Arial"/>
              <w:spacing w:val="-2"/>
            </w:rPr>
            <w:t xml:space="preserve">2016-2021 </w:t>
          </w:r>
          <w:r>
            <w:rPr>
              <w:spacing w:val="-2"/>
            </w:rPr>
            <w:t>年中国奥莱项目建筑面积及数量</w:t>
          </w:r>
          <w:r>
            <w:rPr>
              <w:spacing w:val="-4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1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9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35</w:t>
          </w:r>
          <w:r>
            <w:rPr>
              <w:spacing w:val="-3"/>
            </w:rPr>
            <w:t>：唯品会合作的知名品牌</w:t>
          </w:r>
          <w:r>
            <w:rPr>
              <w:spacing w:val="-45"/>
            </w:rPr>
            <w:t xml:space="preserve"> </w:t>
          </w:r>
          <w:r>
            <w:tab/>
          </w:r>
          <w:hyperlink w:anchor="bookmark42" w:history="1">
            <w:r>
              <w:rPr>
                <w:rFonts w:ascii="Arial" w:eastAsia="Arial" w:hAnsi="Arial" w:cs="Arial"/>
                <w:spacing w:val="11"/>
              </w:rPr>
              <w:t>20</w:t>
            </w:r>
          </w:hyperlink>
        </w:p>
      </w:sdtContent>
    </w:sdt>
    <w:p>
      <w:pPr>
        <w:spacing w:line="216" w:lineRule="auto"/>
        <w:rPr>
          <w:rFonts w:ascii="Arial" w:eastAsia="Arial" w:hAnsi="Arial" w:cs="Arial"/>
        </w:rPr>
        <w:sectPr>
          <w:headerReference w:type="default" r:id="rId22"/>
          <w:footerReference w:type="default" r:id="rId23"/>
          <w:type w:val="nextPage"/>
          <w:pgSz w:w="11907" w:h="16839"/>
          <w:pgMar w:top="1383" w:right="646" w:bottom="1291" w:left="622" w:header="794" w:footer="743" w:gutter="0"/>
          <w:pgNumType w:start="6"/>
          <w:cols w:space="708"/>
          <w:titlePg w:val="0"/>
        </w:sectPr>
      </w:pPr>
    </w:p>
    <w:sdt>
      <w:sdtPr>
        <w:rPr>
          <w:rFonts w:ascii="KaiTi" w:eastAsia="KaiTi" w:hAnsi="KaiTi" w:cs="KaiTi"/>
          <w:sz w:val="21"/>
          <w:szCs w:val="21"/>
        </w:rPr>
        <w:id w:val="1699415864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6"/>
            </w:tabs>
            <w:spacing w:before="50" w:line="217" w:lineRule="auto"/>
            <w:ind w:left="3098"/>
            <w:rPr>
              <w:rFonts w:ascii="Arial" w:eastAsia="Arial" w:hAnsi="Arial" w:cs="Arial"/>
            </w:rPr>
          </w:pPr>
          <w:r>
            <w:rPr>
              <w:spacing w:val="-2"/>
            </w:rPr>
            <w:t>表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</w:t>
          </w:r>
          <w:r>
            <w:rPr>
              <w:spacing w:val="-2"/>
            </w:rPr>
            <w:t>：双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 xml:space="preserve">11 </w:t>
          </w:r>
          <w:r>
            <w:rPr>
              <w:spacing w:val="-2"/>
            </w:rPr>
            <w:t>全网和各大综合电商平台</w:t>
          </w:r>
          <w:r>
            <w:rPr>
              <w:spacing w:val="-3"/>
            </w:rPr>
            <w:t>表现</w:t>
          </w:r>
          <w:r>
            <w:rPr>
              <w:spacing w:val="-52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3" w:history="1">
            <w:r>
              <w:rPr>
                <w:rFonts w:ascii="Arial" w:eastAsia="Arial" w:hAnsi="Arial" w:cs="Arial"/>
                <w:spacing w:val="-1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3098"/>
            <w:rPr>
              <w:rFonts w:ascii="Arial" w:eastAsia="Arial" w:hAnsi="Arial" w:cs="Arial"/>
            </w:rPr>
          </w:pPr>
          <w:r>
            <w:t>表</w:t>
          </w:r>
          <w:r>
            <w:t xml:space="preserve"> </w:t>
          </w:r>
          <w:r>
            <w:rPr>
              <w:rFonts w:ascii="Arial" w:eastAsia="Arial" w:hAnsi="Arial" w:cs="Arial"/>
            </w:rPr>
            <w:t>2</w:t>
          </w:r>
          <w:r>
            <w:t>：部分平台全托管模式对比</w:t>
          </w:r>
          <w:r>
            <w:rPr>
              <w:spacing w:val="-77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4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3098"/>
            <w:rPr>
              <w:rFonts w:ascii="Arial" w:eastAsia="Arial" w:hAnsi="Arial" w:cs="Arial"/>
            </w:rPr>
          </w:pPr>
          <w:r>
            <w:t>表</w:t>
          </w:r>
          <w:r>
            <w:t xml:space="preserve"> </w:t>
          </w:r>
          <w:r>
            <w:rPr>
              <w:rFonts w:ascii="Arial" w:eastAsia="Arial" w:hAnsi="Arial" w:cs="Arial"/>
            </w:rPr>
            <w:t>3</w:t>
          </w:r>
          <w:r>
            <w:t>：部分唯品会与天猫旗舰店同款商品价格对比</w:t>
          </w:r>
          <w:r>
            <w:rPr>
              <w:spacing w:val="-87"/>
            </w:rPr>
            <w:t xml:space="preserve"> </w:t>
          </w:r>
          <w:r>
            <w:tab/>
          </w:r>
          <w:hyperlink w:anchor="bookmark45" w:history="1">
            <w:r>
              <w:rPr>
                <w:rFonts w:ascii="Arial" w:eastAsia="Arial" w:hAnsi="Arial" w:cs="Arial"/>
                <w:spacing w:val="11"/>
              </w:rPr>
              <w:t>20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18" w:lineRule="auto"/>
            <w:ind w:left="3098"/>
            <w:rPr>
              <w:rFonts w:ascii="Arial" w:eastAsia="Arial" w:hAnsi="Arial" w:cs="Arial"/>
            </w:rPr>
          </w:pPr>
          <w:r>
            <w:t>表</w:t>
          </w:r>
          <w:r>
            <w:t xml:space="preserve"> </w:t>
          </w:r>
          <w:r>
            <w:rPr>
              <w:rFonts w:ascii="Arial" w:eastAsia="Arial" w:hAnsi="Arial" w:cs="Arial"/>
            </w:rPr>
            <w:t>4</w:t>
          </w:r>
          <w:r>
            <w:t>：部分唯品会定制款与淘宝相似款价格</w:t>
          </w:r>
          <w:r>
            <w:rPr>
              <w:spacing w:val="-1"/>
            </w:rPr>
            <w:t>对比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46" w:history="1">
            <w:r>
              <w:rPr>
                <w:rFonts w:ascii="Arial" w:eastAsia="Arial" w:hAnsi="Arial" w:cs="Arial"/>
                <w:spacing w:val="-3"/>
              </w:rPr>
              <w:t>21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8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5</w:t>
          </w:r>
          <w:r>
            <w:rPr>
              <w:spacing w:val="-1"/>
            </w:rPr>
            <w:t>：唯品会各季度回购情况</w:t>
          </w:r>
          <w:r>
            <w:rPr>
              <w:spacing w:val="-27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47" w:history="1">
            <w:r>
              <w:rPr>
                <w:rFonts w:ascii="Arial" w:eastAsia="Arial" w:hAnsi="Arial" w:cs="Arial"/>
                <w:spacing w:val="-3"/>
              </w:rPr>
              <w:t>21</w:t>
            </w:r>
          </w:hyperlink>
        </w:p>
      </w:sdtContent>
    </w:sdt>
    <w:p>
      <w:pPr>
        <w:spacing w:line="218" w:lineRule="auto"/>
        <w:rPr>
          <w:rFonts w:ascii="Arial" w:eastAsia="Arial" w:hAnsi="Arial" w:cs="Arial"/>
        </w:rPr>
        <w:sectPr>
          <w:headerReference w:type="default" r:id="rId24"/>
          <w:footerReference w:type="default" r:id="rId25"/>
          <w:pgSz w:w="11907" w:h="16839"/>
          <w:pgMar w:top="1383" w:right="646" w:bottom="1291" w:left="622" w:header="794" w:footer="743" w:gutter="0"/>
          <w:pgNumType w:start="7"/>
          <w:cols w:space="708"/>
        </w:sectPr>
      </w:pPr>
    </w:p>
    <w:p>
      <w:pPr>
        <w:pStyle w:val="BodyText"/>
        <w:spacing w:before="160" w:line="652" w:lineRule="exact"/>
        <w:ind w:right="51"/>
        <w:jc w:val="right"/>
        <w:rPr>
          <w:sz w:val="31"/>
          <w:szCs w:val="31"/>
        </w:rPr>
      </w:pPr>
      <w:r>
        <w:pict>
          <v:rect id="_x0000_s1038" style="width:2.45pt;height:0.75pt;margin-top:614.5pt;margin-left:326.58pt;mso-position-horizontal-relative:page;mso-position-vertical-relative:page;position:absolute;z-index:251680768" o:allowincell="f" filled="t" fillcolor="#4d4d4d" stroked="f"/>
        </w:pict>
      </w:r>
      <w:r>
        <w:pict>
          <v:rect id="_x0000_s1039" style="width:2.45pt;height:0.75pt;margin-top:632.5pt;margin-left:326.58pt;mso-position-horizontal-relative:page;mso-position-vertical-relative:page;position:absolute;z-index:251678720" o:allowincell="f" filled="t" fillcolor="#4d4d4d" stroked="f"/>
        </w:pict>
      </w:r>
      <w:r>
        <w:pict>
          <v:rect id="_x0000_s1040" style="width:2.45pt;height:0.75pt;margin-top:650.62pt;margin-left:326.58pt;mso-position-horizontal-relative:page;mso-position-vertical-relative:page;position:absolute;z-index:251681792" o:allowincell="f" filled="t" fillcolor="#4d4d4d" stroked="f"/>
        </w:pict>
      </w:r>
      <w:r>
        <w:pict>
          <v:rect id="_x0000_s1041" style="width:2.45pt;height:0.75pt;margin-top:704.64pt;margin-left:326.58pt;mso-position-horizontal-relative:page;mso-position-vertical-relative:page;position:absolute;z-index:251682816" o:allowincell="f" filled="t" fillcolor="#4d4d4d" stroked="f"/>
        </w:pict>
      </w:r>
      <w:r>
        <w:pict>
          <v:rect id="_x0000_s1042" style="width:0.75pt;height:108.15pt;margin-top:596.89pt;margin-left:328.62pt;mso-position-horizontal-relative:page;mso-position-vertical-relative:page;position:absolute;z-index:251677696" o:allowincell="f" filled="t" fillcolor="#4d4d4d" stroked="f"/>
        </w:pict>
      </w:r>
      <w:r>
        <w:pict>
          <v:rect id="_x0000_s1043" style="width:269pt;height:0.5pt;margin-top:743.62pt;margin-left:296.93pt;mso-position-horizontal-relative:page;mso-position-vertical-relative:page;position:absolute;z-index:251676672" o:allowincell="f" filled="t" fillcolor="black" stroked="f"/>
        </w:pict>
      </w:r>
      <w:r>
        <w:pict>
          <v:shape id="_x0000_s1044" style="width:256.85pt;height:0.5pt;margin-top:295.73pt;margin-left:28.32pt;mso-position-horizontal-relative:page;mso-position-vertical-relative:page;position:absolute;z-index:251673600" coordorigin="0,0" coordsize="5137,10" o:allowincell="f" path="m,9l5136,9l5136,l,l,9xe" filled="t" fillcolor="black" stroked="f"/>
        </w:pict>
      </w:r>
      <w:r>
        <w:pict>
          <v:shape id="_x0000_s1045" style="width:256.85pt;height:0.5pt;margin-top:494.23pt;margin-left:28.32pt;mso-position-horizontal-relative:page;mso-position-vertical-relative:page;position:absolute;z-index:251672576" coordorigin="0,0" coordsize="5137,10" o:allowincell="f" path="m,9l5136,9l5136,l,l,9xe" filled="t" fillcolor="black" stroked="f"/>
        </w:pict>
      </w:r>
      <w:r>
        <w:pict>
          <v:shape id="_x0000_s1046" style="width:269pt;height:0.5pt;margin-top:295.73pt;margin-left:296.93pt;mso-position-horizontal-relative:page;mso-position-vertical-relative:page;position:absolute;z-index:251671552" coordorigin="0,0" coordsize="5380,10" o:allowincell="f" path="m,9l5379,9l5379,l,l,9xe" filled="t" fillcolor="black" stroked="f"/>
        </w:pict>
      </w:r>
      <w:r>
        <w:pict>
          <v:shape id="_x0000_s1047" style="width:269pt;height:0.5pt;margin-top:494.23pt;margin-left:296.93pt;mso-position-horizontal-relative:page;mso-position-vertical-relative:page;position:absolute;z-index:251670528" coordorigin="0,0" coordsize="5380,10" o:allowincell="f" path="m,9l5379,9l5379,l,l,9xe" filled="t" fillcolor="black" stroked="f"/>
        </w:pict>
      </w:r>
      <w:r>
        <w:pict>
          <v:shape id="_x0000_s1048" style="width:269pt;height:0.5pt;margin-top:564.91pt;margin-left:296.93pt;mso-position-horizontal-relative:page;mso-position-vertical-relative:page;position:absolute;z-index:251669504" coordorigin="0,0" coordsize="5380,10" o:allowincell="f" path="m,9l5379,9l5379,l,l,9xe" filled="t" fillcolor="black" stroked="f"/>
        </w:pict>
      </w:r>
      <w:r>
        <w:pict>
          <v:shape id="_x0000_s1049" type="#_x0000_t202" style="width:155.4pt;height:11.4pt;margin-top:594.71pt;margin-left:325.58pt;mso-position-horizontal-relative:page;mso-position-vertical-relative:page;position:absolute;z-index:25167974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7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position w:val="10"/>
                      <w:sz w:val="16"/>
                      <w:szCs w:val="16"/>
                    </w:rPr>
                    <w:drawing>
                      <wp:inline distT="0" distB="0" distL="0" distR="0">
                        <wp:extent cx="30734" cy="9525"/>
                        <wp:effectExtent l="0" t="0" r="0" b="0"/>
                        <wp:docPr id="32" name="IM 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xmlns:r="http://schemas.openxmlformats.org/officeDocument/2006/relationships"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734" cy="9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"/>
                      <w:sz w:val="16"/>
                      <w:szCs w:val="16"/>
                    </w:rPr>
                    <w:t xml:space="preserve">        </w:t>
                  </w:r>
                  <w:r>
                    <w:rPr>
                      <w:position w:val="1"/>
                      <w:sz w:val="16"/>
                      <w:szCs w:val="16"/>
                    </w:rPr>
                    <w:drawing>
                      <wp:inline distT="0" distB="0" distL="0" distR="0">
                        <wp:extent cx="51064" cy="51064"/>
                        <wp:effectExtent l="0" t="0" r="0" b="0"/>
                        <wp:docPr id="34" name="IM 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xmlns:r="http://schemas.openxmlformats.org/officeDocument/2006/relationships"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064" cy="510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25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2"/>
                      <w:sz w:val="16"/>
                      <w:szCs w:val="16"/>
                    </w:rPr>
                    <w:t>实物网上零售额增量（十亿元）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4188586</wp:posOffset>
            </wp:positionH>
            <wp:positionV relativeFrom="page">
              <wp:posOffset>7738872</wp:posOffset>
            </wp:positionV>
            <wp:extent cx="2792857" cy="1127760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792857" cy="1127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0" style="width:224.05pt;height:20.8pt;margin-top:668.62pt;margin-left:326.58pt;mso-position-horizontal-relative:page;mso-position-vertical-relative:page;position:absolute;z-index:251683840" coordorigin="0,0" coordsize="4481,415" o:allowincell="f" path="m,367l48,367m,7l48,7m48,367l4480,367m48,367l48,415m382,367l382,415m716,367l716,415m1052,367l1052,415m1385,367l1385,415m1719,367l1719,415m2055,367l2055,415m2389,367l2389,415m2725,367l2725,415m3058,367l3058,415m3392,367l3392,415m3728,367l3728,415m4062,367l4062,415m4396,367l4396,415e" filled="f" strokecolor="#4d4d4d" strokeweight="0.75pt"/>
        </w:pict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4560442</wp:posOffset>
            </wp:positionH>
            <wp:positionV relativeFrom="page">
              <wp:posOffset>8647811</wp:posOffset>
            </wp:positionV>
            <wp:extent cx="32258" cy="170942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258" cy="170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6099682</wp:posOffset>
            </wp:positionH>
            <wp:positionV relativeFrom="page">
              <wp:posOffset>8637143</wp:posOffset>
            </wp:positionV>
            <wp:extent cx="17018" cy="88646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7018" cy="88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bookmark1"/>
      <w:bookmarkEnd w:id="0"/>
      <w:bookmarkStart w:id="1" w:name="bookmark2"/>
      <w:bookmarkEnd w:id="1"/>
      <w:bookmarkStart w:id="2" w:name="bookmark10"/>
      <w:bookmarkEnd w:id="2"/>
      <w:bookmarkStart w:id="3" w:name="bookmark11"/>
      <w:bookmarkEnd w:id="3"/>
      <w:r>
        <w:rPr>
          <w:spacing w:val="7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一、</w:t>
      </w:r>
      <w:r>
        <w:rPr>
          <w:rFonts w:ascii="Arial" w:eastAsia="Arial" w:hAnsi="Arial" w:cs="Arial"/>
          <w:b/>
          <w:bCs/>
          <w:spacing w:val="7"/>
          <w:position w:val="25"/>
          <w:sz w:val="31"/>
          <w:szCs w:val="31"/>
        </w:rPr>
        <w:t xml:space="preserve">23Q3  </w:t>
      </w:r>
      <w:r>
        <w:rPr>
          <w:spacing w:val="7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电商增速放缓，</w:t>
      </w:r>
      <w:r>
        <w:rPr>
          <w:rFonts w:ascii="Arial" w:eastAsia="Arial" w:hAnsi="Arial" w:cs="Arial"/>
          <w:b/>
          <w:bCs/>
          <w:spacing w:val="7"/>
          <w:position w:val="25"/>
          <w:sz w:val="31"/>
          <w:szCs w:val="31"/>
        </w:rPr>
        <w:t>23Q4</w:t>
      </w:r>
      <w:r>
        <w:rPr>
          <w:rFonts w:ascii="Arial" w:eastAsia="Arial" w:hAnsi="Arial" w:cs="Arial"/>
          <w:b/>
          <w:bCs/>
          <w:spacing w:val="45"/>
          <w:position w:val="25"/>
          <w:sz w:val="31"/>
          <w:szCs w:val="31"/>
        </w:rPr>
        <w:t xml:space="preserve"> </w:t>
      </w:r>
      <w:r>
        <w:rPr>
          <w:spacing w:val="7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销售旺季平台低价竞</w:t>
      </w:r>
    </w:p>
    <w:p>
      <w:pPr>
        <w:pStyle w:val="BodyText"/>
        <w:spacing w:line="221" w:lineRule="auto"/>
        <w:ind w:left="3096"/>
        <w:rPr>
          <w:sz w:val="31"/>
          <w:szCs w:val="31"/>
        </w:rPr>
      </w:pPr>
      <w:r>
        <w:rPr>
          <w:spacing w:val="7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争升级</w:t>
      </w:r>
    </w:p>
    <w:p>
      <w:pPr>
        <w:spacing w:line="401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3086"/>
        <w:rPr>
          <w:sz w:val="24"/>
          <w:szCs w:val="24"/>
        </w:rPr>
      </w:pPr>
      <w:r>
        <w:rPr>
          <w:spacing w:val="-4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（一）电商渗透率持续提升，</w:t>
      </w:r>
      <w:r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快递业务量增长态势</w:t>
      </w:r>
      <w:r>
        <w:rPr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良好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69" w:line="262" w:lineRule="auto"/>
        <w:ind w:left="3095" w:right="45" w:firstLine="2"/>
        <w:jc w:val="both"/>
      </w:pPr>
      <w:r>
        <w:rPr>
          <w:spacing w:val="-3"/>
        </w:rPr>
        <w:t>统计局数据显示，单季度</w:t>
      </w:r>
      <w:r>
        <w:rPr>
          <w:rFonts w:ascii="Arial" w:eastAsia="Arial" w:hAnsi="Arial" w:cs="Arial"/>
          <w:spacing w:val="-3"/>
        </w:rPr>
        <w:t>3Q23</w:t>
      </w:r>
      <w:r>
        <w:rPr>
          <w:spacing w:val="-3"/>
        </w:rPr>
        <w:t>网上商品和服务零售额同比增速为</w:t>
      </w:r>
      <w:r>
        <w:rPr>
          <w:rFonts w:ascii="Arial" w:eastAsia="Arial" w:hAnsi="Arial" w:cs="Arial"/>
          <w:spacing w:val="-3"/>
        </w:rPr>
        <w:t>11.25</w:t>
      </w:r>
      <w:r>
        <w:rPr>
          <w:rFonts w:ascii="Arial" w:eastAsia="Arial" w:hAnsi="Arial" w:cs="Arial"/>
          <w:spacing w:val="-4"/>
        </w:rPr>
        <w:t>%</w:t>
      </w:r>
      <w:r>
        <w:rPr>
          <w:spacing w:val="-4"/>
        </w:rPr>
        <w:t>，实物商品</w:t>
      </w:r>
      <w:r>
        <w:t xml:space="preserve"> </w:t>
      </w:r>
      <w:r>
        <w:rPr>
          <w:spacing w:val="-5"/>
        </w:rPr>
        <w:t>网上零售额增速为</w:t>
      </w:r>
      <w:r>
        <w:rPr>
          <w:rFonts w:ascii="Arial" w:eastAsia="Arial" w:hAnsi="Arial" w:cs="Arial"/>
          <w:spacing w:val="-5"/>
        </w:rPr>
        <w:t>5.2%</w:t>
      </w:r>
      <w:r>
        <w:rPr>
          <w:spacing w:val="-5"/>
        </w:rPr>
        <w:t>，增速较</w:t>
      </w:r>
      <w:r>
        <w:rPr>
          <w:rFonts w:ascii="Arial" w:eastAsia="Arial" w:hAnsi="Arial" w:cs="Arial"/>
          <w:spacing w:val="-5"/>
        </w:rPr>
        <w:t>Q1</w:t>
      </w:r>
      <w:r>
        <w:rPr>
          <w:spacing w:val="-5"/>
        </w:rPr>
        <w:t>（</w:t>
      </w:r>
      <w:r>
        <w:rPr>
          <w:spacing w:val="-58"/>
        </w:rPr>
        <w:t xml:space="preserve"> </w:t>
      </w:r>
      <w:r>
        <w:rPr>
          <w:rFonts w:ascii="Arial" w:eastAsia="Arial" w:hAnsi="Arial" w:cs="Arial"/>
          <w:spacing w:val="-5"/>
        </w:rPr>
        <w:t>+7.3%</w:t>
      </w:r>
      <w:r>
        <w:rPr>
          <w:spacing w:val="-5"/>
        </w:rPr>
        <w:t>）、</w:t>
      </w:r>
      <w:r>
        <w:rPr>
          <w:spacing w:val="-43"/>
        </w:rPr>
        <w:t xml:space="preserve"> </w:t>
      </w:r>
      <w:r>
        <w:rPr>
          <w:rFonts w:ascii="Arial" w:eastAsia="Arial" w:hAnsi="Arial" w:cs="Arial"/>
          <w:spacing w:val="-5"/>
        </w:rPr>
        <w:t>Q</w:t>
      </w:r>
      <w:r>
        <w:rPr>
          <w:rFonts w:ascii="Arial" w:eastAsia="Arial" w:hAnsi="Arial" w:cs="Arial"/>
          <w:spacing w:val="-6"/>
        </w:rPr>
        <w:t>2</w:t>
      </w:r>
      <w:r>
        <w:rPr>
          <w:spacing w:val="-6"/>
        </w:rPr>
        <w:t>（</w:t>
      </w:r>
      <w:r>
        <w:rPr>
          <w:spacing w:val="-58"/>
        </w:rPr>
        <w:t xml:space="preserve"> </w:t>
      </w:r>
      <w:r>
        <w:rPr>
          <w:rFonts w:ascii="Arial" w:eastAsia="Arial" w:hAnsi="Arial" w:cs="Arial"/>
          <w:spacing w:val="-6"/>
        </w:rPr>
        <w:t>+14.0%</w:t>
      </w:r>
      <w:r>
        <w:rPr>
          <w:spacing w:val="-6"/>
        </w:rPr>
        <w:t>）有所放缓。</w:t>
      </w:r>
      <w:r>
        <w:rPr>
          <w:rFonts w:ascii="Arial" w:eastAsia="Arial" w:hAnsi="Arial" w:cs="Arial"/>
          <w:spacing w:val="-6"/>
        </w:rPr>
        <w:t>3Q23</w:t>
      </w:r>
      <w:r>
        <w:rPr>
          <w:spacing w:val="-6"/>
        </w:rPr>
        <w:t>网</w:t>
      </w:r>
      <w:r>
        <w:t xml:space="preserve"> </w:t>
      </w:r>
      <w:r>
        <w:t>上商品和服务零售额累计占比为</w:t>
      </w:r>
      <w:r>
        <w:rPr>
          <w:rFonts w:ascii="Arial" w:eastAsia="Arial" w:hAnsi="Arial" w:cs="Arial"/>
        </w:rPr>
        <w:t>31.6%</w:t>
      </w:r>
      <w:r>
        <w:t>，同比</w:t>
      </w:r>
      <w:r>
        <w:rPr>
          <w:rFonts w:ascii="Arial" w:eastAsia="Arial" w:hAnsi="Arial" w:cs="Arial"/>
        </w:rPr>
        <w:t>+1.6</w:t>
      </w:r>
      <w:r>
        <w:rPr>
          <w:rFonts w:ascii="Arial" w:eastAsia="Arial" w:hAnsi="Arial" w:cs="Arial"/>
          <w:spacing w:val="-1"/>
        </w:rPr>
        <w:t>9pct</w:t>
      </w:r>
      <w:r>
        <w:rPr>
          <w:spacing w:val="-1"/>
        </w:rPr>
        <w:t>。</w:t>
      </w:r>
    </w:p>
    <w:p>
      <w:pPr>
        <w:pStyle w:val="BodyText"/>
        <w:spacing w:before="184" w:line="248" w:lineRule="auto"/>
        <w:ind w:left="3095" w:right="45" w:hanging="7"/>
      </w:pPr>
      <w:r>
        <w:rPr>
          <w:spacing w:val="-3"/>
        </w:rPr>
        <w:t>得益于传统线上促销活动拉动，</w:t>
      </w:r>
      <w:r>
        <w:rPr>
          <w:rFonts w:ascii="Arial" w:eastAsia="Arial" w:hAnsi="Arial" w:cs="Arial"/>
          <w:spacing w:val="-3"/>
        </w:rPr>
        <w:t>2023</w:t>
      </w:r>
      <w:r>
        <w:rPr>
          <w:spacing w:val="-3"/>
        </w:rPr>
        <w:t>年</w:t>
      </w:r>
      <w:r>
        <w:rPr>
          <w:rFonts w:ascii="Arial" w:eastAsia="Arial" w:hAnsi="Arial" w:cs="Arial"/>
          <w:spacing w:val="-3"/>
        </w:rPr>
        <w:t>10-11</w:t>
      </w:r>
      <w:r>
        <w:rPr>
          <w:spacing w:val="-3"/>
        </w:rPr>
        <w:t>月，网上商品和服务零售额同比增速为</w:t>
      </w:r>
      <w:r>
        <w:rPr>
          <w:spacing w:val="15"/>
        </w:rPr>
        <w:t xml:space="preserve"> </w:t>
      </w:r>
      <w:r>
        <w:rPr>
          <w:rFonts w:ascii="Arial" w:eastAsia="Arial" w:hAnsi="Arial" w:cs="Arial"/>
          <w:spacing w:val="-1"/>
        </w:rPr>
        <w:t>9.3%</w:t>
      </w:r>
      <w:r>
        <w:rPr>
          <w:rFonts w:ascii="Arial" w:eastAsia="Arial" w:hAnsi="Arial" w:cs="Arial"/>
          <w:spacing w:val="-29"/>
        </w:rPr>
        <w:t xml:space="preserve"> </w:t>
      </w:r>
      <w:r>
        <w:rPr>
          <w:spacing w:val="-1"/>
        </w:rPr>
        <w:t>，网上商品和服务零售额累计占比</w:t>
      </w:r>
      <w:r>
        <w:rPr>
          <w:spacing w:val="-2"/>
        </w:rPr>
        <w:t>提升至</w:t>
      </w:r>
      <w:r>
        <w:rPr>
          <w:rFonts w:ascii="Arial" w:eastAsia="Arial" w:hAnsi="Arial" w:cs="Arial"/>
          <w:spacing w:val="-2"/>
        </w:rPr>
        <w:t>32.6%</w:t>
      </w:r>
      <w:r>
        <w:rPr>
          <w:spacing w:val="-2"/>
        </w:rPr>
        <w:t>。</w:t>
      </w:r>
    </w:p>
    <w:p>
      <w:pPr>
        <w:spacing w:line="145" w:lineRule="exact"/>
      </w:pPr>
    </w:p>
    <w:p>
      <w:pPr>
        <w:spacing w:line="145" w:lineRule="exact"/>
        <w:sectPr>
          <w:headerReference w:type="default" r:id="rId31"/>
          <w:footerReference w:type="default" r:id="rId32"/>
          <w:pgSz w:w="11907" w:h="16839"/>
          <w:pgMar w:top="1383" w:right="588" w:bottom="1291" w:left="566" w:header="794" w:footer="743" w:gutter="0"/>
          <w:pgNumType w:start="8"/>
          <w:cols w:num="1" w:space="708" w:equalWidth="0">
            <w:col w:w="10752" w:space="0"/>
          </w:cols>
        </w:sectPr>
      </w:pPr>
    </w:p>
    <w:p>
      <w:pPr>
        <w:pStyle w:val="BodyText"/>
        <w:spacing w:before="42" w:line="218" w:lineRule="auto"/>
        <w:ind w:left="137"/>
      </w:pPr>
      <w:r>
        <w:rPr>
          <w:color w:val="0F243E"/>
          <w:spacing w:val="-3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Arial" w:eastAsia="Arial" w:hAnsi="Arial" w:cs="Arial"/>
          <w:b/>
          <w:bCs/>
          <w:color w:val="0F243E"/>
          <w:spacing w:val="-3"/>
        </w:rPr>
        <w:t>1</w:t>
      </w:r>
      <w:r>
        <w:rPr>
          <w:color w:val="0F243E"/>
          <w:spacing w:val="-3"/>
          <w14:textOutline w14:w="3831">
            <w14:solidFill>
              <w14:srgbClr w14:val="0F243E"/>
            </w14:solidFill>
            <w14:prstDash w14:val="solid"/>
            <w14:round/>
          </w14:textOutline>
        </w:rPr>
        <w:t>：电商销售增速变化</w:t>
      </w:r>
    </w:p>
    <w:p>
      <w:pPr>
        <w:spacing w:line="228" w:lineRule="exact"/>
      </w:pPr>
    </w:p>
    <w:tbl>
      <w:tblPr>
        <w:tblStyle w:val="TableNormal1"/>
        <w:tblW w:w="4858" w:type="dxa"/>
        <w:tblInd w:w="14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66"/>
        <w:gridCol w:w="4027"/>
        <w:gridCol w:w="365"/>
      </w:tblGrid>
      <w:tr>
        <w:tblPrEx>
          <w:tblW w:w="4858" w:type="dxa"/>
          <w:tblInd w:w="14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041"/>
        </w:trPr>
        <w:tc>
          <w:tcPr>
            <w:tcW w:w="466" w:type="dxa"/>
            <w:vAlign w:val="top"/>
          </w:tcPr>
          <w:p>
            <w:pPr>
              <w:pStyle w:val="TableText"/>
              <w:spacing w:line="269" w:lineRule="auto"/>
              <w:rPr>
                <w:sz w:val="21"/>
              </w:rPr>
            </w:pPr>
          </w:p>
          <w:p>
            <w:pPr>
              <w:pStyle w:val="TableText"/>
              <w:spacing w:line="269" w:lineRule="auto"/>
              <w:rPr>
                <w:sz w:val="21"/>
              </w:rPr>
            </w:pPr>
          </w:p>
          <w:p>
            <w:pPr>
              <w:pStyle w:val="TableText"/>
              <w:spacing w:line="269" w:lineRule="auto"/>
              <w:rPr>
                <w:sz w:val="21"/>
              </w:rPr>
            </w:pPr>
          </w:p>
          <w:p>
            <w:pPr>
              <w:pStyle w:val="TableText"/>
              <w:spacing w:before="46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4,500</w:t>
            </w:r>
          </w:p>
          <w:p>
            <w:pPr>
              <w:pStyle w:val="TableText"/>
              <w:spacing w:before="79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4,000</w:t>
            </w:r>
          </w:p>
          <w:p>
            <w:pPr>
              <w:pStyle w:val="TableText"/>
              <w:spacing w:before="80" w:line="195" w:lineRule="auto"/>
              <w:ind w:left="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3,500</w:t>
            </w:r>
          </w:p>
          <w:p>
            <w:pPr>
              <w:pStyle w:val="TableText"/>
              <w:spacing w:before="78" w:line="196" w:lineRule="auto"/>
              <w:ind w:left="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3,000</w:t>
            </w:r>
          </w:p>
          <w:p>
            <w:pPr>
              <w:pStyle w:val="TableText"/>
              <w:spacing w:before="80" w:line="195" w:lineRule="auto"/>
              <w:ind w:left="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2,500</w:t>
            </w:r>
          </w:p>
          <w:p>
            <w:pPr>
              <w:pStyle w:val="TableText"/>
              <w:spacing w:before="79" w:line="195" w:lineRule="auto"/>
              <w:ind w:left="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2,000</w:t>
            </w:r>
          </w:p>
          <w:p>
            <w:pPr>
              <w:pStyle w:val="TableText"/>
              <w:spacing w:before="80" w:line="195" w:lineRule="auto"/>
              <w:ind w:left="1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1,500</w:t>
            </w:r>
          </w:p>
          <w:p>
            <w:pPr>
              <w:pStyle w:val="TableText"/>
              <w:spacing w:before="80" w:line="195" w:lineRule="auto"/>
              <w:ind w:left="1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1,000</w:t>
            </w:r>
          </w:p>
          <w:p>
            <w:pPr>
              <w:pStyle w:val="TableText"/>
              <w:spacing w:before="79" w:line="195" w:lineRule="auto"/>
              <w:ind w:left="13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500</w:t>
            </w:r>
          </w:p>
          <w:p>
            <w:pPr>
              <w:pStyle w:val="TableText"/>
              <w:spacing w:before="80" w:line="109" w:lineRule="exact"/>
              <w:ind w:left="316"/>
              <w:rPr>
                <w:sz w:val="16"/>
                <w:szCs w:val="16"/>
              </w:rPr>
            </w:pPr>
            <w:r>
              <w:rPr>
                <w:position w:val="-2"/>
                <w:sz w:val="16"/>
                <w:szCs w:val="16"/>
              </w:rPr>
              <w:t>0</w:t>
            </w:r>
          </w:p>
        </w:tc>
        <w:tc>
          <w:tcPr>
            <w:tcW w:w="4027" w:type="dxa"/>
            <w:vAlign w:val="top"/>
          </w:tcPr>
          <w:p>
            <w:pPr>
              <w:spacing w:line="216" w:lineRule="auto"/>
              <w:ind w:left="42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position w:val="1"/>
                <w:sz w:val="16"/>
                <w:szCs w:val="16"/>
              </w:rPr>
              <w:drawing>
                <wp:inline distT="0" distB="0" distL="0" distR="0">
                  <wp:extent cx="243840" cy="51064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51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当季实物商品网上零售额（十亿元）</w:t>
            </w:r>
          </w:p>
          <w:p>
            <w:pPr>
              <w:spacing w:before="108" w:line="280" w:lineRule="auto"/>
              <w:ind w:left="409" w:right="456" w:firstLine="1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position w:val="1"/>
                <w:sz w:val="16"/>
                <w:szCs w:val="16"/>
              </w:rPr>
              <w:drawing>
                <wp:inline distT="0" distB="0" distL="0" distR="0">
                  <wp:extent cx="243840" cy="51064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51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6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当季网上商品和服务零售额（十亿元）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position w:val="3"/>
                <w:sz w:val="16"/>
                <w:szCs w:val="16"/>
              </w:rPr>
              <w:drawing>
                <wp:inline distT="0" distB="0" distL="0" distR="0">
                  <wp:extent cx="262889" cy="19050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89" cy="1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26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当季实物商品网上零售额增速</w:t>
            </w:r>
          </w:p>
          <w:p>
            <w:pPr>
              <w:spacing w:before="109" w:line="2140" w:lineRule="exact"/>
              <w:ind w:firstLine="66"/>
            </w:pPr>
            <w:r>
              <w:rPr>
                <w:position w:val="-43"/>
              </w:rPr>
              <w:pict>
                <v:group id="_x0000_i1051" style="width:195.75pt;height:107.2pt;mso-position-horizontal-relative:char;mso-position-vertical-relative:line" coordorigin="0,0" coordsize="3915,2143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52" type="#_x0000_t75" style="width:3915;height:2118;position:absolute;top:25" filled="f" stroked="f">
                    <v:imagedata r:id="rId36" o:title=""/>
                  </v:shape>
                  <v:shape id="_x0000_s1053" type="#_x0000_t202" style="width:3955;height:2183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17" w:lineRule="auto"/>
                            <w:ind w:left="830"/>
                            <w:rPr>
                              <w:rFonts w:ascii="KaiTi" w:eastAsia="KaiTi" w:hAnsi="KaiTi" w:cs="KaiT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spacing w:val="-2"/>
                              <w:sz w:val="16"/>
                              <w:szCs w:val="16"/>
                            </w:rPr>
                            <w:t>当季网上商品和服务零售额增速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365" w:type="dxa"/>
            <w:vAlign w:val="top"/>
          </w:tcPr>
          <w:p>
            <w:pPr>
              <w:pStyle w:val="TableText"/>
              <w:spacing w:line="267" w:lineRule="auto"/>
              <w:rPr>
                <w:sz w:val="21"/>
              </w:rPr>
            </w:pPr>
          </w:p>
          <w:p>
            <w:pPr>
              <w:pStyle w:val="TableText"/>
              <w:spacing w:line="267" w:lineRule="auto"/>
              <w:rPr>
                <w:sz w:val="21"/>
              </w:rPr>
            </w:pPr>
          </w:p>
          <w:p>
            <w:pPr>
              <w:pStyle w:val="TableText"/>
              <w:spacing w:line="268" w:lineRule="auto"/>
              <w:rPr>
                <w:sz w:val="21"/>
              </w:rPr>
            </w:pPr>
          </w:p>
          <w:p>
            <w:pPr>
              <w:pStyle w:val="TableText"/>
              <w:spacing w:before="46" w:line="284" w:lineRule="auto"/>
              <w:ind w:left="48" w:hanging="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35%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30%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25%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20%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15%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10%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 xml:space="preserve">   </w:t>
            </w:r>
            <w:r>
              <w:rPr>
                <w:spacing w:val="-3"/>
                <w:sz w:val="16"/>
                <w:szCs w:val="16"/>
              </w:rPr>
              <w:t>0%</w:t>
            </w:r>
            <w:r>
              <w:rPr>
                <w:sz w:val="16"/>
                <w:szCs w:val="16"/>
              </w:rPr>
              <w:t xml:space="preserve">   </w:t>
            </w:r>
            <w:r>
              <w:rPr>
                <w:spacing w:val="-2"/>
                <w:sz w:val="16"/>
                <w:szCs w:val="16"/>
              </w:rPr>
              <w:t>-5%</w:t>
            </w:r>
          </w:p>
        </w:tc>
      </w:tr>
    </w:tbl>
    <w:p>
      <w:pPr>
        <w:spacing w:before="80" w:line="322" w:lineRule="exact"/>
        <w:ind w:firstLine="517"/>
      </w:pPr>
      <w:r>
        <w:rPr>
          <w:position w:val="-6"/>
        </w:rPr>
        <w:drawing>
          <wp:inline distT="0" distB="0" distL="0" distR="0">
            <wp:extent cx="2514206" cy="204597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514206" cy="204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59" w:line="185" w:lineRule="auto"/>
        <w:ind w:left="111"/>
        <w:rPr>
          <w:sz w:val="18"/>
          <w:szCs w:val="18"/>
        </w:rPr>
      </w:pPr>
      <w:r>
        <w:rPr>
          <w:color w:val="0F243E"/>
          <w:spacing w:val="-1"/>
          <w:sz w:val="18"/>
          <w:szCs w:val="18"/>
        </w:rPr>
        <w:t>数据来源：国家统计局，广发证券发展研究中心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17" w:lineRule="auto"/>
        <w:ind w:left="140"/>
      </w:pPr>
      <w:r>
        <w:rPr>
          <w:color w:val="0F243E"/>
          <w:spacing w:val="-2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Arial" w:eastAsia="Arial" w:hAnsi="Arial" w:cs="Arial"/>
          <w:b/>
          <w:bCs/>
          <w:color w:val="0F243E"/>
          <w:spacing w:val="-2"/>
        </w:rPr>
        <w:t>2</w:t>
      </w:r>
      <w:r>
        <w:rPr>
          <w:color w:val="0F243E"/>
          <w:spacing w:val="-2"/>
          <w14:textOutline w14:w="3831">
            <w14:solidFill>
              <w14:srgbClr w14:val="0F243E"/>
            </w14:solidFill>
            <w14:prstDash w14:val="solid"/>
            <w14:round/>
          </w14:textOutline>
        </w:rPr>
        <w:t>：电商与线下零售增速对比</w:t>
      </w:r>
    </w:p>
    <w:p>
      <w:pPr>
        <w:spacing w:line="214" w:lineRule="exact"/>
      </w:pPr>
    </w:p>
    <w:tbl>
      <w:tblPr>
        <w:tblStyle w:val="TableNormal1"/>
        <w:tblW w:w="4810" w:type="dxa"/>
        <w:tblInd w:w="29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13"/>
        <w:gridCol w:w="287"/>
        <w:gridCol w:w="314"/>
        <w:gridCol w:w="314"/>
        <w:gridCol w:w="314"/>
        <w:gridCol w:w="314"/>
        <w:gridCol w:w="314"/>
        <w:gridCol w:w="314"/>
        <w:gridCol w:w="314"/>
        <w:gridCol w:w="314"/>
        <w:gridCol w:w="313"/>
        <w:gridCol w:w="314"/>
        <w:gridCol w:w="314"/>
        <w:gridCol w:w="293"/>
        <w:gridCol w:w="364"/>
      </w:tblGrid>
      <w:tr>
        <w:tblPrEx>
          <w:tblW w:w="4810" w:type="dxa"/>
          <w:tblInd w:w="29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72"/>
        </w:trPr>
        <w:tc>
          <w:tcPr>
            <w:tcW w:w="41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32" w:lineRule="auto"/>
              <w:rPr>
                <w:sz w:val="21"/>
              </w:rPr>
            </w:pPr>
          </w:p>
          <w:p>
            <w:pPr>
              <w:pStyle w:val="TableText"/>
              <w:spacing w:line="333" w:lineRule="auto"/>
              <w:rPr>
                <w:sz w:val="21"/>
              </w:rPr>
            </w:pPr>
          </w:p>
          <w:p>
            <w:pPr>
              <w:pStyle w:val="TableText"/>
              <w:tabs>
                <w:tab w:val="left" w:pos="143"/>
              </w:tabs>
              <w:spacing w:before="46" w:line="290" w:lineRule="auto"/>
              <w:ind w:right="43" w:firstLine="55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50%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16"/>
                <w:sz w:val="16"/>
                <w:szCs w:val="16"/>
              </w:rPr>
              <w:t>40%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16"/>
                <w:sz w:val="16"/>
                <w:szCs w:val="16"/>
              </w:rPr>
              <w:t>30%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16"/>
                <w:sz w:val="16"/>
                <w:szCs w:val="16"/>
              </w:rPr>
              <w:t>20%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16"/>
                <w:sz w:val="16"/>
                <w:szCs w:val="16"/>
              </w:rPr>
              <w:t>10%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ab/>
            </w:r>
            <w:r>
              <w:rPr>
                <w:spacing w:val="-4"/>
                <w:sz w:val="16"/>
                <w:szCs w:val="16"/>
              </w:rPr>
              <w:t>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-10%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-20%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-30%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-40%</w:t>
            </w:r>
          </w:p>
        </w:tc>
        <w:tc>
          <w:tcPr>
            <w:tcW w:w="4033" w:type="dxa"/>
            <w:gridSpan w:val="13"/>
            <w:vAlign w:val="top"/>
          </w:tcPr>
          <w:p>
            <w:pPr>
              <w:pStyle w:val="TableText"/>
              <w:spacing w:line="251" w:lineRule="auto"/>
              <w:ind w:left="729" w:right="140" w:firstLine="1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position w:val="1"/>
                <w:sz w:val="16"/>
                <w:szCs w:val="16"/>
              </w:rPr>
              <w:drawing>
                <wp:inline distT="0" distB="0" distL="0" distR="0">
                  <wp:extent cx="243840" cy="51064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51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网上商品和服务零售额累计占比（右）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position w:val="3"/>
                <w:sz w:val="16"/>
                <w:szCs w:val="16"/>
              </w:rPr>
              <w:drawing>
                <wp:inline distT="0" distB="0" distL="0" distR="0">
                  <wp:extent cx="262890" cy="19050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" cy="1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15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网上商品和服务零售额</w:t>
            </w:r>
            <w:r>
              <w:rPr>
                <w:spacing w:val="-2"/>
                <w:sz w:val="16"/>
                <w:szCs w:val="16"/>
              </w:rPr>
              <w:t>: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累计同比</w:t>
            </w:r>
          </w:p>
          <w:p>
            <w:pPr>
              <w:spacing w:before="37" w:line="217" w:lineRule="auto"/>
              <w:ind w:left="72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position w:val="3"/>
                <w:sz w:val="16"/>
                <w:szCs w:val="16"/>
              </w:rPr>
              <w:drawing>
                <wp:inline distT="0" distB="0" distL="0" distR="0">
                  <wp:extent cx="262890" cy="19050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" cy="1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25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实物商品网上零售额累计同比</w:t>
            </w:r>
          </w:p>
        </w:tc>
        <w:tc>
          <w:tcPr>
            <w:tcW w:w="3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30" w:lineRule="auto"/>
              <w:rPr>
                <w:sz w:val="21"/>
              </w:rPr>
            </w:pPr>
          </w:p>
          <w:p>
            <w:pPr>
              <w:pStyle w:val="TableText"/>
              <w:spacing w:line="330" w:lineRule="auto"/>
              <w:rPr>
                <w:sz w:val="21"/>
              </w:rPr>
            </w:pPr>
          </w:p>
          <w:p>
            <w:pPr>
              <w:pStyle w:val="TableText"/>
              <w:spacing w:before="46" w:line="387" w:lineRule="auto"/>
              <w:ind w:left="47" w:firstLine="2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35%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30%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25%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20%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15%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10%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5%</w:t>
            </w:r>
          </w:p>
          <w:p>
            <w:pPr>
              <w:pStyle w:val="TableText"/>
              <w:spacing w:line="196" w:lineRule="auto"/>
              <w:ind w:left="4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</w:tr>
      <w:tr>
        <w:tblPrEx>
          <w:tblW w:w="4810" w:type="dxa"/>
          <w:tblInd w:w="291" w:type="dxa"/>
          <w:tblLayout w:type="fixed"/>
        </w:tblPrEx>
        <w:trPr>
          <w:trHeight w:val="2233"/>
        </w:trPr>
        <w:tc>
          <w:tcPr>
            <w:tcW w:w="413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4033" w:type="dxa"/>
            <w:gridSpan w:val="13"/>
            <w:vAlign w:val="top"/>
          </w:tcPr>
          <w:p>
            <w:pPr>
              <w:tabs>
                <w:tab w:val="left" w:pos="1143"/>
              </w:tabs>
              <w:spacing w:before="37" w:line="216" w:lineRule="auto"/>
              <w:ind w:left="729"/>
              <w:rPr>
                <w:rFonts w:ascii="KaiTi" w:eastAsia="KaiTi" w:hAnsi="KaiTi" w:cs="KaiTi"/>
                <w:sz w:val="16"/>
                <w:szCs w:val="16"/>
              </w:rPr>
            </w:pPr>
            <w:r>
              <w:pict>
                <v:shape id="_x0000_s1054" style="width:2.8pt;height:104.1pt;margin-top:5.03pt;margin-left:-199.46pt;mso-position-horizontal-relative:right-margin-area;mso-position-vertical-relative:top-margin-area;position:absolute;z-index:-251631616" coordorigin="0,0" coordsize="55,2081" path="m48,2081l48,7m,929l48,929m,699l48,699m,468l48,468m,238l48,238m,7l48,7e" filled="f" strokecolor="#4d4d4d" strokeweight="0.75pt"/>
              </w:pict>
            </w:r>
            <w:r>
              <w:pict>
                <v:shape id="_x0000_s1055" style="width:2.8pt;height:104.45pt;margin-top:5.03pt;margin-left:-5.2pt;mso-position-horizontal-relative:right-margin-area;mso-position-vertical-relative:top-margin-area;position:absolute;z-index:-251630592" coordorigin="0,0" coordsize="55,2088" path="m7,2081l7,7m7,2081l55,2081m7,1784l55,1784m7,1488l55,1488m7,1191l55,1191m7,896l55,896m7,600l55,600m7,303l55,303m7,7l55,7e" filled="f" strokecolor="#4d4d4d" strokeweight="0.75pt"/>
              </w:pict>
            </w:r>
            <w:r>
              <w:drawing>
                <wp:anchor distT="0" distB="0" distL="0" distR="0" simplePos="0" relativeHeight="251686912" behindDoc="0" locked="0" layoutInCell="1" allowOverlap="1">
                  <wp:simplePos x="0" y="0"/>
                  <wp:positionH relativeFrom="rightMargin">
                    <wp:posOffset>-2502756</wp:posOffset>
                  </wp:positionH>
                  <wp:positionV relativeFrom="topMargin">
                    <wp:posOffset>158331</wp:posOffset>
                  </wp:positionV>
                  <wp:extent cx="2426080" cy="1227073"/>
                  <wp:effectExtent l="0" t="0" r="0" b="0"/>
                  <wp:wrapNone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6080" cy="12270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KaiTi" w:eastAsia="KaiTi" w:hAnsi="KaiTi" w:cs="KaiTi"/>
                <w:strike/>
                <w:sz w:val="16"/>
                <w:szCs w:val="16"/>
              </w:rPr>
              <w:tab/>
            </w:r>
            <w:r>
              <w:rPr>
                <w:rFonts w:ascii="KaiTi" w:eastAsia="KaiTi" w:hAnsi="KaiTi" w:cs="KaiTi"/>
                <w:spacing w:val="-37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线下消费累计同比增速（经调整）</w:t>
            </w:r>
          </w:p>
          <w:p>
            <w:pPr>
              <w:pStyle w:val="TableText"/>
              <w:spacing w:line="255" w:lineRule="auto"/>
              <w:rPr>
                <w:sz w:val="21"/>
              </w:rPr>
            </w:pPr>
          </w:p>
          <w:p>
            <w:pPr>
              <w:pStyle w:val="TableText"/>
              <w:spacing w:line="255" w:lineRule="auto"/>
              <w:rPr>
                <w:sz w:val="21"/>
              </w:rPr>
            </w:pPr>
          </w:p>
          <w:p>
            <w:pPr>
              <w:pStyle w:val="TableText"/>
              <w:spacing w:line="255" w:lineRule="auto"/>
              <w:rPr>
                <w:sz w:val="21"/>
              </w:rPr>
            </w:pPr>
          </w:p>
          <w:p>
            <w:pPr>
              <w:pStyle w:val="TableText"/>
              <w:spacing w:line="256" w:lineRule="auto"/>
              <w:rPr>
                <w:sz w:val="21"/>
              </w:rPr>
            </w:pPr>
          </w:p>
          <w:p>
            <w:pPr>
              <w:spacing w:line="936" w:lineRule="exact"/>
              <w:ind w:firstLine="43"/>
            </w:pPr>
            <w:r>
              <w:rPr>
                <w:position w:val="-18"/>
              </w:rPr>
              <w:pict>
                <v:shape id="_x0000_i1056" style="width:194.65pt;height:46.85pt;mso-position-horizontal-relative:char;mso-position-vertical-relative:line" coordorigin="0,0" coordsize="3892,936" path="m,929l48,929m,699l48,699m,468l48,468m,238l48,238m,8l48,8m48,7l3892,7m48,7l48,55m362,7l362,55m676,7l676,55m988,7l988,55m1302,7l1302,55m1617,7l1617,55m1931,7l1931,55m2246,7l2246,55m2558,7l2558,55m2872,7l2872,55m3187,7l3187,55m3501,7l3501,55m3814,7l3814,55e" filled="f" strokecolor="#4d4d4d" strokeweight="0.75pt">
                  <w10:wrap type="none"/>
                </v:shape>
              </w:pict>
            </w:r>
          </w:p>
        </w:tc>
        <w:tc>
          <w:tcPr>
            <w:tcW w:w="36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4810" w:type="dxa"/>
          <w:tblInd w:w="291" w:type="dxa"/>
          <w:tblLayout w:type="fixed"/>
        </w:tblPrEx>
        <w:trPr>
          <w:trHeight w:val="629"/>
        </w:trPr>
        <w:tc>
          <w:tcPr>
            <w:tcW w:w="413" w:type="dxa"/>
            <w:vMerge/>
            <w:tcBorders>
              <w:top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87" w:type="dxa"/>
            <w:textDirection w:val="btLr"/>
            <w:vAlign w:val="top"/>
          </w:tcPr>
          <w:p>
            <w:pPr>
              <w:pStyle w:val="TableText"/>
              <w:spacing w:before="71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2019-11</w:t>
            </w:r>
          </w:p>
        </w:tc>
        <w:tc>
          <w:tcPr>
            <w:tcW w:w="314" w:type="dxa"/>
            <w:textDirection w:val="btLr"/>
            <w:vAlign w:val="top"/>
          </w:tcPr>
          <w:p>
            <w:pPr>
              <w:pStyle w:val="TableText"/>
              <w:spacing w:before="98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2020-03</w:t>
            </w:r>
          </w:p>
        </w:tc>
        <w:tc>
          <w:tcPr>
            <w:tcW w:w="314" w:type="dxa"/>
            <w:textDirection w:val="btLr"/>
            <w:vAlign w:val="top"/>
          </w:tcPr>
          <w:p>
            <w:pPr>
              <w:pStyle w:val="TableText"/>
              <w:spacing w:before="98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2020-07</w:t>
            </w:r>
          </w:p>
        </w:tc>
        <w:tc>
          <w:tcPr>
            <w:tcW w:w="314" w:type="dxa"/>
            <w:textDirection w:val="btLr"/>
            <w:vAlign w:val="top"/>
          </w:tcPr>
          <w:p>
            <w:pPr>
              <w:pStyle w:val="TableText"/>
              <w:spacing w:before="98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2020-11</w:t>
            </w:r>
          </w:p>
        </w:tc>
        <w:tc>
          <w:tcPr>
            <w:tcW w:w="314" w:type="dxa"/>
            <w:textDirection w:val="btLr"/>
            <w:vAlign w:val="top"/>
          </w:tcPr>
          <w:p>
            <w:pPr>
              <w:pStyle w:val="TableText"/>
              <w:spacing w:before="98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2021-03</w:t>
            </w:r>
          </w:p>
        </w:tc>
        <w:tc>
          <w:tcPr>
            <w:tcW w:w="314" w:type="dxa"/>
            <w:textDirection w:val="btLr"/>
            <w:vAlign w:val="top"/>
          </w:tcPr>
          <w:p>
            <w:pPr>
              <w:pStyle w:val="TableText"/>
              <w:spacing w:before="98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2021-07</w:t>
            </w:r>
          </w:p>
        </w:tc>
        <w:tc>
          <w:tcPr>
            <w:tcW w:w="314" w:type="dxa"/>
            <w:textDirection w:val="btLr"/>
            <w:vAlign w:val="top"/>
          </w:tcPr>
          <w:p>
            <w:pPr>
              <w:pStyle w:val="TableText"/>
              <w:spacing w:before="98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2021-11</w:t>
            </w:r>
          </w:p>
        </w:tc>
        <w:tc>
          <w:tcPr>
            <w:tcW w:w="314" w:type="dxa"/>
            <w:textDirection w:val="btLr"/>
            <w:vAlign w:val="top"/>
          </w:tcPr>
          <w:p>
            <w:pPr>
              <w:pStyle w:val="TableText"/>
              <w:spacing w:before="98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2022-03</w:t>
            </w:r>
          </w:p>
        </w:tc>
        <w:tc>
          <w:tcPr>
            <w:tcW w:w="314" w:type="dxa"/>
            <w:textDirection w:val="btLr"/>
            <w:vAlign w:val="top"/>
          </w:tcPr>
          <w:p>
            <w:pPr>
              <w:pStyle w:val="TableText"/>
              <w:spacing w:before="97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2022-07</w:t>
            </w:r>
          </w:p>
        </w:tc>
        <w:tc>
          <w:tcPr>
            <w:tcW w:w="313" w:type="dxa"/>
            <w:textDirection w:val="btLr"/>
            <w:vAlign w:val="top"/>
          </w:tcPr>
          <w:p>
            <w:pPr>
              <w:pStyle w:val="TableText"/>
              <w:spacing w:before="98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2022-11</w:t>
            </w:r>
          </w:p>
        </w:tc>
        <w:tc>
          <w:tcPr>
            <w:tcW w:w="314" w:type="dxa"/>
            <w:textDirection w:val="btLr"/>
            <w:vAlign w:val="top"/>
          </w:tcPr>
          <w:p>
            <w:pPr>
              <w:pStyle w:val="TableText"/>
              <w:spacing w:before="98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2023-03</w:t>
            </w:r>
          </w:p>
        </w:tc>
        <w:tc>
          <w:tcPr>
            <w:tcW w:w="314" w:type="dxa"/>
            <w:textDirection w:val="btLr"/>
            <w:vAlign w:val="top"/>
          </w:tcPr>
          <w:p>
            <w:pPr>
              <w:pStyle w:val="TableText"/>
              <w:spacing w:before="98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2023-07</w:t>
            </w:r>
          </w:p>
        </w:tc>
        <w:tc>
          <w:tcPr>
            <w:tcW w:w="293" w:type="dxa"/>
            <w:textDirection w:val="btLr"/>
            <w:vAlign w:val="top"/>
          </w:tcPr>
          <w:p>
            <w:pPr>
              <w:pStyle w:val="TableText"/>
              <w:spacing w:before="98" w:line="195" w:lineRule="auto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2023-11</w:t>
            </w:r>
          </w:p>
        </w:tc>
        <w:tc>
          <w:tcPr>
            <w:tcW w:w="364" w:type="dxa"/>
            <w:vMerge/>
            <w:tcBorders>
              <w:top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</w:tbl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59" w:line="185" w:lineRule="auto"/>
        <w:ind w:left="113"/>
        <w:rPr>
          <w:sz w:val="18"/>
          <w:szCs w:val="18"/>
        </w:rPr>
      </w:pPr>
      <w:r>
        <w:rPr>
          <w:color w:val="0F243E"/>
          <w:spacing w:val="-1"/>
          <w:sz w:val="18"/>
          <w:szCs w:val="18"/>
        </w:rPr>
        <w:t>数据来源：国家统计局，广发证券发展研究中心</w:t>
      </w:r>
    </w:p>
    <w:p>
      <w:pPr>
        <w:spacing w:line="185" w:lineRule="auto"/>
        <w:rPr>
          <w:sz w:val="18"/>
          <w:szCs w:val="18"/>
        </w:rPr>
        <w:sectPr>
          <w:headerReference w:type="default" r:id="rId42"/>
          <w:footerReference w:type="default" r:id="rId43"/>
          <w:type w:val="continuous"/>
          <w:pgSz w:w="11907" w:h="16839"/>
          <w:pgMar w:top="1383" w:right="588" w:bottom="1291" w:left="566" w:header="794" w:footer="743" w:gutter="0"/>
          <w:pgNumType w:start="9"/>
          <w:cols w:num="2" w:space="708" w:equalWidth="0">
            <w:col w:w="5273" w:space="100"/>
            <w:col w:w="5380" w:space="0"/>
          </w:cols>
        </w:sectPr>
      </w:pPr>
    </w:p>
    <w:p>
      <w:pPr>
        <w:pStyle w:val="BodyText"/>
        <w:spacing w:before="132" w:line="249" w:lineRule="auto"/>
        <w:ind w:left="3109" w:right="44" w:hanging="9"/>
      </w:pPr>
      <w:r>
        <w:rPr>
          <w:spacing w:val="-4"/>
        </w:rPr>
        <w:t>邮政局数据显示，</w:t>
      </w:r>
      <w:r>
        <w:rPr>
          <w:rFonts w:ascii="Arial" w:eastAsia="Arial" w:hAnsi="Arial" w:cs="Arial"/>
          <w:spacing w:val="-4"/>
        </w:rPr>
        <w:t>3Q23</w:t>
      </w:r>
      <w:r>
        <w:rPr>
          <w:spacing w:val="-4"/>
        </w:rPr>
        <w:t>规模以上快递业务量同比增长</w:t>
      </w:r>
      <w:r>
        <w:rPr>
          <w:rFonts w:ascii="Arial" w:eastAsia="Arial" w:hAnsi="Arial" w:cs="Arial"/>
          <w:spacing w:val="-4"/>
        </w:rPr>
        <w:t>16.</w:t>
      </w:r>
      <w:r>
        <w:rPr>
          <w:rFonts w:ascii="Arial" w:eastAsia="Arial" w:hAnsi="Arial" w:cs="Arial"/>
          <w:spacing w:val="-5"/>
        </w:rPr>
        <w:t>69%</w:t>
      </w:r>
      <w:r>
        <w:rPr>
          <w:spacing w:val="-5"/>
        </w:rPr>
        <w:t>至</w:t>
      </w:r>
      <w:r>
        <w:rPr>
          <w:rFonts w:ascii="Arial" w:eastAsia="Arial" w:hAnsi="Arial" w:cs="Arial"/>
          <w:spacing w:val="-5"/>
        </w:rPr>
        <w:t>336</w:t>
      </w:r>
      <w:r>
        <w:rPr>
          <w:spacing w:val="-5"/>
        </w:rPr>
        <w:t>亿件，</w:t>
      </w:r>
      <w:r>
        <w:rPr>
          <w:rFonts w:ascii="Arial" w:eastAsia="Arial" w:hAnsi="Arial" w:cs="Arial"/>
          <w:spacing w:val="-5"/>
        </w:rPr>
        <w:t>2023</w:t>
      </w:r>
      <w:r>
        <w:rPr>
          <w:spacing w:val="-5"/>
        </w:rPr>
        <w:t>年</w:t>
      </w:r>
      <w:r>
        <w:rPr>
          <w:rFonts w:ascii="Arial" w:eastAsia="Arial" w:hAnsi="Arial" w:cs="Arial"/>
          <w:spacing w:val="-5"/>
        </w:rPr>
        <w:t>10-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4"/>
        </w:rPr>
        <w:t>11</w:t>
      </w:r>
      <w:r>
        <w:rPr>
          <w:spacing w:val="-4"/>
        </w:rPr>
        <w:t>月规模以上快递业务量累计同比增长</w:t>
      </w:r>
      <w:r>
        <w:rPr>
          <w:rFonts w:ascii="Arial" w:eastAsia="Arial" w:hAnsi="Arial" w:cs="Arial"/>
          <w:spacing w:val="-4"/>
        </w:rPr>
        <w:t>27.2%</w:t>
      </w:r>
      <w:r>
        <w:rPr>
          <w:spacing w:val="-4"/>
        </w:rPr>
        <w:t>至</w:t>
      </w:r>
      <w:r>
        <w:rPr>
          <w:rFonts w:ascii="Arial" w:eastAsia="Arial" w:hAnsi="Arial" w:cs="Arial"/>
          <w:spacing w:val="-4"/>
        </w:rPr>
        <w:t>257</w:t>
      </w:r>
      <w:r>
        <w:rPr>
          <w:spacing w:val="-4"/>
        </w:rPr>
        <w:t>亿件，</w:t>
      </w:r>
      <w:r>
        <w:rPr>
          <w:spacing w:val="-4"/>
        </w:rPr>
        <w:t xml:space="preserve"> </w:t>
      </w:r>
      <w:r>
        <w:rPr>
          <w:rFonts w:ascii="Arial" w:eastAsia="Arial" w:hAnsi="Arial" w:cs="Arial"/>
          <w:spacing w:val="-4"/>
        </w:rPr>
        <w:t>Q4</w:t>
      </w:r>
      <w:r>
        <w:rPr>
          <w:spacing w:val="-4"/>
        </w:rPr>
        <w:t>明显提速。</w:t>
      </w:r>
    </w:p>
    <w:p>
      <w:pPr>
        <w:spacing w:line="186" w:lineRule="exact"/>
      </w:pPr>
    </w:p>
    <w:p>
      <w:pPr>
        <w:spacing w:line="186" w:lineRule="exact"/>
        <w:sectPr>
          <w:headerReference w:type="default" r:id="rId44"/>
          <w:footerReference w:type="default" r:id="rId45"/>
          <w:type w:val="continuous"/>
          <w:pgSz w:w="11907" w:h="16839"/>
          <w:pgMar w:top="1383" w:right="588" w:bottom="1291" w:left="566" w:header="794" w:footer="743" w:gutter="0"/>
          <w:pgNumType w:start="10"/>
          <w:cols w:num="1" w:space="708" w:equalWidth="0">
            <w:col w:w="10752" w:space="0"/>
          </w:cols>
        </w:sectPr>
      </w:pPr>
    </w:p>
    <w:tbl>
      <w:tblPr>
        <w:tblStyle w:val="TableNormal1"/>
        <w:tblW w:w="513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93"/>
        <w:gridCol w:w="4543"/>
      </w:tblGrid>
      <w:tr>
        <w:tblPrEx>
          <w:tblW w:w="513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0"/>
        </w:trPr>
        <w:tc>
          <w:tcPr>
            <w:tcW w:w="5136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line="220" w:lineRule="auto"/>
              <w:ind w:left="13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0F243E"/>
                <w:spacing w:val="-2"/>
                <w:sz w:val="21"/>
                <w:szCs w:val="21"/>
                <w14:textOutline w14:w="3831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图</w:t>
            </w:r>
            <w:r>
              <w:rPr>
                <w:b/>
                <w:bCs/>
                <w:color w:val="0F243E"/>
                <w:spacing w:val="-2"/>
                <w:sz w:val="21"/>
                <w:szCs w:val="21"/>
              </w:rPr>
              <w:t>3</w:t>
            </w:r>
            <w:r>
              <w:rPr>
                <w:rFonts w:ascii="KaiTi" w:eastAsia="KaiTi" w:hAnsi="KaiTi" w:cs="KaiTi"/>
                <w:color w:val="0F243E"/>
                <w:spacing w:val="-2"/>
                <w:sz w:val="21"/>
                <w:szCs w:val="21"/>
                <w14:textOutline w14:w="3831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：快递增速与实物网购增速对比</w:t>
            </w:r>
          </w:p>
        </w:tc>
      </w:tr>
      <w:tr>
        <w:tblPrEx>
          <w:tblW w:w="5136" w:type="dxa"/>
          <w:tblInd w:w="0" w:type="dxa"/>
          <w:tblLayout w:type="fixed"/>
        </w:tblPrEx>
        <w:trPr>
          <w:trHeight w:val="549"/>
        </w:trPr>
        <w:tc>
          <w:tcPr>
            <w:tcW w:w="593" w:type="dxa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line="305" w:lineRule="auto"/>
              <w:rPr>
                <w:sz w:val="21"/>
              </w:rPr>
            </w:pPr>
          </w:p>
        </w:tc>
        <w:tc>
          <w:tcPr>
            <w:tcW w:w="4543" w:type="dxa"/>
            <w:tcBorders>
              <w:top w:val="single" w:sz="2" w:space="0" w:color="000000"/>
            </w:tcBorders>
            <w:vAlign w:val="top"/>
          </w:tcPr>
          <w:p>
            <w:pPr>
              <w:spacing w:before="214" w:line="216" w:lineRule="auto"/>
              <w:ind w:left="6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position w:val="3"/>
                <w:sz w:val="16"/>
                <w:szCs w:val="16"/>
              </w:rPr>
              <w:drawing>
                <wp:inline distT="0" distB="0" distL="0" distR="0">
                  <wp:extent cx="262889" cy="19050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89" cy="1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19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当月快递量同比增速</w:t>
            </w:r>
            <w:r>
              <w:rPr>
                <w:rFonts w:ascii="KaiTi" w:eastAsia="KaiTi" w:hAnsi="KaiTi" w:cs="KaiTi"/>
                <w:spacing w:val="14"/>
                <w:sz w:val="16"/>
                <w:szCs w:val="16"/>
              </w:rPr>
              <w:t xml:space="preserve">   </w:t>
            </w:r>
            <w:r>
              <w:rPr>
                <w:position w:val="3"/>
                <w:sz w:val="16"/>
                <w:szCs w:val="16"/>
              </w:rPr>
              <w:drawing>
                <wp:inline distT="0" distB="0" distL="0" distR="0">
                  <wp:extent cx="262889" cy="19050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89" cy="1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3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实物网购当月增速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https://d.book118.com/477140010020006034</w:t>
        </w:r>
      </w:hyperlink>
    </w:p>
    <w:p/>
    <w:sectPr>
      <w:headerReference w:type="default" r:id="rId49"/>
      <w:footerReference w:type="default" r:id="rId50"/>
      <w:type w:val="continuous"/>
      <w:pgSz w:w="11907" w:h="16839"/>
      <w:pgMar w:top="1383" w:right="588" w:bottom="1291" w:left="566" w:header="794" w:footer="743" w:gutter="0"/>
      <w:pgNumType w:start="11"/>
      <w:cols w:num="2" w:space="708" w:equalWidth="0">
        <w:col w:w="5273" w:space="100"/>
        <w:col w:w="53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8" w:line="20" w:lineRule="exact"/>
    </w:pPr>
    <w:r>
      <w:pict>
        <v:shape id="_x0000_i2049" style="width:529.55pt;height:1.05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84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2.7pt;height:12.35pt;margin-top:-1pt;margin-left:0;position:absolute;z-index:251658240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2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pacing w:val="37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5"/>
        <w:sz w:val="16"/>
        <w:szCs w:val="16"/>
      </w:rPr>
      <w:t>/</w:t>
    </w:r>
    <w:r>
      <w:rPr>
        <w:rFonts w:ascii="Arial" w:eastAsia="Arial" w:hAnsi="Arial" w:cs="Arial"/>
        <w:color w:val="003F8A"/>
        <w:spacing w:val="3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8" w:line="20" w:lineRule="exact"/>
    </w:pPr>
    <w:r>
      <w:pict>
        <v:shape id="_x0000_i2051" style="width:529.55pt;height:1.05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84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2.7pt;height:12.35pt;margin-top:-1pt;margin-left:0;position:absolute;z-index:251659264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2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pacing w:val="37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5"/>
        <w:sz w:val="16"/>
        <w:szCs w:val="16"/>
      </w:rPr>
      <w:t>/</w:t>
    </w:r>
    <w:r>
      <w:rPr>
        <w:rFonts w:ascii="Arial" w:eastAsia="Arial" w:hAnsi="Arial" w:cs="Arial"/>
        <w:color w:val="003F8A"/>
        <w:spacing w:val="3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53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4" w:line="218" w:lineRule="auto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2.7pt;height:12.35pt;margin-top:-1pt;margin-left:0;position:absolute;z-index:251660288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3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rFonts w:ascii="Arial" w:eastAsia="Arial" w:hAnsi="Arial" w:cs="Arial"/>
        <w:color w:val="003F8A"/>
        <w:spacing w:val="3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</w:rPr>
      <w:t>/</w:t>
    </w:r>
    <w:r>
      <w:rPr>
        <w:rFonts w:ascii="Arial" w:eastAsia="Arial" w:hAnsi="Arial" w:cs="Arial"/>
        <w:color w:val="003F8A"/>
        <w:spacing w:val="3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55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4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2.7pt;height:12.35pt;margin-top:-1pt;margin-left:0;position:absolute;z-index:251661312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5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rFonts w:ascii="Arial" w:eastAsia="Arial" w:hAnsi="Arial" w:cs="Arial"/>
        <w:color w:val="003F8A"/>
        <w:spacing w:val="36"/>
        <w:w w:val="10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</w:rPr>
      <w:t>/</w:t>
    </w:r>
    <w:r>
      <w:rPr>
        <w:rFonts w:ascii="Arial" w:eastAsia="Arial" w:hAnsi="Arial" w:cs="Arial"/>
        <w:color w:val="003F8A"/>
        <w:spacing w:val="3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57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4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2.7pt;height:12.35pt;margin-top:-1pt;margin-left:0;position:absolute;z-index:251662336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0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Arial" w:eastAsia="Arial" w:hAnsi="Arial" w:cs="Arial"/>
        <w:color w:val="003F8A"/>
        <w:spacing w:val="36"/>
        <w:w w:val="10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</w:rPr>
      <w:t>/</w:t>
    </w:r>
    <w:r>
      <w:rPr>
        <w:rFonts w:ascii="Arial" w:eastAsia="Arial" w:hAnsi="Arial" w:cs="Arial"/>
        <w:color w:val="003F8A"/>
        <w:spacing w:val="3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59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4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2.7pt;height:12.35pt;margin-top:-1pt;margin-left:0;position:absolute;z-index:251663360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0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Arial" w:eastAsia="Arial" w:hAnsi="Arial" w:cs="Arial"/>
        <w:color w:val="003F8A"/>
        <w:spacing w:val="36"/>
        <w:w w:val="10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</w:rPr>
      <w:t>/</w:t>
    </w:r>
    <w:r>
      <w:rPr>
        <w:rFonts w:ascii="Arial" w:eastAsia="Arial" w:hAnsi="Arial" w:cs="Arial"/>
        <w:color w:val="003F8A"/>
        <w:spacing w:val="3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61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4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2.7pt;height:12.35pt;margin-top:-1pt;margin-left:0;position:absolute;z-index:251664384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5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5</w:t>
    </w:r>
    <w:r>
      <w:rPr>
        <w:rFonts w:ascii="Arial" w:eastAsia="Arial" w:hAnsi="Arial" w:cs="Arial"/>
        <w:color w:val="003F8A"/>
        <w:spacing w:val="36"/>
        <w:w w:val="10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</w:rPr>
      <w:t>/</w:t>
    </w:r>
    <w:r>
      <w:rPr>
        <w:rFonts w:ascii="Arial" w:eastAsia="Arial" w:hAnsi="Arial" w:cs="Arial"/>
        <w:color w:val="003F8A"/>
        <w:spacing w:val="3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  <w:ind w:firstLine="56"/>
    </w:pPr>
    <w:r>
      <w:pict>
        <v:shape id="_x0000_i2063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4" w:line="218" w:lineRule="auto"/>
      <w:ind w:left="8538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2.7pt;height:12.35pt;margin-top:-1pt;margin-left:2.83pt;position:absolute;z-index:251665408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7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Arial" w:eastAsia="Arial" w:hAnsi="Arial" w:cs="Arial"/>
        <w:color w:val="003F8A"/>
        <w:spacing w:val="36"/>
        <w:w w:val="10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</w:rPr>
      <w:t>/</w:t>
    </w:r>
    <w:r>
      <w:rPr>
        <w:rFonts w:ascii="Arial" w:eastAsia="Arial" w:hAnsi="Arial" w:cs="Arial"/>
        <w:color w:val="003F8A"/>
        <w:spacing w:val="3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  <w:ind w:firstLine="56"/>
    </w:pPr>
    <w:r>
      <w:pict>
        <v:shape id="_x0000_i2065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4" w:line="218" w:lineRule="auto"/>
      <w:ind w:left="8538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2.7pt;height:12.35pt;margin-top:-1pt;margin-left:2.83pt;position:absolute;z-index:251666432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7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Arial" w:eastAsia="Arial" w:hAnsi="Arial" w:cs="Arial"/>
        <w:color w:val="003F8A"/>
        <w:spacing w:val="36"/>
        <w:w w:val="10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</w:rPr>
      <w:t>/</w:t>
    </w:r>
    <w:r>
      <w:rPr>
        <w:rFonts w:ascii="Arial" w:eastAsia="Arial" w:hAnsi="Arial" w:cs="Arial"/>
        <w:color w:val="003F8A"/>
        <w:spacing w:val="3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  <w:ind w:firstLine="56"/>
    </w:pPr>
    <w:r>
      <w:pict>
        <v:shape id="_x0000_i2067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4" w:line="218" w:lineRule="auto"/>
      <w:ind w:left="8538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2.7pt;height:12.35pt;margin-top:-1pt;margin-left:2.83pt;position:absolute;z-index:251667456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7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Arial" w:eastAsia="Arial" w:hAnsi="Arial" w:cs="Arial"/>
        <w:color w:val="003F8A"/>
        <w:spacing w:val="36"/>
        <w:w w:val="10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</w:rPr>
      <w:t>/</w:t>
    </w:r>
    <w:r>
      <w:rPr>
        <w:rFonts w:ascii="Arial" w:eastAsia="Arial" w:hAnsi="Arial" w:cs="Arial"/>
        <w:color w:val="003F8A"/>
        <w:spacing w:val="3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  <w:ind w:firstLine="56"/>
    </w:pPr>
    <w:r>
      <w:pict>
        <v:shape id="_x0000_i2069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4" w:line="218" w:lineRule="auto"/>
      <w:ind w:left="8538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2.7pt;height:12.35pt;margin-top:-1pt;margin-left:2.83pt;position:absolute;z-index:251668480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7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Arial" w:eastAsia="Arial" w:hAnsi="Arial" w:cs="Arial"/>
        <w:color w:val="003F8A"/>
        <w:spacing w:val="36"/>
        <w:w w:val="10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</w:rPr>
      <w:t>/</w:t>
    </w:r>
    <w:r>
      <w:rPr>
        <w:rFonts w:ascii="Arial" w:eastAsia="Arial" w:hAnsi="Arial" w:cs="Arial"/>
        <w:color w:val="003F8A"/>
        <w:spacing w:val="3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71" w:line="259" w:lineRule="auto"/>
      <w:ind w:left="9344" w:right="225" w:hanging="956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4"/>
        <w:szCs w:val="24"/>
      </w:rPr>
      <w:t>深度分析|商贸零售</w:t>
    </w:r>
    <w:r>
      <w:rPr>
        <w:rFonts w:ascii="SimHei" w:eastAsia="SimHei" w:hAnsi="SimHei" w:cs="SimHei"/>
        <w:color w:val="1F497D"/>
        <w:spacing w:val="7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2"/>
        <w:sz w:val="18"/>
        <w:szCs w:val="18"/>
      </w:rPr>
      <w:t>证券研究报告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71" w:line="259" w:lineRule="auto"/>
      <w:ind w:left="9344" w:right="225" w:hanging="956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5727822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27822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4"/>
        <w:szCs w:val="24"/>
      </w:rPr>
      <w:t>深度分析|商贸零售</w:t>
    </w:r>
    <w:r>
      <w:rPr>
        <w:rFonts w:ascii="SimHei" w:eastAsia="SimHei" w:hAnsi="SimHei" w:cs="SimHei"/>
        <w:color w:val="1F497D"/>
        <w:spacing w:val="7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2"/>
        <w:sz w:val="18"/>
        <w:szCs w:val="18"/>
      </w:rPr>
      <w:t>证券研究报告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深度分析|商贸零售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深度分析|商贸零售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085212235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5212235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深度分析|商贸零售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783863599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3863599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深度分析|商贸零售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218652766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8652766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深度分析|商贸零售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59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深度分析|商贸零售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59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479326682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9326682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深度分析|商贸零售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59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585458698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5458698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深度分析|商贸零售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59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508641357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8641357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深度分析|商贸零售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header" Target="header2.xml" /><Relationship Id="rId15" Type="http://schemas.openxmlformats.org/officeDocument/2006/relationships/footer" Target="footer2.xml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image" Target="media/image11.png" /><Relationship Id="rId27" Type="http://schemas.openxmlformats.org/officeDocument/2006/relationships/image" Target="media/image12.png" /><Relationship Id="rId28" Type="http://schemas.openxmlformats.org/officeDocument/2006/relationships/image" Target="media/image13.pn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header" Target="header8.xml" /><Relationship Id="rId32" Type="http://schemas.openxmlformats.org/officeDocument/2006/relationships/footer" Target="footer8.xml" /><Relationship Id="rId33" Type="http://schemas.openxmlformats.org/officeDocument/2006/relationships/image" Target="media/image16.jpeg" /><Relationship Id="rId34" Type="http://schemas.openxmlformats.org/officeDocument/2006/relationships/image" Target="media/image17.jpeg" /><Relationship Id="rId35" Type="http://schemas.openxmlformats.org/officeDocument/2006/relationships/image" Target="media/image18.png" /><Relationship Id="rId36" Type="http://schemas.openxmlformats.org/officeDocument/2006/relationships/image" Target="media/image19.png" /><Relationship Id="rId37" Type="http://schemas.openxmlformats.org/officeDocument/2006/relationships/image" Target="media/image20.png" /><Relationship Id="rId38" Type="http://schemas.openxmlformats.org/officeDocument/2006/relationships/image" Target="media/image21.jpeg" /><Relationship Id="rId39" Type="http://schemas.openxmlformats.org/officeDocument/2006/relationships/image" Target="media/image22.png" /><Relationship Id="rId4" Type="http://schemas.openxmlformats.org/officeDocument/2006/relationships/header" Target="header1.xml" /><Relationship Id="rId40" Type="http://schemas.openxmlformats.org/officeDocument/2006/relationships/image" Target="media/image23.png" /><Relationship Id="rId41" Type="http://schemas.openxmlformats.org/officeDocument/2006/relationships/image" Target="media/image24.png" /><Relationship Id="rId42" Type="http://schemas.openxmlformats.org/officeDocument/2006/relationships/header" Target="header9.xml" /><Relationship Id="rId43" Type="http://schemas.openxmlformats.org/officeDocument/2006/relationships/footer" Target="footer9.xml" /><Relationship Id="rId44" Type="http://schemas.openxmlformats.org/officeDocument/2006/relationships/header" Target="header10.xml" /><Relationship Id="rId45" Type="http://schemas.openxmlformats.org/officeDocument/2006/relationships/footer" Target="footer10.xml" /><Relationship Id="rId46" Type="http://schemas.openxmlformats.org/officeDocument/2006/relationships/image" Target="media/image25.png" /><Relationship Id="rId47" Type="http://schemas.openxmlformats.org/officeDocument/2006/relationships/image" Target="media/image26.png" /><Relationship Id="rId48" Type="http://schemas.openxmlformats.org/officeDocument/2006/relationships/hyperlink" Target="https://d.book118.com/477140010020006034" TargetMode="External" /><Relationship Id="rId49" Type="http://schemas.openxmlformats.org/officeDocument/2006/relationships/header" Target="header11.xml" /><Relationship Id="rId5" Type="http://schemas.openxmlformats.org/officeDocument/2006/relationships/footer" Target="footer1.xml" /><Relationship Id="rId50" Type="http://schemas.openxmlformats.org/officeDocument/2006/relationships/footer" Target="footer11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广发证券-商贸零售行业电商专题：国内性价比趋势加强，出海打造新增量-240112.pdf</dc:title>
  <cp:revision>0</cp:revision>
  <dcterms:created xsi:type="dcterms:W3CDTF">2024-01-25T09:23:16Z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2024-01-25T09:28:12Z</vt:filetime>
  </property>
  <property fmtid="{D5CDD505-2E9C-101B-9397-08002B2CF9AE}" pid="3" name="CRO">
    <vt:lpwstr>wqlLaW5nc29mdCBQREYgdG8gV1BTIDkw</vt:lpwstr>
  </property>
</Properties>
</file>