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速冻设备行业相关公司筹备报告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(七)、速冻设备项目建设必要性分析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(一)、速冻设备项目选址原则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(五)、速冻设备项目选址综合评价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(五)、速冻设备项目总投资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(一)、速冻设备项目背景分析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(二)、速冻设备项目建设必要性分析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(一)、速冻设备项目进度安排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(二)、速冻设备项目实施保障措施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九、速冻设备项目风险分析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" w:history="1">
        <w:r>
          <w:rPr>
            <w:rFonts w:ascii="仿宋" w:eastAsia="仿宋" w:hAnsi="仿宋" w:cs="仿宋" w:hint="eastAsia"/>
            <w:lang w:eastAsia="zh-CN"/>
          </w:rPr>
          <w:t>(一)、速冻设备项目风险分析</w:t>
        </w:r>
        <w:r>
          <w:tab/>
        </w:r>
        <w:r>
          <w:fldChar w:fldCharType="begin"/>
        </w:r>
        <w:r>
          <w:instrText xml:space="preserve"> PAGEREF _Toc957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(二)、速冻设备项目风险对策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https://d.book118.com/478005075133006027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0507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2024-01-01T21:08:00Z</dcterms:created>
  <dcterms:modified xsi:type="dcterms:W3CDTF">2024-01-01T21:08:13Z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B44B4B624BCE465EBA012C62F1E05059_11</vt:lpwstr>
  </property>
  <property fmtid="{D5CDD505-2E9C-101B-9397-08002B2CF9AE}" pid="3" name="KSOProductBuildVer">
    <vt:lpwstr>2052-12.1.0.16120</vt:lpwstr>
  </property>
</Properties>
</file>