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2018-2023年苏州卫生职业技术学院高职单招（数学／语文／英语）历年常考试题库含答案解析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《行路难》中运用了典故的诗句是（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A.金樽清酒斗十千，玉盘珍羞直万钱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B.停杯投箸不能食，拔剑四顾心茫然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C.闲来垂钓碧溪上，忽复乘舟梦日边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D.欲渡黄河冰塞川，将登太行雪满山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《左传》是一部（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A.编年体史书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B.国别体史书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C.纪传体史书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D.通史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主张文章应该“有补于世”、“以适用为本”的作家是（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A.柳宗元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B.韩愈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C.王安石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D.欧阳修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闻一多曾提出新格律诗的“三美”主张，即新诗要有（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A.音乐的美、绘画的美、建筑的美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B.色彩浓、回味永、意境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C.理想美、思想美、形式美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D.节奏、韵味、意境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曹禺创作的第一部剧作是（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A.《日出》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B.《原野》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C.《雷雨》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D.《北京人》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朱自清《背影》一文的结构线索是（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A.横式结构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B.纵式结构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C.纵横结构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D.自由结构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《报刘一丈书》中“权者”暗指（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A.顾秉谦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B.刘一丈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C.宗臣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D.严嵩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《马伶传》本文在记叙马伶与李伶第二次较量时所用的方法是（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A.顺叙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B.倒叙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C.插叙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D.分叙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奠定巴金在现代文学史上地位的长篇小说是（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B.《灭亡》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C.《家》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D.《春》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成语“祸起萧墙”出自（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A.《论语》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B.《孟子》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C.《左传》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D.《战国策》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《麦琪的礼物》中男女主人公的名字分别是（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A.姚纳和万卡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B.安娜和吉姆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C.吉姆和德拉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D.罗密欧和朱丽叶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下列选项中，加点的字“于”表示被动的一项是（）。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A.夫祸患常积于忽微，而智勇多困于所溺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B.王知如此，则无望民之多于邻国也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C.此其自多也，不似尔向之自多于水乎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D.邦分崩离析而不能守也，而谋动干戈于邦内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spacing w:after="200" w:line="276" w:lineRule="atLeast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ja-JP" w:bidi="ar-SA"/>
        </w:rPr>
        <w:t>13.</w:t>
      </w:r>
      <w:r>
        <w:rPr>
          <w:rFonts w:ascii="黑体" w:eastAsia="黑体" w:hAnsi="黑体" w:cs="Times New Roman"/>
          <w:sz w:val="24"/>
          <w:lang w:val="en-US" w:eastAsia="ja-JP" w:bidi="ar-SA"/>
        </w:rPr>
        <w:t>梁启超《论毅力》的中心论点是（  ）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A.有毅力者成，反是者败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B.其阻力虽或大或小，而要之必无可逃避者也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C.顺逆两境又常相间以迭乘。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D.非至强之人，未有能善于其终者也。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</w:p>
    <w:p w:rsidR="00327933" w:rsidRPr="00730BBD" w:rsidP="00386F93">
      <w:pPr>
        <w:pStyle w:val="Normal12"/>
        <w:spacing w:after="200" w:line="276" w:lineRule="auto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艾青的成名作是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A.《北方》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B.《大堰河——我的保姆》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C.《向太阳》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https://d.book118.com/478054027132006040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478054027132006040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