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8A2024" w14:paraId="67C85DF2" w14:textId="77777777"/>
    <w:p w:rsidR="008A2024" w14:paraId="153A69E8" w14:textId="77777777">
      <w:bookmarkStart w:id="0" w:name="_Toc325559036"/>
    </w:p>
    <w:p w:rsidR="008A2024" w14:paraId="7CFD96C2" w14:textId="77777777">
      <w:pPr>
        <w:rPr>
          <w:rFonts w:ascii="黑体" w:eastAsia="黑体"/>
          <w:b/>
          <w:sz w:val="44"/>
          <w:szCs w:val="28"/>
        </w:rPr>
      </w:pPr>
    </w:p>
    <w:p w:rsidR="008A2024" w14:paraId="278D9A7F" w14:textId="77777777">
      <w:pPr>
        <w:snapToGrid w:val="0"/>
        <w:spacing w:before="156" w:beforeLines="50" w:after="156" w:afterLines="50" w:line="300" w:lineRule="auto"/>
        <w:jc w:val="center"/>
      </w:pPr>
      <w:r>
        <w:rPr>
          <w:rFonts w:ascii="黑体" w:eastAsia="黑体" w:hAnsi="黑体" w:cs="黑体" w:hint="eastAsia"/>
          <w:b/>
          <w:sz w:val="52"/>
          <w:szCs w:val="52"/>
        </w:rPr>
        <w:t>某大型集团数据安全</w:t>
      </w:r>
    </w:p>
    <w:p w:rsidR="008A2024" w14:paraId="7E6CC416" w14:textId="77777777">
      <w:pPr>
        <w:snapToGrid w:val="0"/>
        <w:spacing w:before="156" w:beforeLines="50" w:after="156" w:afterLines="50" w:line="300" w:lineRule="auto"/>
        <w:jc w:val="center"/>
        <w:rPr>
          <w:rFonts w:ascii="宋体" w:hAnsi="宋体"/>
          <w:b/>
          <w:sz w:val="52"/>
          <w:szCs w:val="52"/>
        </w:rPr>
      </w:pPr>
    </w:p>
    <w:p w:rsidR="008A2024" w14:paraId="2DAB8AE9" w14:textId="77777777">
      <w:pPr>
        <w:snapToGrid w:val="0"/>
        <w:spacing w:before="156" w:beforeLines="50" w:after="156" w:afterLines="50" w:line="300" w:lineRule="auto"/>
        <w:ind w:firstLine="3840" w:firstLineChars="400"/>
        <w:rPr>
          <w:rFonts w:ascii="黑体" w:eastAsia="黑体" w:hAnsi="黑体"/>
          <w:sz w:val="96"/>
          <w:szCs w:val="96"/>
        </w:rPr>
      </w:pPr>
      <w:r>
        <w:rPr>
          <w:rFonts w:ascii="黑体" w:eastAsia="黑体" w:hAnsi="黑体" w:hint="eastAsia"/>
          <w:sz w:val="96"/>
          <w:szCs w:val="96"/>
        </w:rPr>
        <w:t>应</w:t>
      </w:r>
    </w:p>
    <w:p w:rsidR="008A2024" w14:paraId="28FCDD7E" w14:textId="77777777">
      <w:pPr>
        <w:snapToGrid w:val="0"/>
        <w:spacing w:before="156" w:beforeLines="50" w:after="156" w:afterLines="50" w:line="300" w:lineRule="auto"/>
        <w:ind w:firstLine="3840" w:firstLineChars="400"/>
        <w:rPr>
          <w:rFonts w:ascii="黑体" w:eastAsia="黑体" w:hAnsi="黑体"/>
          <w:sz w:val="96"/>
          <w:szCs w:val="96"/>
        </w:rPr>
      </w:pPr>
      <w:r>
        <w:rPr>
          <w:rFonts w:ascii="黑体" w:eastAsia="黑体" w:hAnsi="黑体" w:hint="eastAsia"/>
          <w:sz w:val="96"/>
          <w:szCs w:val="96"/>
        </w:rPr>
        <w:t>急</w:t>
      </w:r>
    </w:p>
    <w:bookmarkEnd w:id="0"/>
    <w:p w:rsidR="008A2024" w14:paraId="07CA043E" w14:textId="77777777">
      <w:pPr>
        <w:snapToGrid w:val="0"/>
        <w:spacing w:before="156" w:beforeLines="50" w:after="156" w:afterLines="50" w:line="300" w:lineRule="auto"/>
        <w:ind w:firstLine="3840" w:firstLineChars="400"/>
        <w:rPr>
          <w:rFonts w:ascii="黑体" w:eastAsia="黑体" w:hAnsi="黑体"/>
          <w:sz w:val="96"/>
          <w:szCs w:val="96"/>
        </w:rPr>
      </w:pPr>
      <w:r>
        <w:rPr>
          <w:rFonts w:ascii="黑体" w:eastAsia="黑体" w:hAnsi="黑体" w:hint="eastAsia"/>
          <w:sz w:val="96"/>
          <w:szCs w:val="96"/>
        </w:rPr>
        <w:t>预</w:t>
      </w:r>
    </w:p>
    <w:p w:rsidR="008A2024" w14:paraId="6C116D5A" w14:textId="77777777">
      <w:pPr>
        <w:spacing w:line="360" w:lineRule="auto"/>
        <w:ind w:left="-420" w:right="-430" w:leftChars="-200" w:rightChars="-205"/>
        <w:jc w:val="center"/>
        <w:rPr>
          <w:rFonts w:ascii="黑体" w:eastAsia="黑体" w:hAnsi="Abadi MT Condensed Light"/>
          <w:b/>
          <w:bCs/>
          <w:sz w:val="52"/>
          <w:szCs w:val="44"/>
        </w:rPr>
      </w:pPr>
      <w:r>
        <w:rPr>
          <w:rFonts w:ascii="黑体" w:eastAsia="黑体" w:hAnsi="黑体" w:hint="eastAsia"/>
          <w:sz w:val="96"/>
          <w:szCs w:val="96"/>
        </w:rPr>
        <w:t>案</w:t>
      </w:r>
    </w:p>
    <w:p w:rsidR="008A2024" w14:paraId="739D03B0" w14:textId="77777777">
      <w:pPr>
        <w:spacing w:line="360" w:lineRule="auto"/>
        <w:jc w:val="center"/>
        <w:rPr>
          <w:rFonts w:ascii="宋体" w:hAnsi="宋体"/>
          <w:sz w:val="32"/>
          <w:szCs w:val="32"/>
        </w:rPr>
      </w:pPr>
    </w:p>
    <w:p w:rsidR="008A2024" w14:paraId="69A369A7" w14:textId="77777777">
      <w:pPr>
        <w:spacing w:line="360" w:lineRule="auto"/>
        <w:jc w:val="center"/>
        <w:rPr>
          <w:b/>
          <w:sz w:val="24"/>
        </w:rPr>
      </w:pPr>
    </w:p>
    <w:p w:rsidR="008A2024" w14:paraId="3D19091B" w14:textId="77777777">
      <w:pPr>
        <w:rPr>
          <w:b/>
          <w:sz w:val="24"/>
        </w:rPr>
      </w:pPr>
    </w:p>
    <w:p w:rsidR="008A2024" w14:paraId="047F17B2" w14:textId="77777777">
      <w:pPr>
        <w:jc w:val="center"/>
        <w:rPr>
          <w:b/>
          <w:sz w:val="24"/>
        </w:rPr>
      </w:pPr>
    </w:p>
    <w:p w:rsidR="008A2024" w14:paraId="1ABCB4B3" w14:textId="77777777">
      <w:pPr>
        <w:jc w:val="center"/>
        <w:rPr>
          <w:b/>
          <w:sz w:val="24"/>
        </w:rPr>
      </w:pPr>
    </w:p>
    <w:p w:rsidR="008A2024" w14:paraId="546CF0DF" w14:textId="77777777">
      <w:pPr>
        <w:jc w:val="center"/>
        <w:rPr>
          <w:b/>
          <w:sz w:val="24"/>
        </w:rPr>
      </w:pPr>
    </w:p>
    <w:p w:rsidR="008A2024" w14:paraId="72617D8A" w14:textId="77777777">
      <w:pPr>
        <w:jc w:val="center"/>
        <w:rPr>
          <w:b/>
          <w:sz w:val="24"/>
        </w:rPr>
      </w:pPr>
    </w:p>
    <w:p w:rsidR="008A2024" w14:paraId="211A11DE" w14:textId="77777777">
      <w:pPr>
        <w:jc w:val="center"/>
        <w:rPr>
          <w:b/>
          <w:sz w:val="24"/>
        </w:rPr>
        <w:sectPr>
          <w:headerReference w:type="default" r:id="rId6"/>
          <w:pgSz w:w="11906" w:h="16838"/>
          <w:pgMar w:top="1440" w:right="1558" w:bottom="1440" w:left="1800" w:header="851" w:footer="992" w:gutter="0"/>
          <w:cols w:space="425"/>
          <w:docGrid w:type="lines" w:linePitch="312"/>
        </w:sectPr>
      </w:pPr>
    </w:p>
    <w:p w:rsidR="008A2024" w14:paraId="3BA6EB1F" w14:textId="77777777">
      <w:pPr>
        <w:snapToGrid w:val="0"/>
        <w:spacing w:line="360" w:lineRule="auto"/>
        <w:rPr>
          <w:rFonts w:eastAsia="华文楷体" w:hint="eastAsia"/>
          <w:b/>
          <w:sz w:val="28"/>
          <w:szCs w:val="28"/>
        </w:rPr>
      </w:pPr>
    </w:p>
    <w:p w:rsidR="008A2024" w14:paraId="43F8256E" w14:textId="77777777">
      <w:pPr>
        <w:adjustRightInd w:val="0"/>
        <w:snapToGrid w:val="0"/>
        <w:spacing w:line="360" w:lineRule="auto"/>
        <w:jc w:val="center"/>
        <w:rPr>
          <w:rFonts w:ascii="仿宋_GB2312" w:eastAsia="仿宋_GB2312"/>
          <w:b/>
          <w:sz w:val="30"/>
          <w:szCs w:val="28"/>
        </w:rPr>
      </w:pPr>
      <w:r>
        <w:rPr>
          <w:rFonts w:ascii="仿宋_GB2312" w:eastAsia="仿宋_GB2312" w:hint="eastAsia"/>
          <w:b/>
          <w:sz w:val="30"/>
          <w:szCs w:val="28"/>
        </w:rPr>
        <w:t>目录</w:t>
      </w:r>
      <w:bookmarkStart w:id="1" w:name="_Toc120410117"/>
      <w:bookmarkStart w:id="2" w:name="_Toc177405977"/>
    </w:p>
    <w:p w:rsidR="008A2024" w14:paraId="21C0BAE3" w14:textId="77777777">
      <w:pPr>
        <w:pStyle w:val="TOC1"/>
        <w:rPr>
          <w:rFonts w:asciiTheme="minorHAnsi" w:eastAsiaTheme="minorEastAsia" w:hAnsiTheme="minorHAnsi" w:cstheme="minorBidi"/>
          <w:b w:val="0"/>
          <w:bCs w:val="0"/>
          <w:caps w:val="0"/>
          <w:sz w:val="21"/>
          <w:szCs w:val="22"/>
        </w:rPr>
      </w:pPr>
      <w:r>
        <w:rPr>
          <w:rStyle w:val="Hyperlink"/>
          <w:rFonts w:ascii="仿宋" w:eastAsia="仿宋" w:hAnsi="仿宋"/>
          <w:b w:val="0"/>
          <w:bCs w:val="0"/>
          <w:caps w:val="0"/>
          <w:sz w:val="24"/>
          <w:szCs w:val="24"/>
          <w:shd w:val="pct10" w:color="auto" w:fill="FFFFFF"/>
        </w:rPr>
        <w:fldChar w:fldCharType="begin"/>
      </w:r>
      <w:r>
        <w:rPr>
          <w:rStyle w:val="Hyperlink"/>
          <w:rFonts w:ascii="仿宋" w:eastAsia="仿宋" w:hAnsi="仿宋"/>
          <w:b w:val="0"/>
          <w:bCs w:val="0"/>
          <w:caps w:val="0"/>
          <w:sz w:val="24"/>
          <w:szCs w:val="24"/>
          <w:shd w:val="pct10" w:color="auto" w:fill="FFFFFF"/>
        </w:rPr>
        <w:instrText xml:space="preserve"> TOC \o "1-3" \h \z \u </w:instrText>
      </w:r>
      <w:r>
        <w:rPr>
          <w:rStyle w:val="Hyperlink"/>
          <w:rFonts w:ascii="仿宋" w:eastAsia="仿宋" w:hAnsi="仿宋"/>
          <w:b w:val="0"/>
          <w:bCs w:val="0"/>
          <w:caps w:val="0"/>
          <w:sz w:val="24"/>
          <w:szCs w:val="24"/>
          <w:shd w:val="pct10" w:color="auto" w:fill="FFFFFF"/>
        </w:rPr>
        <w:fldChar w:fldCharType="separate"/>
      </w:r>
      <w:hyperlink w:anchor="_Toc18941434" w:history="1">
        <w:r>
          <w:rPr>
            <w:rStyle w:val="Hyperlink"/>
            <w:rFonts w:ascii="黑体" w:hAnsi="黑体"/>
          </w:rPr>
          <w:t>1.</w:t>
        </w:r>
        <w:r>
          <w:rPr>
            <w:rStyle w:val="Hyperlink"/>
            <w:rFonts w:ascii="黑体" w:hAnsi="黑体"/>
          </w:rPr>
          <w:t>引言</w:t>
        </w:r>
        <w:r>
          <w:fldChar w:fldCharType="begin"/>
        </w:r>
        <w:r>
          <w:instrText xml:space="preserve"> PAGEREF _Toc18941434 \h </w:instrText>
        </w:r>
        <w:r>
          <w:fldChar w:fldCharType="separate"/>
        </w:r>
        <w:r>
          <w:t>4</w:t>
        </w:r>
        <w:r>
          <w:fldChar w:fldCharType="end"/>
        </w:r>
      </w:hyperlink>
    </w:p>
    <w:p w:rsidR="008A2024" w14:paraId="79CE6CB4" w14:textId="77777777">
      <w:pPr>
        <w:pStyle w:val="TOC1"/>
        <w:rPr>
          <w:rFonts w:asciiTheme="minorHAnsi" w:eastAsiaTheme="minorEastAsia" w:hAnsiTheme="minorHAnsi" w:cstheme="minorBidi"/>
          <w:b w:val="0"/>
          <w:bCs w:val="0"/>
          <w:caps w:val="0"/>
          <w:sz w:val="21"/>
          <w:szCs w:val="22"/>
        </w:rPr>
      </w:pPr>
      <w:hyperlink w:anchor="_Toc18941435" w:history="1">
        <w:r>
          <w:rPr>
            <w:rStyle w:val="Hyperlink"/>
            <w:rFonts w:ascii="黑体" w:hAnsi="黑体"/>
          </w:rPr>
          <w:t>2.</w:t>
        </w:r>
        <w:r>
          <w:rPr>
            <w:rStyle w:val="Hyperlink"/>
            <w:rFonts w:ascii="黑体" w:hAnsi="黑体"/>
          </w:rPr>
          <w:t>总则</w:t>
        </w:r>
        <w:r>
          <w:fldChar w:fldCharType="begin"/>
        </w:r>
        <w:r>
          <w:instrText xml:space="preserve"> PAGEREF _Toc18941435 \h </w:instrText>
        </w:r>
        <w:r>
          <w:fldChar w:fldCharType="separate"/>
        </w:r>
        <w:r>
          <w:t>4</w:t>
        </w:r>
        <w:r>
          <w:fldChar w:fldCharType="end"/>
        </w:r>
      </w:hyperlink>
    </w:p>
    <w:p w:rsidR="008A2024" w14:paraId="7F2D3836" w14:textId="77777777">
      <w:pPr>
        <w:pStyle w:val="TOC2"/>
        <w:tabs>
          <w:tab w:val="right" w:leader="dot" w:pos="8538"/>
        </w:tabs>
        <w:rPr>
          <w:rFonts w:asciiTheme="minorHAnsi" w:eastAsiaTheme="minorEastAsia" w:hAnsiTheme="minorHAnsi" w:cstheme="minorBidi"/>
          <w:smallCaps w:val="0"/>
          <w:sz w:val="21"/>
          <w:szCs w:val="22"/>
        </w:rPr>
      </w:pPr>
      <w:hyperlink w:anchor="_Toc18941436" w:history="1">
        <w:r>
          <w:rPr>
            <w:rStyle w:val="Hyperlink"/>
            <w:rFonts w:ascii="楷体_GB2312" w:eastAsia="楷体_GB2312"/>
          </w:rPr>
          <w:t>2.1编写依据</w:t>
        </w:r>
        <w:r>
          <w:fldChar w:fldCharType="begin"/>
        </w:r>
        <w:r>
          <w:instrText xml:space="preserve"> PAGEREF _Toc18941436 \h </w:instrText>
        </w:r>
        <w:r>
          <w:fldChar w:fldCharType="separate"/>
        </w:r>
        <w:r>
          <w:t>4</w:t>
        </w:r>
        <w:r>
          <w:fldChar w:fldCharType="end"/>
        </w:r>
      </w:hyperlink>
    </w:p>
    <w:p w:rsidR="008A2024" w14:paraId="04D27585" w14:textId="77777777">
      <w:pPr>
        <w:pStyle w:val="TOC2"/>
        <w:tabs>
          <w:tab w:val="right" w:leader="dot" w:pos="8538"/>
        </w:tabs>
        <w:rPr>
          <w:rFonts w:asciiTheme="minorHAnsi" w:eastAsiaTheme="minorEastAsia" w:hAnsiTheme="minorHAnsi" w:cstheme="minorBidi"/>
          <w:smallCaps w:val="0"/>
          <w:sz w:val="21"/>
          <w:szCs w:val="22"/>
        </w:rPr>
      </w:pPr>
      <w:hyperlink w:anchor="_Toc18941437" w:history="1">
        <w:r>
          <w:rPr>
            <w:rStyle w:val="Hyperlink"/>
            <w:rFonts w:ascii="楷体_GB2312" w:eastAsia="楷体_GB2312"/>
          </w:rPr>
          <w:t>2.2适用范围</w:t>
        </w:r>
        <w:r>
          <w:fldChar w:fldCharType="begin"/>
        </w:r>
        <w:r>
          <w:instrText xml:space="preserve"> PAGEREF _Toc18941437 \h </w:instrText>
        </w:r>
        <w:r>
          <w:fldChar w:fldCharType="separate"/>
        </w:r>
        <w:r>
          <w:t>6</w:t>
        </w:r>
        <w:r>
          <w:fldChar w:fldCharType="end"/>
        </w:r>
      </w:hyperlink>
    </w:p>
    <w:p w:rsidR="008A2024" w14:paraId="18F31336" w14:textId="77777777">
      <w:pPr>
        <w:pStyle w:val="TOC2"/>
        <w:tabs>
          <w:tab w:val="right" w:leader="dot" w:pos="8538"/>
        </w:tabs>
        <w:rPr>
          <w:rFonts w:asciiTheme="minorHAnsi" w:eastAsiaTheme="minorEastAsia" w:hAnsiTheme="minorHAnsi" w:cstheme="minorBidi"/>
          <w:smallCaps w:val="0"/>
          <w:sz w:val="21"/>
          <w:szCs w:val="22"/>
        </w:rPr>
      </w:pPr>
      <w:hyperlink w:anchor="_Toc18941438" w:history="1">
        <w:r>
          <w:rPr>
            <w:rStyle w:val="Hyperlink"/>
            <w:rFonts w:ascii="楷体_GB2312" w:eastAsia="楷体_GB2312"/>
          </w:rPr>
          <w:t>2.3基本原则</w:t>
        </w:r>
        <w:r>
          <w:fldChar w:fldCharType="begin"/>
        </w:r>
        <w:r>
          <w:instrText xml:space="preserve"> PAGEREF _Toc18941438 \h </w:instrText>
        </w:r>
        <w:r>
          <w:fldChar w:fldCharType="separate"/>
        </w:r>
        <w:r>
          <w:t>6</w:t>
        </w:r>
        <w:r>
          <w:fldChar w:fldCharType="end"/>
        </w:r>
      </w:hyperlink>
    </w:p>
    <w:p w:rsidR="008A2024" w14:paraId="4034B251" w14:textId="77777777">
      <w:pPr>
        <w:pStyle w:val="TOC2"/>
        <w:tabs>
          <w:tab w:val="right" w:leader="dot" w:pos="8538"/>
        </w:tabs>
        <w:rPr>
          <w:rFonts w:asciiTheme="minorHAnsi" w:eastAsiaTheme="minorEastAsia" w:hAnsiTheme="minorHAnsi" w:cstheme="minorBidi"/>
          <w:smallCaps w:val="0"/>
          <w:sz w:val="21"/>
          <w:szCs w:val="22"/>
        </w:rPr>
      </w:pPr>
      <w:hyperlink w:anchor="_Toc18941439" w:history="1">
        <w:r>
          <w:rPr>
            <w:rStyle w:val="Hyperlink"/>
            <w:rFonts w:ascii="楷体_GB2312" w:eastAsia="楷体_GB2312"/>
          </w:rPr>
          <w:t>2.4发布与生效</w:t>
        </w:r>
        <w:r>
          <w:fldChar w:fldCharType="begin"/>
        </w:r>
        <w:r>
          <w:instrText xml:space="preserve"> PAGEREF _Toc18941439 \h </w:instrText>
        </w:r>
        <w:r>
          <w:fldChar w:fldCharType="separate"/>
        </w:r>
        <w:r>
          <w:t>6</w:t>
        </w:r>
        <w:r>
          <w:fldChar w:fldCharType="end"/>
        </w:r>
      </w:hyperlink>
    </w:p>
    <w:p w:rsidR="008A2024" w14:paraId="40A9B401" w14:textId="77777777">
      <w:pPr>
        <w:pStyle w:val="TOC1"/>
        <w:rPr>
          <w:rFonts w:asciiTheme="minorHAnsi" w:eastAsiaTheme="minorEastAsia" w:hAnsiTheme="minorHAnsi" w:cstheme="minorBidi"/>
          <w:b w:val="0"/>
          <w:bCs w:val="0"/>
          <w:caps w:val="0"/>
          <w:sz w:val="21"/>
          <w:szCs w:val="22"/>
        </w:rPr>
      </w:pPr>
      <w:hyperlink w:anchor="_Toc18941440" w:history="1">
        <w:r>
          <w:rPr>
            <w:rStyle w:val="Hyperlink"/>
            <w:rFonts w:ascii="黑体" w:hAnsi="黑体"/>
          </w:rPr>
          <w:t>3.</w:t>
        </w:r>
        <w:r>
          <w:rPr>
            <w:rStyle w:val="Hyperlink"/>
            <w:rFonts w:ascii="黑体" w:hAnsi="黑体"/>
          </w:rPr>
          <w:t>组织与职责</w:t>
        </w:r>
        <w:r>
          <w:fldChar w:fldCharType="begin"/>
        </w:r>
        <w:r>
          <w:instrText xml:space="preserve"> PAGEREF _Toc18941440 \h </w:instrText>
        </w:r>
        <w:r>
          <w:fldChar w:fldCharType="separate"/>
        </w:r>
        <w:r>
          <w:t>6</w:t>
        </w:r>
        <w:r>
          <w:fldChar w:fldCharType="end"/>
        </w:r>
      </w:hyperlink>
    </w:p>
    <w:p w:rsidR="008A2024" w14:paraId="496B5764" w14:textId="77777777">
      <w:pPr>
        <w:pStyle w:val="TOC2"/>
        <w:tabs>
          <w:tab w:val="right" w:leader="dot" w:pos="8538"/>
        </w:tabs>
        <w:rPr>
          <w:rFonts w:asciiTheme="minorHAnsi" w:eastAsiaTheme="minorEastAsia" w:hAnsiTheme="minorHAnsi" w:cstheme="minorBidi"/>
          <w:smallCaps w:val="0"/>
          <w:sz w:val="21"/>
          <w:szCs w:val="22"/>
        </w:rPr>
      </w:pPr>
      <w:hyperlink w:anchor="_Toc18941441" w:history="1">
        <w:r>
          <w:rPr>
            <w:rStyle w:val="Hyperlink"/>
            <w:rFonts w:ascii="楷体_GB2312" w:eastAsia="楷体_GB2312"/>
          </w:rPr>
          <w:t>3.1应急保障领导小组</w:t>
        </w:r>
        <w:r>
          <w:fldChar w:fldCharType="begin"/>
        </w:r>
        <w:r>
          <w:instrText xml:space="preserve"> PAGEREF _Toc18941441 \h </w:instrText>
        </w:r>
        <w:r>
          <w:fldChar w:fldCharType="separate"/>
        </w:r>
        <w:r>
          <w:t>7</w:t>
        </w:r>
        <w:r>
          <w:fldChar w:fldCharType="end"/>
        </w:r>
      </w:hyperlink>
    </w:p>
    <w:p w:rsidR="008A2024" w14:paraId="360466AE" w14:textId="77777777">
      <w:pPr>
        <w:pStyle w:val="TOC2"/>
        <w:tabs>
          <w:tab w:val="right" w:leader="dot" w:pos="8538"/>
        </w:tabs>
        <w:rPr>
          <w:rFonts w:asciiTheme="minorHAnsi" w:eastAsiaTheme="minorEastAsia" w:hAnsiTheme="minorHAnsi" w:cstheme="minorBidi"/>
          <w:smallCaps w:val="0"/>
          <w:sz w:val="21"/>
          <w:szCs w:val="22"/>
        </w:rPr>
      </w:pPr>
      <w:hyperlink w:anchor="_Toc18941442" w:history="1">
        <w:r>
          <w:rPr>
            <w:rStyle w:val="Hyperlink"/>
            <w:rFonts w:ascii="楷体_GB2312" w:eastAsia="楷体_GB2312"/>
          </w:rPr>
          <w:t>3.2应急保障领导办公室</w:t>
        </w:r>
        <w:r>
          <w:fldChar w:fldCharType="begin"/>
        </w:r>
        <w:r>
          <w:instrText xml:space="preserve"> PAGEREF _Toc18941442 \h </w:instrText>
        </w:r>
        <w:r>
          <w:fldChar w:fldCharType="separate"/>
        </w:r>
        <w:r>
          <w:t>8</w:t>
        </w:r>
        <w:r>
          <w:fldChar w:fldCharType="end"/>
        </w:r>
      </w:hyperlink>
    </w:p>
    <w:p w:rsidR="008A2024" w14:paraId="61E3E266" w14:textId="77777777">
      <w:pPr>
        <w:pStyle w:val="TOC2"/>
        <w:tabs>
          <w:tab w:val="right" w:leader="dot" w:pos="8538"/>
        </w:tabs>
        <w:rPr>
          <w:rFonts w:asciiTheme="minorHAnsi" w:eastAsiaTheme="minorEastAsia" w:hAnsiTheme="minorHAnsi" w:cstheme="minorBidi"/>
          <w:smallCaps w:val="0"/>
          <w:sz w:val="21"/>
          <w:szCs w:val="22"/>
        </w:rPr>
      </w:pPr>
      <w:hyperlink w:anchor="_Toc18941443" w:history="1">
        <w:r>
          <w:rPr>
            <w:rStyle w:val="Hyperlink"/>
            <w:rFonts w:ascii="楷体_GB2312" w:eastAsia="楷体_GB2312"/>
          </w:rPr>
          <w:t>3.3应急响应技术保障部门</w:t>
        </w:r>
        <w:r>
          <w:fldChar w:fldCharType="begin"/>
        </w:r>
        <w:r>
          <w:instrText xml:space="preserve"> PAGEREF _Toc18941443 \h </w:instrText>
        </w:r>
        <w:r>
          <w:fldChar w:fldCharType="separate"/>
        </w:r>
        <w:r>
          <w:t>9</w:t>
        </w:r>
        <w:r>
          <w:fldChar w:fldCharType="end"/>
        </w:r>
      </w:hyperlink>
    </w:p>
    <w:p w:rsidR="008A2024" w14:paraId="7E713DF0" w14:textId="77777777">
      <w:pPr>
        <w:pStyle w:val="TOC2"/>
        <w:tabs>
          <w:tab w:val="right" w:leader="dot" w:pos="8538"/>
        </w:tabs>
        <w:rPr>
          <w:rFonts w:asciiTheme="minorHAnsi" w:eastAsiaTheme="minorEastAsia" w:hAnsiTheme="minorHAnsi" w:cstheme="minorBidi"/>
          <w:smallCaps w:val="0"/>
          <w:sz w:val="21"/>
          <w:szCs w:val="22"/>
        </w:rPr>
      </w:pPr>
      <w:hyperlink w:anchor="_Toc18941444" w:history="1">
        <w:r>
          <w:rPr>
            <w:rStyle w:val="Hyperlink"/>
            <w:rFonts w:ascii="楷体_GB2312" w:eastAsia="楷体_GB2312"/>
          </w:rPr>
          <w:t>3.4应急响应实施小组</w:t>
        </w:r>
        <w:r>
          <w:fldChar w:fldCharType="begin"/>
        </w:r>
        <w:r>
          <w:instrText xml:space="preserve"> PAGEREF _Toc18941444 \h </w:instrText>
        </w:r>
        <w:r>
          <w:fldChar w:fldCharType="separate"/>
        </w:r>
        <w:r>
          <w:t>10</w:t>
        </w:r>
        <w:r>
          <w:fldChar w:fldCharType="end"/>
        </w:r>
      </w:hyperlink>
    </w:p>
    <w:p w:rsidR="008A2024" w14:paraId="59622D0D" w14:textId="77777777">
      <w:pPr>
        <w:pStyle w:val="TOC1"/>
        <w:rPr>
          <w:rFonts w:asciiTheme="minorHAnsi" w:eastAsiaTheme="minorEastAsia" w:hAnsiTheme="minorHAnsi" w:cstheme="minorBidi"/>
          <w:b w:val="0"/>
          <w:bCs w:val="0"/>
          <w:caps w:val="0"/>
          <w:sz w:val="21"/>
          <w:szCs w:val="22"/>
        </w:rPr>
      </w:pPr>
      <w:hyperlink w:anchor="_Toc18941445" w:history="1">
        <w:r>
          <w:rPr>
            <w:rStyle w:val="Hyperlink"/>
            <w:rFonts w:ascii="黑体" w:hAnsi="黑体"/>
          </w:rPr>
          <w:t>4.</w:t>
        </w:r>
        <w:r>
          <w:rPr>
            <w:rStyle w:val="Hyperlink"/>
            <w:rFonts w:ascii="黑体" w:hAnsi="黑体"/>
          </w:rPr>
          <w:t>数据安全事件分级</w:t>
        </w:r>
        <w:r>
          <w:fldChar w:fldCharType="begin"/>
        </w:r>
        <w:r>
          <w:instrText xml:space="preserve"> PAGEREF _Toc18941445 \h </w:instrText>
        </w:r>
        <w:r>
          <w:fldChar w:fldCharType="separate"/>
        </w:r>
        <w:r>
          <w:t>10</w:t>
        </w:r>
        <w:r>
          <w:fldChar w:fldCharType="end"/>
        </w:r>
      </w:hyperlink>
    </w:p>
    <w:p w:rsidR="008A2024" w14:paraId="26673825" w14:textId="77777777">
      <w:pPr>
        <w:pStyle w:val="TOC2"/>
        <w:tabs>
          <w:tab w:val="right" w:leader="dot" w:pos="8538"/>
        </w:tabs>
        <w:rPr>
          <w:rFonts w:asciiTheme="minorHAnsi" w:eastAsiaTheme="minorEastAsia" w:hAnsiTheme="minorHAnsi" w:cstheme="minorBidi"/>
          <w:smallCaps w:val="0"/>
          <w:sz w:val="21"/>
          <w:szCs w:val="22"/>
        </w:rPr>
      </w:pPr>
      <w:hyperlink w:anchor="_Toc18941446" w:history="1">
        <w:r>
          <w:rPr>
            <w:rStyle w:val="Hyperlink"/>
            <w:rFonts w:ascii="楷体_GB2312" w:eastAsia="楷体_GB2312"/>
          </w:rPr>
          <w:t>4.1特别重大数据安全事件（一级）</w:t>
        </w:r>
        <w:r>
          <w:fldChar w:fldCharType="begin"/>
        </w:r>
        <w:r>
          <w:instrText xml:space="preserve"> PAGEREF _Toc18941446 \h </w:instrText>
        </w:r>
        <w:r>
          <w:fldChar w:fldCharType="separate"/>
        </w:r>
        <w:r>
          <w:t>10</w:t>
        </w:r>
        <w:r>
          <w:fldChar w:fldCharType="end"/>
        </w:r>
      </w:hyperlink>
    </w:p>
    <w:p w:rsidR="008A2024" w14:paraId="60E1B6E9" w14:textId="77777777">
      <w:pPr>
        <w:pStyle w:val="TOC2"/>
        <w:tabs>
          <w:tab w:val="right" w:leader="dot" w:pos="8538"/>
        </w:tabs>
        <w:rPr>
          <w:rFonts w:asciiTheme="minorHAnsi" w:eastAsiaTheme="minorEastAsia" w:hAnsiTheme="minorHAnsi" w:cstheme="minorBidi"/>
          <w:smallCaps w:val="0"/>
          <w:sz w:val="21"/>
          <w:szCs w:val="22"/>
        </w:rPr>
      </w:pPr>
      <w:hyperlink w:anchor="_Toc18941447" w:history="1">
        <w:r>
          <w:rPr>
            <w:rStyle w:val="Hyperlink"/>
            <w:rFonts w:ascii="楷体_GB2312" w:eastAsia="楷体_GB2312"/>
          </w:rPr>
          <w:t>4.2重大数据安全事件（二级）</w:t>
        </w:r>
        <w:r>
          <w:fldChar w:fldCharType="begin"/>
        </w:r>
        <w:r>
          <w:instrText xml:space="preserve"> PAGEREF _Toc18941447 \h </w:instrText>
        </w:r>
        <w:r>
          <w:fldChar w:fldCharType="separate"/>
        </w:r>
        <w:r>
          <w:t>11</w:t>
        </w:r>
        <w:r>
          <w:fldChar w:fldCharType="end"/>
        </w:r>
      </w:hyperlink>
    </w:p>
    <w:p w:rsidR="008A2024" w14:paraId="4E32EFD2" w14:textId="77777777">
      <w:pPr>
        <w:pStyle w:val="TOC2"/>
        <w:tabs>
          <w:tab w:val="right" w:leader="dot" w:pos="8538"/>
        </w:tabs>
        <w:rPr>
          <w:rFonts w:asciiTheme="minorHAnsi" w:eastAsiaTheme="minorEastAsia" w:hAnsiTheme="minorHAnsi" w:cstheme="minorBidi"/>
          <w:smallCaps w:val="0"/>
          <w:sz w:val="21"/>
          <w:szCs w:val="22"/>
        </w:rPr>
      </w:pPr>
      <w:hyperlink w:anchor="_Toc18941448" w:history="1">
        <w:r>
          <w:rPr>
            <w:rStyle w:val="Hyperlink"/>
            <w:rFonts w:ascii="楷体_GB2312" w:eastAsia="楷体_GB2312"/>
          </w:rPr>
          <w:t>4.3较大数据安全事件（三级）</w:t>
        </w:r>
        <w:r>
          <w:fldChar w:fldCharType="begin"/>
        </w:r>
        <w:r>
          <w:instrText xml:space="preserve"> PAGEREF _Toc18941448 \h </w:instrText>
        </w:r>
        <w:r>
          <w:fldChar w:fldCharType="separate"/>
        </w:r>
        <w:r>
          <w:t>12</w:t>
        </w:r>
        <w:r>
          <w:fldChar w:fldCharType="end"/>
        </w:r>
      </w:hyperlink>
    </w:p>
    <w:p w:rsidR="008A2024" w14:paraId="132729B4" w14:textId="77777777">
      <w:pPr>
        <w:pStyle w:val="TOC2"/>
        <w:tabs>
          <w:tab w:val="right" w:leader="dot" w:pos="8538"/>
        </w:tabs>
        <w:rPr>
          <w:rFonts w:asciiTheme="minorHAnsi" w:eastAsiaTheme="minorEastAsia" w:hAnsiTheme="minorHAnsi" w:cstheme="minorBidi"/>
          <w:smallCaps w:val="0"/>
          <w:sz w:val="21"/>
          <w:szCs w:val="22"/>
        </w:rPr>
      </w:pPr>
      <w:hyperlink w:anchor="_Toc18941449" w:history="1">
        <w:r>
          <w:rPr>
            <w:rStyle w:val="Hyperlink"/>
            <w:rFonts w:ascii="楷体_GB2312" w:eastAsia="楷体_GB2312"/>
          </w:rPr>
          <w:t>4.4一般数据安全事件（四级）</w:t>
        </w:r>
        <w:r>
          <w:fldChar w:fldCharType="begin"/>
        </w:r>
        <w:r>
          <w:instrText xml:space="preserve"> PAGEREF _Toc18941449 \h </w:instrText>
        </w:r>
        <w:r>
          <w:fldChar w:fldCharType="separate"/>
        </w:r>
        <w:r>
          <w:t>13</w:t>
        </w:r>
        <w:r>
          <w:fldChar w:fldCharType="end"/>
        </w:r>
      </w:hyperlink>
    </w:p>
    <w:p w:rsidR="008A2024" w14:paraId="60778CC5" w14:textId="77777777">
      <w:pPr>
        <w:pStyle w:val="TOC1"/>
        <w:rPr>
          <w:rFonts w:asciiTheme="minorHAnsi" w:eastAsiaTheme="minorEastAsia" w:hAnsiTheme="minorHAnsi" w:cstheme="minorBidi"/>
          <w:b w:val="0"/>
          <w:bCs w:val="0"/>
          <w:caps w:val="0"/>
          <w:sz w:val="21"/>
          <w:szCs w:val="22"/>
        </w:rPr>
      </w:pPr>
      <w:hyperlink w:anchor="_Toc18941450" w:history="1">
        <w:r>
          <w:rPr>
            <w:rStyle w:val="Hyperlink"/>
            <w:rFonts w:ascii="黑体" w:hAnsi="黑体"/>
          </w:rPr>
          <w:t>5.</w:t>
        </w:r>
        <w:r>
          <w:rPr>
            <w:rStyle w:val="Hyperlink"/>
            <w:rFonts w:ascii="黑体" w:hAnsi="黑体"/>
          </w:rPr>
          <w:t>应急预案的制订与演练</w:t>
        </w:r>
        <w:r>
          <w:fldChar w:fldCharType="begin"/>
        </w:r>
        <w:r>
          <w:instrText xml:space="preserve"> PAGEREF _Toc18941450 \h </w:instrText>
        </w:r>
        <w:r>
          <w:fldChar w:fldCharType="separate"/>
        </w:r>
        <w:r>
          <w:t>13</w:t>
        </w:r>
        <w:r>
          <w:fldChar w:fldCharType="end"/>
        </w:r>
      </w:hyperlink>
    </w:p>
    <w:p w:rsidR="008A2024" w14:paraId="65604C1D" w14:textId="77777777">
      <w:pPr>
        <w:pStyle w:val="TOC2"/>
        <w:tabs>
          <w:tab w:val="right" w:leader="dot" w:pos="8538"/>
        </w:tabs>
        <w:rPr>
          <w:rFonts w:asciiTheme="minorHAnsi" w:eastAsiaTheme="minorEastAsia" w:hAnsiTheme="minorHAnsi" w:cstheme="minorBidi"/>
          <w:smallCaps w:val="0"/>
          <w:sz w:val="21"/>
          <w:szCs w:val="22"/>
        </w:rPr>
      </w:pPr>
      <w:hyperlink w:anchor="_Toc18941451" w:history="1">
        <w:r>
          <w:rPr>
            <w:rStyle w:val="Hyperlink"/>
            <w:rFonts w:ascii="楷体_GB2312" w:eastAsia="楷体_GB2312"/>
          </w:rPr>
          <w:t>5.1准备工作</w:t>
        </w:r>
        <w:r>
          <w:fldChar w:fldCharType="begin"/>
        </w:r>
        <w:r>
          <w:instrText xml:space="preserve"> PAGEREF _Toc18941451 \h </w:instrText>
        </w:r>
        <w:r>
          <w:fldChar w:fldCharType="separate"/>
        </w:r>
        <w:r>
          <w:t>14</w:t>
        </w:r>
        <w:r>
          <w:fldChar w:fldCharType="end"/>
        </w:r>
      </w:hyperlink>
    </w:p>
    <w:p w:rsidR="008A2024" w14:paraId="3A54D99D" w14:textId="77777777">
      <w:pPr>
        <w:pStyle w:val="TOC3"/>
        <w:tabs>
          <w:tab w:val="right" w:leader="dot" w:pos="8538"/>
        </w:tabs>
        <w:rPr>
          <w:rFonts w:asciiTheme="minorHAnsi" w:eastAsiaTheme="minorEastAsia" w:hAnsiTheme="minorHAnsi" w:cstheme="minorBidi"/>
          <w:i w:val="0"/>
          <w:iCs w:val="0"/>
          <w:sz w:val="21"/>
          <w:szCs w:val="22"/>
        </w:rPr>
      </w:pPr>
      <w:hyperlink w:anchor="_Toc18941452" w:history="1">
        <w:r>
          <w:rPr>
            <w:rStyle w:val="Hyperlink"/>
            <w:rFonts w:ascii="仿宋_GB2312" w:eastAsia="仿宋_GB2312"/>
          </w:rPr>
          <w:t>5.1.1设计原则</w:t>
        </w:r>
        <w:r>
          <w:fldChar w:fldCharType="begin"/>
        </w:r>
        <w:r>
          <w:instrText xml:space="preserve"> PAGEREF _Toc18941452 \h </w:instrText>
        </w:r>
        <w:r>
          <w:fldChar w:fldCharType="separate"/>
        </w:r>
        <w:r>
          <w:t>14</w:t>
        </w:r>
        <w:r>
          <w:fldChar w:fldCharType="end"/>
        </w:r>
      </w:hyperlink>
    </w:p>
    <w:p w:rsidR="008A2024" w14:paraId="642D3725" w14:textId="77777777">
      <w:pPr>
        <w:pStyle w:val="TOC3"/>
        <w:tabs>
          <w:tab w:val="right" w:leader="dot" w:pos="8538"/>
        </w:tabs>
        <w:rPr>
          <w:rFonts w:asciiTheme="minorHAnsi" w:eastAsiaTheme="minorEastAsia" w:hAnsiTheme="minorHAnsi" w:cstheme="minorBidi"/>
          <w:i w:val="0"/>
          <w:iCs w:val="0"/>
          <w:sz w:val="21"/>
          <w:szCs w:val="22"/>
        </w:rPr>
      </w:pPr>
      <w:hyperlink w:anchor="_Toc18941453" w:history="1">
        <w:r>
          <w:rPr>
            <w:rStyle w:val="Hyperlink"/>
            <w:rFonts w:ascii="仿宋_GB2312" w:eastAsia="仿宋_GB2312"/>
          </w:rPr>
          <w:t>5.1.2策略内容建议</w:t>
        </w:r>
        <w:r>
          <w:fldChar w:fldCharType="begin"/>
        </w:r>
        <w:r>
          <w:instrText xml:space="preserve"> PAGEREF _Toc18941453 \h </w:instrText>
        </w:r>
        <w:r>
          <w:fldChar w:fldCharType="separate"/>
        </w:r>
        <w:r>
          <w:t>15</w:t>
        </w:r>
        <w:r>
          <w:fldChar w:fldCharType="end"/>
        </w:r>
      </w:hyperlink>
    </w:p>
    <w:p w:rsidR="008A2024" w14:paraId="35A981D9" w14:textId="77777777">
      <w:pPr>
        <w:pStyle w:val="TOC2"/>
        <w:tabs>
          <w:tab w:val="right" w:leader="dot" w:pos="8538"/>
        </w:tabs>
        <w:rPr>
          <w:rFonts w:asciiTheme="minorHAnsi" w:eastAsiaTheme="minorEastAsia" w:hAnsiTheme="minorHAnsi" w:cstheme="minorBidi"/>
          <w:smallCaps w:val="0"/>
          <w:sz w:val="21"/>
          <w:szCs w:val="22"/>
        </w:rPr>
      </w:pPr>
      <w:hyperlink w:anchor="_Toc18941454" w:history="1">
        <w:r>
          <w:rPr>
            <w:rStyle w:val="Hyperlink"/>
            <w:rFonts w:ascii="楷体_GB2312" w:eastAsia="楷体_GB2312"/>
          </w:rPr>
          <w:t>5.2制定应急预案</w:t>
        </w:r>
        <w:r>
          <w:fldChar w:fldCharType="begin"/>
        </w:r>
        <w:r>
          <w:instrText xml:space="preserve"> PAGEREF _Toc18941454 \h </w:instrText>
        </w:r>
        <w:r>
          <w:fldChar w:fldCharType="separate"/>
        </w:r>
        <w:r>
          <w:t>15</w:t>
        </w:r>
        <w:r>
          <w:fldChar w:fldCharType="end"/>
        </w:r>
      </w:hyperlink>
    </w:p>
    <w:p w:rsidR="008A2024" w14:paraId="42E741E4" w14:textId="77777777">
      <w:pPr>
        <w:pStyle w:val="TOC2"/>
        <w:tabs>
          <w:tab w:val="right" w:leader="dot" w:pos="8538"/>
        </w:tabs>
        <w:rPr>
          <w:rFonts w:asciiTheme="minorHAnsi" w:eastAsiaTheme="minorEastAsia" w:hAnsiTheme="minorHAnsi" w:cstheme="minorBidi"/>
          <w:smallCaps w:val="0"/>
          <w:sz w:val="21"/>
          <w:szCs w:val="22"/>
        </w:rPr>
      </w:pPr>
      <w:hyperlink w:anchor="_Toc18941455" w:history="1">
        <w:r>
          <w:rPr>
            <w:rStyle w:val="Hyperlink"/>
            <w:rFonts w:ascii="楷体_GB2312" w:eastAsia="楷体_GB2312"/>
          </w:rPr>
          <w:t>5.3应急预案的管理与维护</w:t>
        </w:r>
        <w:r>
          <w:fldChar w:fldCharType="begin"/>
        </w:r>
        <w:r>
          <w:instrText xml:space="preserve"> PAGEREF _Toc18941455 \h </w:instrText>
        </w:r>
        <w:r>
          <w:fldChar w:fldCharType="separate"/>
        </w:r>
        <w:r>
          <w:t>16</w:t>
        </w:r>
        <w:r>
          <w:fldChar w:fldCharType="end"/>
        </w:r>
      </w:hyperlink>
    </w:p>
    <w:p w:rsidR="008A2024" w14:paraId="3CD79C6C" w14:textId="77777777">
      <w:pPr>
        <w:pStyle w:val="TOC2"/>
        <w:tabs>
          <w:tab w:val="right" w:leader="dot" w:pos="8538"/>
        </w:tabs>
        <w:rPr>
          <w:rFonts w:asciiTheme="minorHAnsi" w:eastAsiaTheme="minorEastAsia" w:hAnsiTheme="minorHAnsi" w:cstheme="minorBidi"/>
          <w:smallCaps w:val="0"/>
          <w:sz w:val="21"/>
          <w:szCs w:val="22"/>
        </w:rPr>
      </w:pPr>
      <w:hyperlink w:anchor="_Toc18941456" w:history="1">
        <w:r>
          <w:rPr>
            <w:rStyle w:val="Hyperlink"/>
            <w:rFonts w:ascii="楷体_GB2312" w:eastAsia="楷体_GB2312"/>
          </w:rPr>
          <w:t>5.4应急预案的演练</w:t>
        </w:r>
        <w:r>
          <w:fldChar w:fldCharType="begin"/>
        </w:r>
        <w:r>
          <w:instrText xml:space="preserve"> PAGEREF _Toc18941456 \h </w:instrText>
        </w:r>
        <w:r>
          <w:fldChar w:fldCharType="separate"/>
        </w:r>
        <w:r>
          <w:t>17</w:t>
        </w:r>
        <w:r>
          <w:fldChar w:fldCharType="end"/>
        </w:r>
      </w:hyperlink>
    </w:p>
    <w:p w:rsidR="008A2024" w14:paraId="3698B7D9" w14:textId="77777777">
      <w:pPr>
        <w:pStyle w:val="TOC2"/>
        <w:tabs>
          <w:tab w:val="right" w:leader="dot" w:pos="8538"/>
        </w:tabs>
        <w:rPr>
          <w:rFonts w:asciiTheme="minorHAnsi" w:eastAsiaTheme="minorEastAsia" w:hAnsiTheme="minorHAnsi" w:cstheme="minorBidi"/>
          <w:smallCaps w:val="0"/>
          <w:sz w:val="21"/>
          <w:szCs w:val="22"/>
        </w:rPr>
      </w:pPr>
      <w:hyperlink w:anchor="_Toc18941457" w:history="1">
        <w:r>
          <w:rPr>
            <w:rStyle w:val="Hyperlink"/>
            <w:rFonts w:ascii="楷体_GB2312" w:eastAsia="楷体_GB2312"/>
          </w:rPr>
          <w:t>5.5应急教育和培训</w:t>
        </w:r>
        <w:r>
          <w:fldChar w:fldCharType="begin"/>
        </w:r>
        <w:r>
          <w:instrText xml:space="preserve"> PAGEREF _Toc18941457 \h </w:instrText>
        </w:r>
        <w:r>
          <w:fldChar w:fldCharType="separate"/>
        </w:r>
        <w:r>
          <w:t>18</w:t>
        </w:r>
        <w:r>
          <w:fldChar w:fldCharType="end"/>
        </w:r>
      </w:hyperlink>
    </w:p>
    <w:p w:rsidR="008A2024" w14:paraId="1BD1C6CB" w14:textId="77777777">
      <w:pPr>
        <w:pStyle w:val="TOC1"/>
        <w:rPr>
          <w:rFonts w:asciiTheme="minorHAnsi" w:eastAsiaTheme="minorEastAsia" w:hAnsiTheme="minorHAnsi" w:cstheme="minorBidi"/>
          <w:b w:val="0"/>
          <w:bCs w:val="0"/>
          <w:caps w:val="0"/>
          <w:sz w:val="21"/>
          <w:szCs w:val="22"/>
        </w:rPr>
      </w:pPr>
      <w:hyperlink w:anchor="_Toc18941458" w:history="1">
        <w:r>
          <w:rPr>
            <w:rStyle w:val="Hyperlink"/>
            <w:rFonts w:ascii="黑体" w:hAnsi="黑体"/>
          </w:rPr>
          <w:t>6.</w:t>
        </w:r>
        <w:r>
          <w:rPr>
            <w:rStyle w:val="Hyperlink"/>
            <w:rFonts w:ascii="黑体" w:hAnsi="黑体"/>
          </w:rPr>
          <w:t>应急响应实施</w:t>
        </w:r>
        <w:r>
          <w:fldChar w:fldCharType="begin"/>
        </w:r>
        <w:r>
          <w:instrText xml:space="preserve"> PAGEREF _Toc18941458 \h </w:instrText>
        </w:r>
        <w:r>
          <w:fldChar w:fldCharType="separate"/>
        </w:r>
        <w:r>
          <w:t>18</w:t>
        </w:r>
        <w:r>
          <w:fldChar w:fldCharType="end"/>
        </w:r>
      </w:hyperlink>
    </w:p>
    <w:p w:rsidR="008A2024" w14:paraId="59C40DBF" w14:textId="77777777">
      <w:pPr>
        <w:pStyle w:val="TOC2"/>
        <w:tabs>
          <w:tab w:val="right" w:leader="dot" w:pos="8538"/>
        </w:tabs>
        <w:rPr>
          <w:rFonts w:asciiTheme="minorHAnsi" w:eastAsiaTheme="minorEastAsia" w:hAnsiTheme="minorHAnsi" w:cstheme="minorBidi"/>
          <w:smallCaps w:val="0"/>
          <w:sz w:val="21"/>
          <w:szCs w:val="22"/>
        </w:rPr>
      </w:pPr>
      <w:hyperlink w:anchor="_Toc18941459" w:history="1">
        <w:r>
          <w:rPr>
            <w:rStyle w:val="Hyperlink"/>
            <w:rFonts w:ascii="楷体_GB2312" w:eastAsia="楷体_GB2312"/>
          </w:rPr>
          <w:t>6.1日常监测</w:t>
        </w:r>
        <w:r>
          <w:fldChar w:fldCharType="begin"/>
        </w:r>
        <w:r>
          <w:instrText xml:space="preserve"> PAGEREF _Toc18941459 \h </w:instrText>
        </w:r>
        <w:r>
          <w:fldChar w:fldCharType="separate"/>
        </w:r>
        <w:r>
          <w:t>19</w:t>
        </w:r>
        <w:r>
          <w:fldChar w:fldCharType="end"/>
        </w:r>
      </w:hyperlink>
    </w:p>
    <w:p w:rsidR="008A2024" w14:paraId="51503479" w14:textId="77777777">
      <w:pPr>
        <w:pStyle w:val="TOC2"/>
        <w:tabs>
          <w:tab w:val="right" w:leader="dot" w:pos="8538"/>
        </w:tabs>
        <w:rPr>
          <w:rFonts w:asciiTheme="minorHAnsi" w:eastAsiaTheme="minorEastAsia" w:hAnsiTheme="minorHAnsi" w:cstheme="minorBidi"/>
          <w:smallCaps w:val="0"/>
          <w:sz w:val="21"/>
          <w:szCs w:val="22"/>
        </w:rPr>
      </w:pPr>
      <w:hyperlink w:anchor="_Toc18941460" w:history="1">
        <w:r>
          <w:rPr>
            <w:rStyle w:val="Hyperlink"/>
            <w:rFonts w:ascii="楷体_GB2312" w:eastAsia="楷体_GB2312"/>
          </w:rPr>
          <w:t>6.2事件监测</w:t>
        </w:r>
        <w:r>
          <w:fldChar w:fldCharType="begin"/>
        </w:r>
        <w:r>
          <w:instrText xml:space="preserve"> PAGEREF _Toc18941460 \h </w:instrText>
        </w:r>
        <w:r>
          <w:fldChar w:fldCharType="separate"/>
        </w:r>
        <w:r>
          <w:t>20</w:t>
        </w:r>
        <w:r>
          <w:fldChar w:fldCharType="end"/>
        </w:r>
      </w:hyperlink>
    </w:p>
    <w:p w:rsidR="008A2024" w14:paraId="0CF9E8DE" w14:textId="77777777">
      <w:pPr>
        <w:pStyle w:val="TOC3"/>
        <w:tabs>
          <w:tab w:val="right" w:leader="dot" w:pos="8538"/>
        </w:tabs>
        <w:rPr>
          <w:rFonts w:asciiTheme="minorHAnsi" w:eastAsiaTheme="minorEastAsia" w:hAnsiTheme="minorHAnsi" w:cstheme="minorBidi"/>
          <w:i w:val="0"/>
          <w:iCs w:val="0"/>
          <w:sz w:val="21"/>
          <w:szCs w:val="22"/>
        </w:rPr>
      </w:pPr>
      <w:hyperlink w:anchor="_Toc18941461" w:history="1">
        <w:r>
          <w:rPr>
            <w:rStyle w:val="Hyperlink"/>
            <w:rFonts w:ascii="仿宋_GB2312" w:eastAsia="仿宋_GB2312"/>
          </w:rPr>
          <w:t>6.2.1信息通报</w:t>
        </w:r>
        <w:r>
          <w:fldChar w:fldCharType="begin"/>
        </w:r>
        <w:r>
          <w:instrText xml:space="preserve"> PAGEREF _Toc18941461 \h </w:instrText>
        </w:r>
        <w:r>
          <w:fldChar w:fldCharType="separate"/>
        </w:r>
        <w:r>
          <w:t>20</w:t>
        </w:r>
        <w:r>
          <w:fldChar w:fldCharType="end"/>
        </w:r>
      </w:hyperlink>
    </w:p>
    <w:p w:rsidR="008A2024" w14:paraId="6A673721" w14:textId="77777777">
      <w:pPr>
        <w:pStyle w:val="TOC3"/>
        <w:tabs>
          <w:tab w:val="right" w:leader="dot" w:pos="8538"/>
        </w:tabs>
        <w:rPr>
          <w:rFonts w:asciiTheme="minorHAnsi" w:eastAsiaTheme="minorEastAsia" w:hAnsiTheme="minorHAnsi" w:cstheme="minorBidi"/>
          <w:i w:val="0"/>
          <w:iCs w:val="0"/>
          <w:sz w:val="21"/>
          <w:szCs w:val="22"/>
        </w:rPr>
      </w:pPr>
      <w:hyperlink w:anchor="_Toc18941462" w:history="1">
        <w:r>
          <w:rPr>
            <w:rStyle w:val="Hyperlink"/>
            <w:rFonts w:ascii="仿宋_GB2312" w:eastAsia="仿宋_GB2312"/>
          </w:rPr>
          <w:t>6.2.2信息上报</w:t>
        </w:r>
        <w:r>
          <w:fldChar w:fldCharType="begin"/>
        </w:r>
        <w:r>
          <w:instrText xml:space="preserve"> PAGEREF _Toc18941462 \h </w:instrText>
        </w:r>
        <w:r>
          <w:fldChar w:fldCharType="separate"/>
        </w:r>
        <w:r>
          <w:t>20</w:t>
        </w:r>
        <w:r>
          <w:fldChar w:fldCharType="end"/>
        </w:r>
      </w:hyperlink>
    </w:p>
    <w:p w:rsidR="008A2024" w14:paraId="14BAECD2" w14:textId="77777777">
      <w:pPr>
        <w:pStyle w:val="TOC3"/>
        <w:tabs>
          <w:tab w:val="right" w:leader="dot" w:pos="8538"/>
        </w:tabs>
        <w:rPr>
          <w:rFonts w:asciiTheme="minorHAnsi" w:eastAsiaTheme="minorEastAsia" w:hAnsiTheme="minorHAnsi" w:cstheme="minorBidi"/>
          <w:i w:val="0"/>
          <w:iCs w:val="0"/>
          <w:sz w:val="21"/>
          <w:szCs w:val="22"/>
        </w:rPr>
      </w:pPr>
      <w:hyperlink w:anchor="_Toc18941463" w:history="1">
        <w:r>
          <w:rPr>
            <w:rStyle w:val="Hyperlink"/>
            <w:rFonts w:ascii="仿宋_GB2312" w:eastAsia="仿宋_GB2312"/>
          </w:rPr>
          <w:t>6.2.3信息披露</w:t>
        </w:r>
        <w:r>
          <w:fldChar w:fldCharType="begin"/>
        </w:r>
        <w:r>
          <w:instrText xml:space="preserve"> PAGEREF _Toc18941463 \h </w:instrText>
        </w:r>
        <w:r>
          <w:fldChar w:fldCharType="separate"/>
        </w:r>
        <w:r>
          <w:t>20</w:t>
        </w:r>
        <w:r>
          <w:fldChar w:fldCharType="end"/>
        </w:r>
      </w:hyperlink>
    </w:p>
    <w:p w:rsidR="008A2024" w14:paraId="621BE31E" w14:textId="77777777">
      <w:pPr>
        <w:pStyle w:val="TOC2"/>
        <w:tabs>
          <w:tab w:val="right" w:leader="dot" w:pos="8538"/>
        </w:tabs>
        <w:rPr>
          <w:rFonts w:asciiTheme="minorHAnsi" w:eastAsiaTheme="minorEastAsia" w:hAnsiTheme="minorHAnsi" w:cstheme="minorBidi"/>
          <w:smallCaps w:val="0"/>
          <w:sz w:val="21"/>
          <w:szCs w:val="22"/>
        </w:rPr>
      </w:pPr>
      <w:hyperlink w:anchor="_Toc18941464" w:history="1">
        <w:r>
          <w:rPr>
            <w:rStyle w:val="Hyperlink"/>
            <w:rFonts w:ascii="楷体_GB2312" w:eastAsia="楷体_GB2312"/>
          </w:rPr>
          <w:t>6.3预警分级</w:t>
        </w:r>
        <w:r>
          <w:fldChar w:fldCharType="begin"/>
        </w:r>
        <w:r>
          <w:instrText xml:space="preserve"> PAGEREF _Toc18941464 \h </w:instrText>
        </w:r>
        <w:r>
          <w:fldChar w:fldCharType="separate"/>
        </w:r>
        <w:r>
          <w:t>21</w:t>
        </w:r>
        <w:r>
          <w:fldChar w:fldCharType="end"/>
        </w:r>
      </w:hyperlink>
    </w:p>
    <w:p w:rsidR="008A2024" w14:paraId="62E4E3E4" w14:textId="77777777">
      <w:pPr>
        <w:pStyle w:val="TOC2"/>
        <w:tabs>
          <w:tab w:val="right" w:leader="dot" w:pos="8538"/>
        </w:tabs>
        <w:rPr>
          <w:rFonts w:asciiTheme="minorHAnsi" w:eastAsiaTheme="minorEastAsia" w:hAnsiTheme="minorHAnsi" w:cstheme="minorBidi"/>
          <w:smallCaps w:val="0"/>
          <w:sz w:val="21"/>
          <w:szCs w:val="22"/>
        </w:rPr>
      </w:pPr>
      <w:hyperlink w:anchor="_Toc18941465" w:history="1">
        <w:r>
          <w:rPr>
            <w:rStyle w:val="Hyperlink"/>
            <w:rFonts w:ascii="楷体_GB2312" w:eastAsia="楷体_GB2312"/>
          </w:rPr>
          <w:t>6.4应急启动</w:t>
        </w:r>
        <w:r>
          <w:fldChar w:fldCharType="begin"/>
        </w:r>
        <w:r>
          <w:instrText xml:space="preserve"> PAGEREF _Toc18941465 \h </w:instrText>
        </w:r>
        <w:r>
          <w:fldChar w:fldCharType="separate"/>
        </w:r>
        <w:r>
          <w:t>21</w:t>
        </w:r>
        <w:r>
          <w:fldChar w:fldCharType="end"/>
        </w:r>
      </w:hyperlink>
    </w:p>
    <w:p w:rsidR="008A2024" w14:paraId="0207948C" w14:textId="77777777">
      <w:pPr>
        <w:pStyle w:val="TOC2"/>
        <w:tabs>
          <w:tab w:val="right" w:leader="dot" w:pos="8538"/>
        </w:tabs>
        <w:rPr>
          <w:rFonts w:asciiTheme="minorHAnsi" w:eastAsiaTheme="minorEastAsia" w:hAnsiTheme="minorHAnsi" w:cstheme="minorBidi"/>
          <w:smallCaps w:val="0"/>
          <w:sz w:val="21"/>
          <w:szCs w:val="22"/>
        </w:rPr>
      </w:pPr>
      <w:hyperlink w:anchor="_Toc18941466" w:history="1">
        <w:r>
          <w:rPr>
            <w:rStyle w:val="Hyperlink"/>
            <w:rFonts w:ascii="楷体_GB2312" w:eastAsia="楷体_GB2312"/>
          </w:rPr>
          <w:t>6.5应急处置</w:t>
        </w:r>
        <w:r>
          <w:fldChar w:fldCharType="begin"/>
        </w:r>
        <w:r>
          <w:instrText xml:space="preserve"> PAGEREF _Toc18941466 \h </w:instrText>
        </w:r>
        <w:r>
          <w:fldChar w:fldCharType="separate"/>
        </w:r>
        <w:r>
          <w:t>22</w:t>
        </w:r>
        <w:r>
          <w:fldChar w:fldCharType="end"/>
        </w:r>
      </w:hyperlink>
    </w:p>
    <w:p w:rsidR="008A2024" w14:paraId="77DA75DB" w14:textId="77777777">
      <w:pPr>
        <w:pStyle w:val="TOC3"/>
        <w:tabs>
          <w:tab w:val="right" w:leader="dot" w:pos="8538"/>
        </w:tabs>
        <w:rPr>
          <w:rFonts w:asciiTheme="minorHAnsi" w:eastAsiaTheme="minorEastAsia" w:hAnsiTheme="minorHAnsi" w:cstheme="minorBidi"/>
          <w:i w:val="0"/>
          <w:iCs w:val="0"/>
          <w:sz w:val="21"/>
          <w:szCs w:val="22"/>
        </w:rPr>
      </w:pPr>
      <w:hyperlink w:anchor="_Toc18941467" w:history="1">
        <w:r>
          <w:rPr>
            <w:rStyle w:val="Hyperlink"/>
            <w:rFonts w:ascii="仿宋_GB2312" w:eastAsia="仿宋_GB2312"/>
          </w:rPr>
          <w:t>6.5.1一级应急响应</w:t>
        </w:r>
        <w:r>
          <w:fldChar w:fldCharType="begin"/>
        </w:r>
        <w:r>
          <w:instrText xml:space="preserve"> PAGEREF _Toc18941467 \h </w:instrText>
        </w:r>
        <w:r>
          <w:fldChar w:fldCharType="separate"/>
        </w:r>
        <w:r>
          <w:t>22</w:t>
        </w:r>
        <w:r>
          <w:fldChar w:fldCharType="end"/>
        </w:r>
      </w:hyperlink>
    </w:p>
    <w:p w:rsidR="008A2024" w14:paraId="12E838D7" w14:textId="77777777">
      <w:pPr>
        <w:pStyle w:val="TOC3"/>
        <w:tabs>
          <w:tab w:val="right" w:leader="dot" w:pos="8538"/>
        </w:tabs>
        <w:rPr>
          <w:rFonts w:asciiTheme="minorHAnsi" w:eastAsiaTheme="minorEastAsia" w:hAnsiTheme="minorHAnsi" w:cstheme="minorBidi"/>
          <w:i w:val="0"/>
          <w:iCs w:val="0"/>
          <w:sz w:val="21"/>
          <w:szCs w:val="22"/>
        </w:rPr>
      </w:pPr>
      <w:hyperlink w:anchor="_Toc18941468" w:history="1">
        <w:r>
          <w:rPr>
            <w:rStyle w:val="Hyperlink"/>
            <w:rFonts w:ascii="仿宋_GB2312" w:eastAsia="仿宋_GB2312"/>
          </w:rPr>
          <w:t>6.5.2二级应急响应</w:t>
        </w:r>
        <w:r>
          <w:fldChar w:fldCharType="begin"/>
        </w:r>
        <w:r>
          <w:instrText xml:space="preserve"> PAGEREF _Toc18941468 \h </w:instrText>
        </w:r>
        <w:r>
          <w:fldChar w:fldCharType="separate"/>
        </w:r>
        <w:r>
          <w:t>22</w:t>
        </w:r>
        <w:r>
          <w:fldChar w:fldCharType="end"/>
        </w:r>
      </w:hyperlink>
    </w:p>
    <w:p w:rsidR="008A2024" w14:paraId="71D95842" w14:textId="77777777">
      <w:pPr>
        <w:pStyle w:val="TOC3"/>
        <w:tabs>
          <w:tab w:val="right" w:leader="dot" w:pos="8538"/>
        </w:tabs>
        <w:rPr>
          <w:rFonts w:asciiTheme="minorHAnsi" w:eastAsiaTheme="minorEastAsia" w:hAnsiTheme="minorHAnsi" w:cstheme="minorBidi"/>
          <w:i w:val="0"/>
          <w:iCs w:val="0"/>
          <w:sz w:val="21"/>
          <w:szCs w:val="22"/>
        </w:rPr>
      </w:pPr>
      <w:hyperlink w:anchor="_Toc18941469" w:history="1">
        <w:r>
          <w:rPr>
            <w:rStyle w:val="Hyperlink"/>
            <w:rFonts w:ascii="仿宋_GB2312" w:eastAsia="仿宋_GB2312"/>
          </w:rPr>
          <w:t>6.5.3三级、四级应急响应</w:t>
        </w:r>
        <w:r>
          <w:fldChar w:fldCharType="begin"/>
        </w:r>
        <w:r>
          <w:instrText xml:space="preserve"> PAGEREF _Toc18941469 \h </w:instrText>
        </w:r>
        <w:r>
          <w:fldChar w:fldCharType="separate"/>
        </w:r>
        <w:r>
          <w:t>23</w:t>
        </w:r>
        <w:r>
          <w:fldChar w:fldCharType="end"/>
        </w:r>
      </w:hyperlink>
    </w:p>
    <w:p w:rsidR="008A2024" w14:paraId="3A1BD91C" w14:textId="77777777">
      <w:pPr>
        <w:pStyle w:val="TOC2"/>
        <w:tabs>
          <w:tab w:val="right" w:leader="dot" w:pos="8538"/>
        </w:tabs>
        <w:rPr>
          <w:rFonts w:asciiTheme="minorHAnsi" w:eastAsiaTheme="minorEastAsia" w:hAnsiTheme="minorHAnsi" w:cstheme="minorBidi"/>
          <w:smallCaps w:val="0"/>
          <w:sz w:val="21"/>
          <w:szCs w:val="22"/>
        </w:rPr>
        <w:sectPr>
          <w:headerReference w:type="default" r:id="rId7"/>
          <w:type w:val="nextPage"/>
          <w:pgSz w:w="11906" w:h="16838"/>
          <w:pgMar w:top="1440" w:right="1558" w:bottom="1440" w:left="1800" w:header="851" w:footer="992" w:gutter="0"/>
          <w:pgNumType w:start="2"/>
          <w:cols w:space="425"/>
          <w:titlePg w:val="0"/>
          <w:docGrid w:type="lines" w:linePitch="312"/>
        </w:sectPr>
      </w:pPr>
      <w:hyperlink w:anchor="_Toc18941470" w:history="1">
        <w:r>
          <w:rPr>
            <w:rStyle w:val="Hyperlink"/>
            <w:rFonts w:ascii="楷体_GB2312" w:eastAsia="楷体_GB2312"/>
          </w:rPr>
          <w:t>6.6媒体沟通</w:t>
        </w:r>
        <w:r>
          <w:fldChar w:fldCharType="begin"/>
        </w:r>
        <w:r>
          <w:instrText xml:space="preserve"> PAGEREF _Toc18941470 \h </w:instrText>
        </w:r>
        <w:r>
          <w:fldChar w:fldCharType="separate"/>
        </w:r>
        <w:r>
          <w:t>24</w:t>
        </w:r>
        <w:r>
          <w:fldChar w:fldCharType="end"/>
        </w:r>
      </w:hyperlink>
    </w:p>
    <w:p w:rsidR="008A2024" w14:paraId="5964C7D5" w14:textId="77777777">
      <w:pPr>
        <w:pStyle w:val="TOC2"/>
        <w:tabs>
          <w:tab w:val="right" w:leader="dot" w:pos="8538"/>
        </w:tabs>
        <w:rPr>
          <w:rFonts w:asciiTheme="minorHAnsi" w:eastAsiaTheme="minorEastAsia" w:hAnsiTheme="minorHAnsi" w:cstheme="minorBidi"/>
          <w:smallCaps w:val="0"/>
          <w:sz w:val="21"/>
          <w:szCs w:val="22"/>
        </w:rPr>
      </w:pPr>
      <w:hyperlink w:anchor="_Toc18941471" w:history="1">
        <w:r>
          <w:rPr>
            <w:rStyle w:val="Hyperlink"/>
            <w:rFonts w:ascii="楷体_GB2312" w:eastAsia="楷体_GB2312"/>
          </w:rPr>
          <w:t>6.7结束响应</w:t>
        </w:r>
        <w:r>
          <w:fldChar w:fldCharType="begin"/>
        </w:r>
        <w:r>
          <w:instrText xml:space="preserve"> PAGEREF _Toc18941471 \h </w:instrText>
        </w:r>
        <w:r>
          <w:fldChar w:fldCharType="separate"/>
        </w:r>
        <w:r>
          <w:t>24</w:t>
        </w:r>
        <w:r>
          <w:fldChar w:fldCharType="end"/>
        </w:r>
      </w:hyperlink>
    </w:p>
    <w:p w:rsidR="008A2024" w14:paraId="0A532D38" w14:textId="77777777">
      <w:pPr>
        <w:pStyle w:val="TOC2"/>
        <w:tabs>
          <w:tab w:val="right" w:leader="dot" w:pos="8538"/>
        </w:tabs>
        <w:rPr>
          <w:rFonts w:asciiTheme="minorHAnsi" w:eastAsiaTheme="minorEastAsia" w:hAnsiTheme="minorHAnsi" w:cstheme="minorBidi"/>
          <w:smallCaps w:val="0"/>
          <w:sz w:val="21"/>
          <w:szCs w:val="22"/>
        </w:rPr>
      </w:pPr>
      <w:hyperlink w:anchor="_Toc18941472" w:history="1">
        <w:r>
          <w:rPr>
            <w:rStyle w:val="Hyperlink"/>
            <w:rFonts w:ascii="楷体_GB2312" w:eastAsia="楷体_GB2312"/>
          </w:rPr>
          <w:t>6.8应急响应总结</w:t>
        </w:r>
        <w:r>
          <w:fldChar w:fldCharType="begin"/>
        </w:r>
        <w:r>
          <w:instrText xml:space="preserve"> PAGEREF _Toc18941472 \h </w:instrText>
        </w:r>
        <w:r>
          <w:fldChar w:fldCharType="separate"/>
        </w:r>
        <w:r>
          <w:t>24</w:t>
        </w:r>
        <w:r>
          <w:fldChar w:fldCharType="end"/>
        </w:r>
      </w:hyperlink>
    </w:p>
    <w:p w:rsidR="008A2024" w14:paraId="33FA73F8" w14:textId="77777777">
      <w:pPr>
        <w:pStyle w:val="TOC1"/>
        <w:rPr>
          <w:rFonts w:asciiTheme="minorHAnsi" w:eastAsiaTheme="minorEastAsia" w:hAnsiTheme="minorHAnsi" w:cstheme="minorBidi"/>
          <w:b w:val="0"/>
          <w:bCs w:val="0"/>
          <w:caps w:val="0"/>
          <w:sz w:val="21"/>
          <w:szCs w:val="22"/>
        </w:rPr>
      </w:pPr>
      <w:hyperlink w:anchor="_Toc18941473" w:history="1">
        <w:r>
          <w:rPr>
            <w:rStyle w:val="Hyperlink"/>
            <w:rFonts w:ascii="黑体" w:hAnsi="黑体"/>
          </w:rPr>
          <w:t>7.</w:t>
        </w:r>
        <w:r>
          <w:rPr>
            <w:rStyle w:val="Hyperlink"/>
            <w:rFonts w:ascii="黑体" w:hAnsi="黑体"/>
          </w:rPr>
          <w:t>应急处理流程及措施</w:t>
        </w:r>
        <w:r>
          <w:fldChar w:fldCharType="begin"/>
        </w:r>
        <w:r>
          <w:instrText xml:space="preserve"> PAGEREF _Toc18941473 \h </w:instrText>
        </w:r>
        <w:r>
          <w:fldChar w:fldCharType="separate"/>
        </w:r>
        <w:r>
          <w:t>25</w:t>
        </w:r>
        <w:r>
          <w:fldChar w:fldCharType="end"/>
        </w:r>
      </w:hyperlink>
    </w:p>
    <w:p w:rsidR="008A2024" w14:paraId="2A3FB488" w14:textId="77777777">
      <w:pPr>
        <w:pStyle w:val="TOC2"/>
        <w:tabs>
          <w:tab w:val="right" w:leader="dot" w:pos="8538"/>
        </w:tabs>
        <w:rPr>
          <w:rFonts w:asciiTheme="minorHAnsi" w:eastAsiaTheme="minorEastAsia" w:hAnsiTheme="minorHAnsi" w:cstheme="minorBidi"/>
          <w:smallCaps w:val="0"/>
          <w:sz w:val="21"/>
          <w:szCs w:val="22"/>
        </w:rPr>
      </w:pPr>
      <w:hyperlink w:anchor="_Toc18941474" w:history="1">
        <w:r>
          <w:rPr>
            <w:rStyle w:val="Hyperlink"/>
            <w:rFonts w:ascii="楷体_GB2312" w:eastAsia="楷体_GB2312"/>
          </w:rPr>
          <w:t>7.1应急准备</w:t>
        </w:r>
        <w:r>
          <w:fldChar w:fldCharType="begin"/>
        </w:r>
        <w:r>
          <w:instrText xml:space="preserve"> PAGEREF _Toc18941474 \h </w:instrText>
        </w:r>
        <w:r>
          <w:fldChar w:fldCharType="separate"/>
        </w:r>
        <w:r>
          <w:t>26</w:t>
        </w:r>
        <w:r>
          <w:fldChar w:fldCharType="end"/>
        </w:r>
      </w:hyperlink>
    </w:p>
    <w:p w:rsidR="008A2024" w14:paraId="68FD8B2A" w14:textId="77777777">
      <w:pPr>
        <w:pStyle w:val="TOC2"/>
        <w:tabs>
          <w:tab w:val="right" w:leader="dot" w:pos="8538"/>
        </w:tabs>
        <w:rPr>
          <w:rFonts w:asciiTheme="minorHAnsi" w:eastAsiaTheme="minorEastAsia" w:hAnsiTheme="minorHAnsi" w:cstheme="minorBidi"/>
          <w:smallCaps w:val="0"/>
          <w:sz w:val="21"/>
          <w:szCs w:val="22"/>
        </w:rPr>
      </w:pPr>
      <w:hyperlink w:anchor="_Toc18941475" w:history="1">
        <w:r>
          <w:rPr>
            <w:rStyle w:val="Hyperlink"/>
            <w:rFonts w:ascii="楷体_GB2312" w:eastAsia="楷体_GB2312"/>
          </w:rPr>
          <w:t>7.2网页内容篡改</w:t>
        </w:r>
        <w:r>
          <w:fldChar w:fldCharType="begin"/>
        </w:r>
        <w:r>
          <w:instrText xml:space="preserve"> PAGEREF _Toc18941475 \h </w:instrText>
        </w:r>
        <w:r>
          <w:fldChar w:fldCharType="separate"/>
        </w:r>
        <w:r>
          <w:t>26</w:t>
        </w:r>
        <w:r>
          <w:fldChar w:fldCharType="end"/>
        </w:r>
      </w:hyperlink>
    </w:p>
    <w:p w:rsidR="008A2024" w14:paraId="61D0A837" w14:textId="77777777">
      <w:pPr>
        <w:pStyle w:val="TOC3"/>
        <w:tabs>
          <w:tab w:val="right" w:leader="dot" w:pos="8538"/>
        </w:tabs>
        <w:rPr>
          <w:rFonts w:asciiTheme="minorHAnsi" w:eastAsiaTheme="minorEastAsia" w:hAnsiTheme="minorHAnsi" w:cstheme="minorBidi"/>
          <w:i w:val="0"/>
          <w:iCs w:val="0"/>
          <w:sz w:val="21"/>
          <w:szCs w:val="22"/>
        </w:rPr>
      </w:pPr>
      <w:hyperlink w:anchor="_Toc18941476" w:history="1">
        <w:r>
          <w:rPr>
            <w:rStyle w:val="Hyperlink"/>
            <w:rFonts w:ascii="仿宋_GB2312" w:eastAsia="仿宋_GB2312"/>
          </w:rPr>
          <w:t>7.2.1应急流程</w:t>
        </w:r>
        <w:r>
          <w:fldChar w:fldCharType="begin"/>
        </w:r>
        <w:r>
          <w:instrText xml:space="preserve"> PAGEREF _Toc18941476 \h </w:instrText>
        </w:r>
        <w:r>
          <w:fldChar w:fldCharType="separate"/>
        </w:r>
        <w:r>
          <w:t>26</w:t>
        </w:r>
        <w:r>
          <w:fldChar w:fldCharType="end"/>
        </w:r>
      </w:hyperlink>
    </w:p>
    <w:p w:rsidR="008A2024" w14:paraId="1CD23DA5" w14:textId="77777777">
      <w:pPr>
        <w:pStyle w:val="TOC3"/>
        <w:tabs>
          <w:tab w:val="right" w:leader="dot" w:pos="8538"/>
        </w:tabs>
        <w:rPr>
          <w:rFonts w:asciiTheme="minorHAnsi" w:eastAsiaTheme="minorEastAsia" w:hAnsiTheme="minorHAnsi" w:cstheme="minorBidi"/>
          <w:i w:val="0"/>
          <w:iCs w:val="0"/>
          <w:sz w:val="21"/>
          <w:szCs w:val="22"/>
        </w:rPr>
      </w:pPr>
      <w:hyperlink w:anchor="_Toc18941477" w:history="1">
        <w:r>
          <w:rPr>
            <w:rStyle w:val="Hyperlink"/>
            <w:rFonts w:ascii="仿宋_GB2312" w:eastAsia="仿宋_GB2312"/>
          </w:rPr>
          <w:t>7.2.2应急工具</w:t>
        </w:r>
        <w:r>
          <w:fldChar w:fldCharType="begin"/>
        </w:r>
        <w:r>
          <w:instrText xml:space="preserve"> PAGEREF _Toc18941477 \h </w:instrText>
        </w:r>
        <w:r>
          <w:fldChar w:fldCharType="separate"/>
        </w:r>
        <w:r>
          <w:t>27</w:t>
        </w:r>
        <w:r>
          <w:fldChar w:fldCharType="end"/>
        </w:r>
      </w:hyperlink>
    </w:p>
    <w:p w:rsidR="008A2024" w14:paraId="4893997D" w14:textId="77777777">
      <w:pPr>
        <w:pStyle w:val="TOC3"/>
        <w:tabs>
          <w:tab w:val="right" w:leader="dot" w:pos="8538"/>
        </w:tabs>
        <w:rPr>
          <w:rFonts w:asciiTheme="minorHAnsi" w:eastAsiaTheme="minorEastAsia" w:hAnsiTheme="minorHAnsi" w:cstheme="minorBidi"/>
          <w:i w:val="0"/>
          <w:iCs w:val="0"/>
          <w:sz w:val="21"/>
          <w:szCs w:val="22"/>
        </w:rPr>
      </w:pPr>
      <w:hyperlink w:anchor="_Toc18941478" w:history="1">
        <w:r>
          <w:rPr>
            <w:rStyle w:val="Hyperlink"/>
            <w:rFonts w:ascii="仿宋_GB2312" w:eastAsia="仿宋_GB2312"/>
          </w:rPr>
          <w:t>7.2.3应急步骤</w:t>
        </w:r>
        <w:r>
          <w:fldChar w:fldCharType="begin"/>
        </w:r>
        <w:r>
          <w:instrText xml:space="preserve"> PAGEREF _Toc18941478 \h </w:instrText>
        </w:r>
        <w:r>
          <w:fldChar w:fldCharType="separate"/>
        </w:r>
        <w:r>
          <w:t>27</w:t>
        </w:r>
        <w:r>
          <w:fldChar w:fldCharType="end"/>
        </w:r>
      </w:hyperlink>
    </w:p>
    <w:p w:rsidR="008A2024" w14:paraId="6174333D" w14:textId="77777777">
      <w:pPr>
        <w:pStyle w:val="TOC2"/>
        <w:tabs>
          <w:tab w:val="right" w:leader="dot" w:pos="8538"/>
        </w:tabs>
        <w:rPr>
          <w:rFonts w:asciiTheme="minorHAnsi" w:eastAsiaTheme="minorEastAsia" w:hAnsiTheme="minorHAnsi" w:cstheme="minorBidi"/>
          <w:smallCaps w:val="0"/>
          <w:sz w:val="21"/>
          <w:szCs w:val="22"/>
        </w:rPr>
      </w:pPr>
      <w:hyperlink w:anchor="_Toc18941479" w:history="1">
        <w:r>
          <w:rPr>
            <w:rStyle w:val="Hyperlink"/>
            <w:rFonts w:ascii="楷体_GB2312" w:eastAsia="楷体_GB2312"/>
          </w:rPr>
          <w:t>7.3非法入侵窃取数据</w:t>
        </w:r>
        <w:r>
          <w:fldChar w:fldCharType="begin"/>
        </w:r>
        <w:r>
          <w:instrText xml:space="preserve"> PAGEREF _Toc18941479 \h </w:instrText>
        </w:r>
        <w:r>
          <w:fldChar w:fldCharType="separate"/>
        </w:r>
        <w:r>
          <w:t>29</w:t>
        </w:r>
        <w:r>
          <w:fldChar w:fldCharType="end"/>
        </w:r>
      </w:hyperlink>
    </w:p>
    <w:p w:rsidR="008A2024" w14:paraId="41DE9B67" w14:textId="77777777">
      <w:pPr>
        <w:pStyle w:val="TOC3"/>
        <w:tabs>
          <w:tab w:val="right" w:leader="dot" w:pos="8538"/>
        </w:tabs>
        <w:rPr>
          <w:rFonts w:asciiTheme="minorHAnsi" w:eastAsiaTheme="minorEastAsia" w:hAnsiTheme="minorHAnsi" w:cstheme="minorBidi"/>
          <w:i w:val="0"/>
          <w:iCs w:val="0"/>
          <w:sz w:val="21"/>
          <w:szCs w:val="22"/>
        </w:rPr>
      </w:pPr>
      <w:hyperlink w:anchor="_Toc18941480" w:history="1">
        <w:r>
          <w:rPr>
            <w:rStyle w:val="Hyperlink"/>
            <w:rFonts w:ascii="仿宋_GB2312" w:eastAsia="仿宋_GB2312"/>
          </w:rPr>
          <w:t>7.3.1应急流程</w:t>
        </w:r>
        <w:r>
          <w:fldChar w:fldCharType="begin"/>
        </w:r>
        <w:r>
          <w:instrText xml:space="preserve"> PAGEREF _Toc18941480 \h </w:instrText>
        </w:r>
        <w:r>
          <w:fldChar w:fldCharType="separate"/>
        </w:r>
        <w:r>
          <w:t>29</w:t>
        </w:r>
        <w:r>
          <w:fldChar w:fldCharType="end"/>
        </w:r>
      </w:hyperlink>
    </w:p>
    <w:p w:rsidR="008A2024" w14:paraId="13FC9C02" w14:textId="77777777">
      <w:pPr>
        <w:pStyle w:val="TOC3"/>
        <w:tabs>
          <w:tab w:val="right" w:leader="dot" w:pos="8538"/>
        </w:tabs>
        <w:rPr>
          <w:rFonts w:asciiTheme="minorHAnsi" w:eastAsiaTheme="minorEastAsia" w:hAnsiTheme="minorHAnsi" w:cstheme="minorBidi"/>
          <w:i w:val="0"/>
          <w:iCs w:val="0"/>
          <w:sz w:val="21"/>
          <w:szCs w:val="22"/>
        </w:rPr>
      </w:pPr>
      <w:hyperlink w:anchor="_Toc18941481" w:history="1">
        <w:r>
          <w:rPr>
            <w:rStyle w:val="Hyperlink"/>
            <w:rFonts w:ascii="仿宋_GB2312" w:eastAsia="仿宋_GB2312"/>
          </w:rPr>
          <w:t>7.3.2应急工具</w:t>
        </w:r>
        <w:r>
          <w:fldChar w:fldCharType="begin"/>
        </w:r>
        <w:r>
          <w:instrText xml:space="preserve"> PAGEREF _Toc18941481 \h </w:instrText>
        </w:r>
        <w:r>
          <w:fldChar w:fldCharType="separate"/>
        </w:r>
        <w:r>
          <w:t>29</w:t>
        </w:r>
        <w:r>
          <w:fldChar w:fldCharType="end"/>
        </w:r>
      </w:hyperlink>
    </w:p>
    <w:p w:rsidR="008A2024" w14:paraId="5CF9A72E" w14:textId="77777777">
      <w:pPr>
        <w:pStyle w:val="TOC3"/>
        <w:tabs>
          <w:tab w:val="right" w:leader="dot" w:pos="8538"/>
        </w:tabs>
        <w:rPr>
          <w:rFonts w:asciiTheme="minorHAnsi" w:eastAsiaTheme="minorEastAsia" w:hAnsiTheme="minorHAnsi" w:cstheme="minorBidi"/>
          <w:i w:val="0"/>
          <w:iCs w:val="0"/>
          <w:sz w:val="21"/>
          <w:szCs w:val="22"/>
        </w:rPr>
      </w:pPr>
      <w:hyperlink w:anchor="_Toc18941482" w:history="1">
        <w:r>
          <w:rPr>
            <w:rStyle w:val="Hyperlink"/>
            <w:rFonts w:ascii="仿宋_GB2312" w:eastAsia="仿宋_GB2312"/>
          </w:rPr>
          <w:t>7.3.3应急步骤</w:t>
        </w:r>
        <w:r>
          <w:fldChar w:fldCharType="begin"/>
        </w:r>
        <w:r>
          <w:instrText xml:space="preserve"> PAGEREF _Toc18941482 \h </w:instrText>
        </w:r>
        <w:r>
          <w:fldChar w:fldCharType="separate"/>
        </w:r>
        <w:r>
          <w:t>30</w:t>
        </w:r>
        <w:r>
          <w:fldChar w:fldCharType="end"/>
        </w:r>
      </w:hyperlink>
    </w:p>
    <w:p w:rsidR="008A2024" w14:paraId="708F813A" w14:textId="77777777">
      <w:pPr>
        <w:pStyle w:val="TOC2"/>
        <w:tabs>
          <w:tab w:val="right" w:leader="dot" w:pos="8538"/>
        </w:tabs>
        <w:rPr>
          <w:rFonts w:asciiTheme="minorHAnsi" w:eastAsiaTheme="minorEastAsia" w:hAnsiTheme="minorHAnsi" w:cstheme="minorBidi"/>
          <w:smallCaps w:val="0"/>
          <w:sz w:val="21"/>
          <w:szCs w:val="22"/>
        </w:rPr>
      </w:pPr>
      <w:hyperlink w:anchor="_Toc18941483" w:history="1">
        <w:r>
          <w:rPr>
            <w:rStyle w:val="Hyperlink"/>
            <w:rFonts w:ascii="楷体_GB2312" w:eastAsia="楷体_GB2312"/>
          </w:rPr>
          <w:t>7.4员工泄露敏感数据</w:t>
        </w:r>
        <w:r>
          <w:fldChar w:fldCharType="begin"/>
        </w:r>
        <w:r>
          <w:instrText xml:space="preserve"> PAGEREF _Toc18941483 \h </w:instrText>
        </w:r>
        <w:r>
          <w:fldChar w:fldCharType="separate"/>
        </w:r>
        <w:r>
          <w:t>33</w:t>
        </w:r>
        <w:r>
          <w:fldChar w:fldCharType="end"/>
        </w:r>
      </w:hyperlink>
    </w:p>
    <w:p w:rsidR="008A2024" w14:paraId="4C5D6F07" w14:textId="77777777">
      <w:pPr>
        <w:pStyle w:val="TOC3"/>
        <w:tabs>
          <w:tab w:val="right" w:leader="dot" w:pos="8538"/>
        </w:tabs>
        <w:rPr>
          <w:rFonts w:asciiTheme="minorHAnsi" w:eastAsiaTheme="minorEastAsia" w:hAnsiTheme="minorHAnsi" w:cstheme="minorBidi"/>
          <w:i w:val="0"/>
          <w:iCs w:val="0"/>
          <w:sz w:val="21"/>
          <w:szCs w:val="22"/>
        </w:rPr>
      </w:pPr>
      <w:hyperlink w:anchor="_Toc18941484" w:history="1">
        <w:r>
          <w:rPr>
            <w:rStyle w:val="Hyperlink"/>
            <w:rFonts w:ascii="仿宋_GB2312" w:eastAsia="仿宋_GB2312"/>
          </w:rPr>
          <w:t>7.4.1应急流程</w:t>
        </w:r>
        <w:r>
          <w:fldChar w:fldCharType="begin"/>
        </w:r>
        <w:r>
          <w:instrText xml:space="preserve"> PAGEREF _Toc18941484 \h </w:instrText>
        </w:r>
        <w:r>
          <w:fldChar w:fldCharType="separate"/>
        </w:r>
        <w:r>
          <w:t>34</w:t>
        </w:r>
        <w:r>
          <w:fldChar w:fldCharType="end"/>
        </w:r>
      </w:hyperlink>
    </w:p>
    <w:p w:rsidR="008A2024" w14:paraId="37793B2E" w14:textId="77777777">
      <w:pPr>
        <w:pStyle w:val="TOC3"/>
        <w:tabs>
          <w:tab w:val="right" w:leader="dot" w:pos="8538"/>
        </w:tabs>
        <w:rPr>
          <w:rFonts w:asciiTheme="minorHAnsi" w:eastAsiaTheme="minorEastAsia" w:hAnsiTheme="minorHAnsi" w:cstheme="minorBidi"/>
          <w:i w:val="0"/>
          <w:iCs w:val="0"/>
          <w:sz w:val="21"/>
          <w:szCs w:val="22"/>
        </w:rPr>
      </w:pPr>
      <w:hyperlink w:anchor="_Toc18941485" w:history="1">
        <w:r>
          <w:rPr>
            <w:rStyle w:val="Hyperlink"/>
            <w:rFonts w:ascii="仿宋_GB2312" w:eastAsia="仿宋_GB2312"/>
          </w:rPr>
          <w:t>7.4.2应急工具</w:t>
        </w:r>
        <w:r>
          <w:fldChar w:fldCharType="begin"/>
        </w:r>
        <w:r>
          <w:instrText xml:space="preserve"> PAGEREF _Toc18941485 \h </w:instrText>
        </w:r>
        <w:r>
          <w:fldChar w:fldCharType="separate"/>
        </w:r>
        <w:r>
          <w:t>34</w:t>
        </w:r>
        <w:r>
          <w:fldChar w:fldCharType="end"/>
        </w:r>
      </w:hyperlink>
    </w:p>
    <w:p w:rsidR="008A2024" w14:paraId="40E0332B" w14:textId="77777777">
      <w:pPr>
        <w:pStyle w:val="TOC3"/>
        <w:tabs>
          <w:tab w:val="right" w:leader="dot" w:pos="8538"/>
        </w:tabs>
        <w:rPr>
          <w:rFonts w:asciiTheme="minorHAnsi" w:eastAsiaTheme="minorEastAsia" w:hAnsiTheme="minorHAnsi" w:cstheme="minorBidi"/>
          <w:i w:val="0"/>
          <w:iCs w:val="0"/>
          <w:sz w:val="21"/>
          <w:szCs w:val="22"/>
        </w:rPr>
      </w:pPr>
      <w:hyperlink w:anchor="_Toc18941486" w:history="1">
        <w:r>
          <w:rPr>
            <w:rStyle w:val="Hyperlink"/>
            <w:rFonts w:ascii="仿宋_GB2312" w:eastAsia="仿宋_GB2312"/>
          </w:rPr>
          <w:t>7.4.3应急步骤</w:t>
        </w:r>
        <w:r>
          <w:fldChar w:fldCharType="begin"/>
        </w:r>
        <w:r>
          <w:instrText xml:space="preserve"> PAGEREF _Toc18941486 \h </w:instrText>
        </w:r>
        <w:r>
          <w:fldChar w:fldCharType="separate"/>
        </w:r>
        <w:r>
          <w:t>34</w:t>
        </w:r>
        <w:r>
          <w:fldChar w:fldCharType="end"/>
        </w:r>
      </w:hyperlink>
    </w:p>
    <w:p w:rsidR="008A2024" w14:paraId="7417E231" w14:textId="77777777">
      <w:pPr>
        <w:pStyle w:val="TOC2"/>
        <w:tabs>
          <w:tab w:val="right" w:leader="dot" w:pos="8538"/>
        </w:tabs>
        <w:rPr>
          <w:rFonts w:asciiTheme="minorHAnsi" w:eastAsiaTheme="minorEastAsia" w:hAnsiTheme="minorHAnsi" w:cstheme="minorBidi"/>
          <w:smallCaps w:val="0"/>
          <w:sz w:val="21"/>
          <w:szCs w:val="22"/>
        </w:rPr>
      </w:pPr>
      <w:hyperlink w:anchor="_Toc18941487" w:history="1">
        <w:r>
          <w:rPr>
            <w:rStyle w:val="Hyperlink"/>
            <w:rFonts w:ascii="楷体_GB2312" w:eastAsia="楷体_GB2312"/>
          </w:rPr>
          <w:t>7.5权限失控导致数据泄露</w:t>
        </w:r>
        <w:r>
          <w:fldChar w:fldCharType="begin"/>
        </w:r>
        <w:r>
          <w:instrText xml:space="preserve"> PAGEREF _Toc18941487 \h </w:instrText>
        </w:r>
        <w:r>
          <w:fldChar w:fldCharType="separate"/>
        </w:r>
        <w:r>
          <w:t>37</w:t>
        </w:r>
        <w:r>
          <w:fldChar w:fldCharType="end"/>
        </w:r>
      </w:hyperlink>
    </w:p>
    <w:p w:rsidR="008A2024" w14:paraId="534D6F61" w14:textId="77777777">
      <w:pPr>
        <w:pStyle w:val="TOC3"/>
        <w:tabs>
          <w:tab w:val="right" w:leader="dot" w:pos="8538"/>
        </w:tabs>
        <w:rPr>
          <w:rFonts w:asciiTheme="minorHAnsi" w:eastAsiaTheme="minorEastAsia" w:hAnsiTheme="minorHAnsi" w:cstheme="minorBidi"/>
          <w:i w:val="0"/>
          <w:iCs w:val="0"/>
          <w:sz w:val="21"/>
          <w:szCs w:val="22"/>
        </w:rPr>
      </w:pPr>
      <w:hyperlink w:anchor="_Toc18941488" w:history="1">
        <w:r>
          <w:rPr>
            <w:rStyle w:val="Hyperlink"/>
            <w:rFonts w:ascii="仿宋_GB2312" w:eastAsia="仿宋_GB2312"/>
          </w:rPr>
          <w:t>7.5.1应急流程</w:t>
        </w:r>
        <w:r>
          <w:fldChar w:fldCharType="begin"/>
        </w:r>
        <w:r>
          <w:instrText xml:space="preserve"> PAGEREF _Toc18941488 \h </w:instrText>
        </w:r>
        <w:r>
          <w:fldChar w:fldCharType="separate"/>
        </w:r>
        <w:r>
          <w:t>37</w:t>
        </w:r>
        <w:r>
          <w:fldChar w:fldCharType="end"/>
        </w:r>
      </w:hyperlink>
    </w:p>
    <w:p w:rsidR="008A2024" w14:paraId="5CB6C68F" w14:textId="77777777">
      <w:pPr>
        <w:pStyle w:val="TOC3"/>
        <w:tabs>
          <w:tab w:val="right" w:leader="dot" w:pos="8538"/>
        </w:tabs>
        <w:rPr>
          <w:rFonts w:asciiTheme="minorHAnsi" w:eastAsiaTheme="minorEastAsia" w:hAnsiTheme="minorHAnsi" w:cstheme="minorBidi"/>
          <w:i w:val="0"/>
          <w:iCs w:val="0"/>
          <w:sz w:val="21"/>
          <w:szCs w:val="22"/>
        </w:rPr>
      </w:pPr>
      <w:hyperlink w:anchor="_Toc18941489" w:history="1">
        <w:r>
          <w:rPr>
            <w:rStyle w:val="Hyperlink"/>
            <w:rFonts w:ascii="仿宋_GB2312" w:eastAsia="仿宋_GB2312"/>
          </w:rPr>
          <w:t>7.5.2应急工具</w:t>
        </w:r>
        <w:r>
          <w:fldChar w:fldCharType="begin"/>
        </w:r>
        <w:r>
          <w:instrText xml:space="preserve"> PAGEREF _Toc18941489 \h </w:instrText>
        </w:r>
        <w:r>
          <w:fldChar w:fldCharType="separate"/>
        </w:r>
        <w:r>
          <w:t>38</w:t>
        </w:r>
        <w:r>
          <w:fldChar w:fldCharType="end"/>
        </w:r>
      </w:hyperlink>
    </w:p>
    <w:p w:rsidR="008A2024" w14:paraId="6AEC527C" w14:textId="77777777">
      <w:pPr>
        <w:pStyle w:val="TOC3"/>
        <w:tabs>
          <w:tab w:val="right" w:leader="dot" w:pos="8538"/>
        </w:tabs>
        <w:rPr>
          <w:rFonts w:asciiTheme="minorHAnsi" w:eastAsiaTheme="minorEastAsia" w:hAnsiTheme="minorHAnsi" w:cstheme="minorBidi"/>
          <w:i w:val="0"/>
          <w:iCs w:val="0"/>
          <w:sz w:val="21"/>
          <w:szCs w:val="22"/>
        </w:rPr>
      </w:pPr>
      <w:hyperlink w:anchor="_Toc18941490" w:history="1">
        <w:r>
          <w:rPr>
            <w:rStyle w:val="Hyperlink"/>
            <w:rFonts w:ascii="仿宋_GB2312" w:eastAsia="仿宋_GB2312"/>
          </w:rPr>
          <w:t>7.5.3应急步骤</w:t>
        </w:r>
        <w:r>
          <w:fldChar w:fldCharType="begin"/>
        </w:r>
        <w:r>
          <w:instrText xml:space="preserve"> PAGEREF _Toc18941490 \h </w:instrText>
        </w:r>
        <w:r>
          <w:fldChar w:fldCharType="separate"/>
        </w:r>
        <w:r>
          <w:t>38</w:t>
        </w:r>
        <w:r>
          <w:fldChar w:fldCharType="end"/>
        </w:r>
      </w:hyperlink>
    </w:p>
    <w:p w:rsidR="008A2024" w14:paraId="07254687" w14:textId="77777777">
      <w:pPr>
        <w:pStyle w:val="TOC2"/>
        <w:tabs>
          <w:tab w:val="right" w:leader="dot" w:pos="8538"/>
        </w:tabs>
        <w:rPr>
          <w:rFonts w:asciiTheme="minorHAnsi" w:eastAsiaTheme="minorEastAsia" w:hAnsiTheme="minorHAnsi" w:cstheme="minorBidi"/>
          <w:smallCaps w:val="0"/>
          <w:sz w:val="21"/>
          <w:szCs w:val="22"/>
        </w:rPr>
      </w:pPr>
      <w:hyperlink w:anchor="_Toc18941491" w:history="1">
        <w:r>
          <w:rPr>
            <w:rStyle w:val="Hyperlink"/>
            <w:rFonts w:ascii="楷体_GB2312" w:eastAsia="楷体_GB2312"/>
          </w:rPr>
          <w:t>7.6数据维护及处置不当造成数据泄露</w:t>
        </w:r>
        <w:r>
          <w:fldChar w:fldCharType="begin"/>
        </w:r>
        <w:r>
          <w:instrText xml:space="preserve"> PAGEREF _Toc18941491 \h </w:instrText>
        </w:r>
        <w:r>
          <w:fldChar w:fldCharType="separate"/>
        </w:r>
        <w:r>
          <w:t>41</w:t>
        </w:r>
        <w:r>
          <w:fldChar w:fldCharType="end"/>
        </w:r>
      </w:hyperlink>
    </w:p>
    <w:p w:rsidR="008A2024" w14:paraId="3C0F56AD" w14:textId="77777777">
      <w:pPr>
        <w:pStyle w:val="TOC3"/>
        <w:tabs>
          <w:tab w:val="right" w:leader="dot" w:pos="8538"/>
        </w:tabs>
        <w:rPr>
          <w:rFonts w:asciiTheme="minorHAnsi" w:eastAsiaTheme="minorEastAsia" w:hAnsiTheme="minorHAnsi" w:cstheme="minorBidi"/>
          <w:i w:val="0"/>
          <w:iCs w:val="0"/>
          <w:sz w:val="21"/>
          <w:szCs w:val="22"/>
        </w:rPr>
      </w:pPr>
      <w:hyperlink w:anchor="_Toc18941492" w:history="1">
        <w:r>
          <w:rPr>
            <w:rStyle w:val="Hyperlink"/>
            <w:rFonts w:ascii="仿宋_GB2312" w:eastAsia="仿宋_GB2312"/>
          </w:rPr>
          <w:t>7.6.1应急流程</w:t>
        </w:r>
        <w:r>
          <w:fldChar w:fldCharType="begin"/>
        </w:r>
        <w:r>
          <w:instrText xml:space="preserve"> PAGEREF _Toc18941492 \h </w:instrText>
        </w:r>
        <w:r>
          <w:fldChar w:fldCharType="separate"/>
        </w:r>
        <w:r>
          <w:t>41</w:t>
        </w:r>
        <w:r>
          <w:fldChar w:fldCharType="end"/>
        </w:r>
      </w:hyperlink>
    </w:p>
    <w:p w:rsidR="008A2024" w14:paraId="337CF614" w14:textId="77777777">
      <w:pPr>
        <w:pStyle w:val="TOC3"/>
        <w:tabs>
          <w:tab w:val="right" w:leader="dot" w:pos="8538"/>
        </w:tabs>
        <w:rPr>
          <w:rFonts w:asciiTheme="minorHAnsi" w:eastAsiaTheme="minorEastAsia" w:hAnsiTheme="minorHAnsi" w:cstheme="minorBidi"/>
          <w:i w:val="0"/>
          <w:iCs w:val="0"/>
          <w:sz w:val="21"/>
          <w:szCs w:val="22"/>
        </w:rPr>
      </w:pPr>
      <w:hyperlink w:anchor="_Toc18941493" w:history="1">
        <w:r>
          <w:rPr>
            <w:rStyle w:val="Hyperlink"/>
            <w:rFonts w:ascii="仿宋_GB2312" w:eastAsia="仿宋_GB2312"/>
          </w:rPr>
          <w:t>7.6.2应急工具</w:t>
        </w:r>
        <w:r>
          <w:fldChar w:fldCharType="begin"/>
        </w:r>
        <w:r>
          <w:instrText xml:space="preserve"> PAGEREF _Toc18941493 \h </w:instrText>
        </w:r>
        <w:r>
          <w:fldChar w:fldCharType="separate"/>
        </w:r>
        <w:r>
          <w:t>42</w:t>
        </w:r>
        <w:r>
          <w:fldChar w:fldCharType="end"/>
        </w:r>
      </w:hyperlink>
    </w:p>
    <w:p w:rsidR="008A2024" w14:paraId="5BF91ED4" w14:textId="77777777">
      <w:pPr>
        <w:pStyle w:val="TOC3"/>
        <w:tabs>
          <w:tab w:val="right" w:leader="dot" w:pos="8538"/>
        </w:tabs>
        <w:rPr>
          <w:rFonts w:asciiTheme="minorHAnsi" w:eastAsiaTheme="minorEastAsia" w:hAnsiTheme="minorHAnsi" w:cstheme="minorBidi"/>
          <w:i w:val="0"/>
          <w:iCs w:val="0"/>
          <w:sz w:val="21"/>
          <w:szCs w:val="22"/>
        </w:rPr>
      </w:pPr>
      <w:hyperlink w:anchor="_Toc18941494" w:history="1">
        <w:r>
          <w:rPr>
            <w:rStyle w:val="Hyperlink"/>
            <w:rFonts w:ascii="仿宋_GB2312" w:eastAsia="仿宋_GB2312"/>
          </w:rPr>
          <w:t>7.6.3应急步骤</w:t>
        </w:r>
        <w:r>
          <w:fldChar w:fldCharType="begin"/>
        </w:r>
        <w:r>
          <w:instrText xml:space="preserve"> PAGEREF _Toc18941494 \h </w:instrText>
        </w:r>
        <w:r>
          <w:fldChar w:fldCharType="separate"/>
        </w:r>
        <w:r>
          <w:t>42</w:t>
        </w:r>
        <w:r>
          <w:fldChar w:fldCharType="end"/>
        </w:r>
      </w:hyperlink>
    </w:p>
    <w:p w:rsidR="008A2024" w14:paraId="7F208261" w14:textId="77777777">
      <w:pPr>
        <w:pStyle w:val="TOC2"/>
        <w:tabs>
          <w:tab w:val="right" w:leader="dot" w:pos="8538"/>
        </w:tabs>
        <w:rPr>
          <w:rFonts w:asciiTheme="minorHAnsi" w:eastAsiaTheme="minorEastAsia" w:hAnsiTheme="minorHAnsi" w:cstheme="minorBidi"/>
          <w:smallCaps w:val="0"/>
          <w:sz w:val="21"/>
          <w:szCs w:val="22"/>
        </w:rPr>
      </w:pPr>
      <w:hyperlink w:anchor="_Toc18941495" w:history="1">
        <w:r>
          <w:rPr>
            <w:rStyle w:val="Hyperlink"/>
            <w:rFonts w:ascii="楷体_GB2312" w:eastAsia="楷体_GB2312"/>
          </w:rPr>
          <w:t>7.7信息发布不规范造成数据泄露</w:t>
        </w:r>
        <w:r>
          <w:fldChar w:fldCharType="begin"/>
        </w:r>
        <w:r>
          <w:instrText xml:space="preserve"> PAGEREF _Toc18941495 \h </w:instrText>
        </w:r>
        <w:r>
          <w:fldChar w:fldCharType="separate"/>
        </w:r>
        <w:r>
          <w:t>44</w:t>
        </w:r>
        <w:r>
          <w:fldChar w:fldCharType="end"/>
        </w:r>
      </w:hyperlink>
    </w:p>
    <w:p w:rsidR="008A2024" w14:paraId="1D36BB80" w14:textId="77777777">
      <w:pPr>
        <w:pStyle w:val="TOC3"/>
        <w:tabs>
          <w:tab w:val="right" w:leader="dot" w:pos="8538"/>
        </w:tabs>
        <w:rPr>
          <w:rFonts w:asciiTheme="minorHAnsi" w:eastAsiaTheme="minorEastAsia" w:hAnsiTheme="minorHAnsi" w:cstheme="minorBidi"/>
          <w:i w:val="0"/>
          <w:iCs w:val="0"/>
          <w:sz w:val="21"/>
          <w:szCs w:val="22"/>
        </w:rPr>
      </w:pPr>
      <w:hyperlink w:anchor="_Toc18941496" w:history="1">
        <w:r>
          <w:rPr>
            <w:rStyle w:val="Hyperlink"/>
            <w:rFonts w:ascii="仿宋_GB2312" w:eastAsia="仿宋_GB2312"/>
          </w:rPr>
          <w:t>7.7.1应急流程</w:t>
        </w:r>
        <w:r>
          <w:fldChar w:fldCharType="begin"/>
        </w:r>
        <w:r>
          <w:instrText xml:space="preserve"> PAGEREF _Toc18941496 \h </w:instrText>
        </w:r>
        <w:r>
          <w:fldChar w:fldCharType="separate"/>
        </w:r>
        <w:r>
          <w:t>44</w:t>
        </w:r>
        <w:r>
          <w:fldChar w:fldCharType="end"/>
        </w:r>
      </w:hyperlink>
    </w:p>
    <w:p w:rsidR="008A2024" w14:paraId="57C3E581" w14:textId="77777777">
      <w:pPr>
        <w:pStyle w:val="TOC3"/>
        <w:tabs>
          <w:tab w:val="right" w:leader="dot" w:pos="8538"/>
        </w:tabs>
        <w:rPr>
          <w:rFonts w:asciiTheme="minorHAnsi" w:eastAsiaTheme="minorEastAsia" w:hAnsiTheme="minorHAnsi" w:cstheme="minorBidi"/>
          <w:i w:val="0"/>
          <w:iCs w:val="0"/>
          <w:sz w:val="21"/>
          <w:szCs w:val="22"/>
        </w:rPr>
      </w:pPr>
      <w:hyperlink w:anchor="_Toc18941497" w:history="1">
        <w:r>
          <w:rPr>
            <w:rStyle w:val="Hyperlink"/>
            <w:rFonts w:ascii="仿宋_GB2312" w:eastAsia="仿宋_GB2312"/>
          </w:rPr>
          <w:t>7.7.2应急工具</w:t>
        </w:r>
        <w:r>
          <w:fldChar w:fldCharType="begin"/>
        </w:r>
        <w:r>
          <w:instrText xml:space="preserve"> PAGEREF _Toc18941497 \h </w:instrText>
        </w:r>
        <w:r>
          <w:fldChar w:fldCharType="separate"/>
        </w:r>
        <w:r>
          <w:t>44</w:t>
        </w:r>
        <w:r>
          <w:fldChar w:fldCharType="end"/>
        </w:r>
      </w:hyperlink>
    </w:p>
    <w:p w:rsidR="008A2024" w14:paraId="1148750F" w14:textId="77777777">
      <w:pPr>
        <w:pStyle w:val="TOC3"/>
        <w:tabs>
          <w:tab w:val="right" w:leader="dot" w:pos="8538"/>
        </w:tabs>
        <w:rPr>
          <w:rFonts w:asciiTheme="minorHAnsi" w:eastAsiaTheme="minorEastAsia" w:hAnsiTheme="minorHAnsi" w:cstheme="minorBidi"/>
          <w:i w:val="0"/>
          <w:iCs w:val="0"/>
          <w:sz w:val="21"/>
          <w:szCs w:val="22"/>
        </w:rPr>
      </w:pPr>
      <w:hyperlink w:anchor="_Toc18941498" w:history="1">
        <w:r>
          <w:rPr>
            <w:rStyle w:val="Hyperlink"/>
            <w:rFonts w:ascii="仿宋_GB2312" w:eastAsia="仿宋_GB2312"/>
          </w:rPr>
          <w:t>7.7.3应急步骤</w:t>
        </w:r>
        <w:r>
          <w:fldChar w:fldCharType="begin"/>
        </w:r>
        <w:r>
          <w:instrText xml:space="preserve"> PAGEREF _Toc18941498 \h </w:instrText>
        </w:r>
        <w:r>
          <w:fldChar w:fldCharType="separate"/>
        </w:r>
        <w:r>
          <w:t>45</w:t>
        </w:r>
        <w:r>
          <w:fldChar w:fldCharType="end"/>
        </w:r>
      </w:hyperlink>
    </w:p>
    <w:p w:rsidR="008A2024" w14:paraId="23BF8935" w14:textId="77777777">
      <w:pPr>
        <w:pStyle w:val="TOC1"/>
        <w:rPr>
          <w:rFonts w:asciiTheme="minorHAnsi" w:eastAsiaTheme="minorEastAsia" w:hAnsiTheme="minorHAnsi" w:cstheme="minorBidi"/>
          <w:b w:val="0"/>
          <w:bCs w:val="0"/>
          <w:caps w:val="0"/>
          <w:sz w:val="21"/>
          <w:szCs w:val="22"/>
        </w:rPr>
      </w:pPr>
      <w:hyperlink w:anchor="_Toc18941499" w:history="1">
        <w:r>
          <w:rPr>
            <w:rStyle w:val="Hyperlink"/>
            <w:rFonts w:ascii="黑体" w:hAnsi="黑体"/>
          </w:rPr>
          <w:t>8.</w:t>
        </w:r>
        <w:r>
          <w:rPr>
            <w:rStyle w:val="Hyperlink"/>
            <w:rFonts w:ascii="黑体" w:hAnsi="黑体"/>
          </w:rPr>
          <w:t>应急保障</w:t>
        </w:r>
        <w:r>
          <w:fldChar w:fldCharType="begin"/>
        </w:r>
        <w:r>
          <w:instrText xml:space="preserve"> PAGEREF _Toc18941499 \h </w:instrText>
        </w:r>
        <w:r>
          <w:fldChar w:fldCharType="separate"/>
        </w:r>
        <w:r>
          <w:t>48</w:t>
        </w:r>
        <w:r>
          <w:fldChar w:fldCharType="end"/>
        </w:r>
      </w:hyperlink>
    </w:p>
    <w:p w:rsidR="008A2024" w14:paraId="05FF780B" w14:textId="77777777">
      <w:pPr>
        <w:pStyle w:val="TOC2"/>
        <w:tabs>
          <w:tab w:val="right" w:leader="dot" w:pos="8538"/>
        </w:tabs>
        <w:rPr>
          <w:rFonts w:asciiTheme="minorHAnsi" w:eastAsiaTheme="minorEastAsia" w:hAnsiTheme="minorHAnsi" w:cstheme="minorBidi"/>
          <w:smallCaps w:val="0"/>
          <w:sz w:val="21"/>
          <w:szCs w:val="22"/>
        </w:rPr>
      </w:pPr>
      <w:hyperlink w:anchor="_Toc18941500" w:history="1">
        <w:r>
          <w:rPr>
            <w:rStyle w:val="Hyperlink"/>
            <w:rFonts w:ascii="楷体_GB2312" w:eastAsia="楷体_GB2312"/>
          </w:rPr>
          <w:t>8.1人力保障</w:t>
        </w:r>
        <w:r>
          <w:fldChar w:fldCharType="begin"/>
        </w:r>
        <w:r>
          <w:instrText xml:space="preserve"> PAGEREF _Toc18941500 \h </w:instrText>
        </w:r>
        <w:r>
          <w:fldChar w:fldCharType="separate"/>
        </w:r>
        <w:r>
          <w:t>48</w:t>
        </w:r>
        <w:r>
          <w:fldChar w:fldCharType="end"/>
        </w:r>
      </w:hyperlink>
    </w:p>
    <w:p w:rsidR="008A2024" w14:paraId="34AD03E8" w14:textId="77777777">
      <w:pPr>
        <w:pStyle w:val="TOC2"/>
        <w:tabs>
          <w:tab w:val="right" w:leader="dot" w:pos="8538"/>
        </w:tabs>
        <w:rPr>
          <w:rFonts w:asciiTheme="minorHAnsi" w:eastAsiaTheme="minorEastAsia" w:hAnsiTheme="minorHAnsi" w:cstheme="minorBidi"/>
          <w:smallCaps w:val="0"/>
          <w:sz w:val="21"/>
          <w:szCs w:val="22"/>
        </w:rPr>
      </w:pPr>
      <w:hyperlink w:anchor="_Toc18941501" w:history="1">
        <w:r>
          <w:rPr>
            <w:rStyle w:val="Hyperlink"/>
            <w:rFonts w:ascii="楷体_GB2312" w:eastAsia="楷体_GB2312"/>
          </w:rPr>
          <w:t>8.2技术保障</w:t>
        </w:r>
        <w:r>
          <w:fldChar w:fldCharType="begin"/>
        </w:r>
        <w:r>
          <w:instrText xml:space="preserve"> PAGEREF _Toc18941501 \h </w:instrText>
        </w:r>
        <w:r>
          <w:fldChar w:fldCharType="separate"/>
        </w:r>
        <w:r>
          <w:t>48</w:t>
        </w:r>
        <w:r>
          <w:fldChar w:fldCharType="end"/>
        </w:r>
      </w:hyperlink>
    </w:p>
    <w:p w:rsidR="008A2024" w14:paraId="6C7BA0D0" w14:textId="77777777">
      <w:pPr>
        <w:pStyle w:val="TOC2"/>
        <w:tabs>
          <w:tab w:val="right" w:leader="dot" w:pos="8538"/>
        </w:tabs>
        <w:rPr>
          <w:rFonts w:asciiTheme="minorHAnsi" w:eastAsiaTheme="minorEastAsia" w:hAnsiTheme="minorHAnsi" w:cstheme="minorBidi"/>
          <w:smallCaps w:val="0"/>
          <w:sz w:val="21"/>
          <w:szCs w:val="22"/>
        </w:rPr>
      </w:pPr>
      <w:hyperlink w:anchor="_Toc18941502" w:history="1">
        <w:r>
          <w:rPr>
            <w:rStyle w:val="Hyperlink"/>
            <w:rFonts w:ascii="楷体_GB2312" w:eastAsia="楷体_GB2312"/>
          </w:rPr>
          <w:t>8.3物质保障</w:t>
        </w:r>
        <w:r>
          <w:fldChar w:fldCharType="begin"/>
        </w:r>
        <w:r>
          <w:instrText xml:space="preserve"> PAGEREF _Toc18941502 \h </w:instrText>
        </w:r>
        <w:r>
          <w:fldChar w:fldCharType="separate"/>
        </w:r>
        <w:r>
          <w:t>48</w:t>
        </w:r>
        <w:r>
          <w:fldChar w:fldCharType="end"/>
        </w:r>
      </w:hyperlink>
    </w:p>
    <w:p w:rsidR="008A2024" w14:paraId="5DD53AFB" w14:textId="77777777">
      <w:pPr>
        <w:pStyle w:val="TOC2"/>
        <w:tabs>
          <w:tab w:val="right" w:leader="dot" w:pos="8538"/>
        </w:tabs>
        <w:rPr>
          <w:rFonts w:asciiTheme="minorHAnsi" w:eastAsiaTheme="minorEastAsia" w:hAnsiTheme="minorHAnsi" w:cstheme="minorBidi"/>
          <w:smallCaps w:val="0"/>
          <w:sz w:val="21"/>
          <w:szCs w:val="22"/>
        </w:rPr>
      </w:pPr>
      <w:hyperlink w:anchor="_Toc18941503" w:history="1">
        <w:r>
          <w:rPr>
            <w:rStyle w:val="Hyperlink"/>
            <w:rFonts w:ascii="楷体_GB2312" w:eastAsia="楷体_GB2312"/>
          </w:rPr>
          <w:t>8.4资金保障</w:t>
        </w:r>
        <w:r>
          <w:fldChar w:fldCharType="begin"/>
        </w:r>
        <w:r>
          <w:instrText xml:space="preserve"> PAGEREF _Toc18941503 \h </w:instrText>
        </w:r>
        <w:r>
          <w:fldChar w:fldCharType="separate"/>
        </w:r>
        <w:r>
          <w:t>49</w:t>
        </w:r>
        <w:r>
          <w:fldChar w:fldCharType="end"/>
        </w:r>
      </w:hyperlink>
    </w:p>
    <w:p w:rsidR="008A2024" w14:paraId="58448CEB" w14:textId="77777777">
      <w:pPr>
        <w:pStyle w:val="TOC1"/>
        <w:rPr>
          <w:rFonts w:asciiTheme="minorHAnsi" w:eastAsiaTheme="minorEastAsia" w:hAnsiTheme="minorHAnsi" w:cstheme="minorBidi"/>
          <w:b w:val="0"/>
          <w:bCs w:val="0"/>
          <w:caps w:val="0"/>
          <w:sz w:val="21"/>
          <w:szCs w:val="22"/>
        </w:rPr>
      </w:pPr>
      <w:hyperlink w:anchor="_Toc18941504" w:history="1">
        <w:r>
          <w:rPr>
            <w:rStyle w:val="Hyperlink"/>
            <w:rFonts w:ascii="黑体" w:eastAsia="黑体"/>
            <w:kern w:val="44"/>
          </w:rPr>
          <w:t>附件1：数据安全事件记录表格</w:t>
        </w:r>
        <w:r>
          <w:fldChar w:fldCharType="begin"/>
        </w:r>
        <w:r>
          <w:instrText xml:space="preserve"> PAGEREF _Toc18941504 \h </w:instrText>
        </w:r>
        <w:r>
          <w:fldChar w:fldCharType="separate"/>
        </w:r>
        <w:r>
          <w:t>50</w:t>
        </w:r>
        <w:r>
          <w:fldChar w:fldCharType="end"/>
        </w:r>
      </w:hyperlink>
    </w:p>
    <w:p w:rsidR="008A2024" w14:paraId="58DEF620" w14:textId="77777777">
      <w:pPr>
        <w:adjustRightInd w:val="0"/>
        <w:snapToGrid w:val="0"/>
        <w:spacing w:line="380" w:lineRule="exact"/>
        <w:rPr>
          <w:rStyle w:val="Hyperlink"/>
          <w:b/>
          <w:bCs/>
          <w:caps/>
          <w:sz w:val="24"/>
          <w:shd w:val="pct10" w:color="auto" w:fill="FFFFFF"/>
        </w:rPr>
        <w:sectPr>
          <w:headerReference w:type="default" r:id="rId8"/>
          <w:type w:val="nextPage"/>
          <w:pgSz w:w="11906" w:h="16838"/>
          <w:pgMar w:top="1440" w:right="1558" w:bottom="1440" w:left="1800" w:header="851" w:footer="992" w:gutter="0"/>
          <w:pgNumType w:start="3"/>
          <w:cols w:space="425"/>
          <w:titlePg w:val="0"/>
          <w:docGrid w:type="lines" w:linePitch="312"/>
        </w:sectPr>
      </w:pPr>
      <w:r>
        <w:rPr>
          <w:rStyle w:val="Hyperlink"/>
          <w:rFonts w:ascii="仿宋" w:eastAsia="仿宋" w:hAnsi="仿宋"/>
          <w:caps/>
          <w:sz w:val="24"/>
          <w:shd w:val="pct10" w:color="auto" w:fill="FFFFFF"/>
        </w:rPr>
        <w:fldChar w:fldCharType="end"/>
      </w:r>
    </w:p>
    <w:p w:rsidR="008A2024" w14:paraId="7E02E342" w14:textId="77777777">
      <w:pPr>
        <w:pStyle w:val="Heading1"/>
        <w:numPr>
          <w:ilvl w:val="0"/>
          <w:numId w:val="0"/>
        </w:numPr>
        <w:spacing w:line="560" w:lineRule="exact"/>
        <w:rPr>
          <w:rFonts w:ascii="黑体" w:hAnsi="黑体"/>
          <w:b w:val="0"/>
          <w:bCs w:val="0"/>
          <w:lang w:eastAsia="zh-CN"/>
        </w:rPr>
      </w:pPr>
      <w:bookmarkStart w:id="3" w:name="_Toc18941434"/>
      <w:r>
        <w:rPr>
          <w:rFonts w:ascii="黑体" w:hAnsi="黑体" w:hint="eastAsia"/>
          <w:b w:val="0"/>
          <w:bCs w:val="0"/>
          <w:lang w:eastAsia="zh-CN"/>
        </w:rPr>
        <w:t>1</w:t>
      </w:r>
      <w:r>
        <w:rPr>
          <w:rFonts w:ascii="黑体" w:hAnsi="黑体"/>
          <w:b w:val="0"/>
          <w:bCs w:val="0"/>
          <w:lang w:eastAsia="zh-CN"/>
        </w:rPr>
        <w:t>.</w:t>
      </w:r>
      <w:r>
        <w:rPr>
          <w:rFonts w:ascii="黑体" w:hAnsi="黑体" w:hint="eastAsia"/>
          <w:b w:val="0"/>
          <w:bCs w:val="0"/>
          <w:lang w:eastAsia="zh-CN"/>
        </w:rPr>
        <w:t>引言</w:t>
      </w:r>
      <w:bookmarkEnd w:id="3"/>
    </w:p>
    <w:p w:rsidR="008A2024" w14:paraId="4FD555C9"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为建立健全XXXXXX数据安全事件应急响应机制，提高应对数据安全事件的应急处置能力，预防和减少数据安全事件造成的损失和危害，全面提升公司的数据安全事件应急管理水平，促进大数据业务健康有序发展，保障公司数据资产安全和用户合法权益，满足上级单位要求企业建立数据安全应急响应制度的重点考核要求，特制定本预案。</w:t>
      </w:r>
    </w:p>
    <w:p w:rsidR="008A2024" w14:paraId="4648CEC5"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本预案作为XXXXXX数据安全事件应急处置流程规范，主要参照《XXX数据安全事件应急响应实施指南》、《XXX网络安全突发事件应急预案》、《XXX大数据安全管理要求》及《XXX大数据安全运营要求》中的应急响应相关要求，提出相应的实施方法规范。预案内容主要包括应急响应的组织架构、数据安全事件的分级、应急预案的制订与演练、应急响应实施、事件处置及应急事例以及应急保障等。本预案主要为XXXXXX数据安全事件的安全防范、应急处置、应急报告等工作提供依据。</w:t>
      </w:r>
    </w:p>
    <w:p w:rsidR="008A2024" w14:paraId="723131BB"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本应急预案的解释权和修改权归XXX集团XXX有限公司信息安全管理部。</w:t>
      </w:r>
    </w:p>
    <w:p w:rsidR="008A2024" w14:paraId="644DCECA" w14:textId="77777777">
      <w:pPr>
        <w:pStyle w:val="Heading1"/>
        <w:numPr>
          <w:ilvl w:val="0"/>
          <w:numId w:val="0"/>
        </w:numPr>
        <w:spacing w:line="560" w:lineRule="exact"/>
        <w:rPr>
          <w:rFonts w:ascii="黑体" w:hAnsi="黑体"/>
          <w:b w:val="0"/>
          <w:bCs w:val="0"/>
          <w:lang w:eastAsia="zh-CN"/>
        </w:rPr>
      </w:pPr>
      <w:bookmarkStart w:id="4" w:name="_Toc18941435"/>
      <w:r>
        <w:rPr>
          <w:rFonts w:ascii="黑体" w:hAnsi="黑体"/>
          <w:b w:val="0"/>
          <w:bCs w:val="0"/>
          <w:lang w:eastAsia="zh-CN"/>
        </w:rPr>
        <w:t>2.</w:t>
      </w:r>
      <w:r>
        <w:rPr>
          <w:rFonts w:ascii="黑体" w:hAnsi="黑体" w:hint="eastAsia"/>
          <w:b w:val="0"/>
          <w:bCs w:val="0"/>
          <w:lang w:eastAsia="zh-CN"/>
        </w:rPr>
        <w:t>总则</w:t>
      </w:r>
      <w:bookmarkEnd w:id="4"/>
    </w:p>
    <w:p w:rsidR="008A2024" w14:paraId="1802FEF7" w14:textId="77777777">
      <w:pPr>
        <w:pStyle w:val="Heading2"/>
        <w:numPr>
          <w:ilvl w:val="0"/>
          <w:numId w:val="0"/>
        </w:numPr>
        <w:spacing w:before="0" w:after="0" w:line="560" w:lineRule="exact"/>
        <w:rPr>
          <w:rFonts w:ascii="楷体_GB2312" w:eastAsia="楷体_GB2312"/>
          <w:b w:val="0"/>
          <w:bCs w:val="0"/>
        </w:rPr>
      </w:pPr>
      <w:bookmarkStart w:id="5" w:name="_Toc386120416"/>
      <w:bookmarkStart w:id="6" w:name="_Toc301704557"/>
      <w:bookmarkStart w:id="7" w:name="_Toc440546099"/>
      <w:bookmarkStart w:id="8" w:name="_Toc323219871"/>
      <w:bookmarkStart w:id="9" w:name="_Toc18941436"/>
      <w:bookmarkStart w:id="10" w:name="_Toc323219870"/>
      <w:bookmarkStart w:id="11" w:name="_Toc386120415"/>
      <w:bookmarkStart w:id="12" w:name="_Toc440546098"/>
      <w:r>
        <w:rPr>
          <w:rFonts w:ascii="楷体_GB2312" w:eastAsia="楷体_GB2312" w:hint="eastAsia"/>
          <w:b w:val="0"/>
          <w:bCs w:val="0"/>
        </w:rPr>
        <w:t>2.1编写依据</w:t>
      </w:r>
      <w:bookmarkEnd w:id="5"/>
      <w:bookmarkEnd w:id="6"/>
      <w:bookmarkEnd w:id="7"/>
      <w:bookmarkEnd w:id="8"/>
      <w:bookmarkEnd w:id="9"/>
    </w:p>
    <w:p w:rsidR="008A2024" w14:paraId="45FC0C91"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本预案主要参照了以下国际规范制度及指南：</w:t>
      </w:r>
    </w:p>
    <w:p w:rsidR="008A2024" w14:paraId="717AF169"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《信息技术系统应急规划指南》，NISTSP800-34；</w:t>
      </w:r>
    </w:p>
    <w:p w:rsidR="008A2024" w14:paraId="148C4813"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《计算机安全事件处理指南》，NISTSP800-61；</w:t>
      </w:r>
    </w:p>
    <w:p w:rsidR="008A2024" w14:paraId="64B5CF5A"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《网络安全事件恢复指南》，NISTSP800-184。</w:t>
      </w:r>
    </w:p>
    <w:p w:rsidR="008A2024" w14:paraId="2DE0905B" w14:textId="77777777">
      <w:pPr>
        <w:adjustRightInd w:val="0"/>
        <w:snapToGrid w:val="0"/>
        <w:spacing w:line="560" w:lineRule="exact"/>
        <w:ind w:firstLine="600" w:firstLineChars="200"/>
        <w:rPr>
          <w:rFonts w:ascii="仿宋_GB2312" w:eastAsia="仿宋_GB2312" w:hAnsi="宋体"/>
          <w:sz w:val="30"/>
          <w:szCs w:val="30"/>
        </w:rPr>
        <w:sectPr>
          <w:headerReference w:type="default" r:id="rId9"/>
          <w:type w:val="nextPage"/>
          <w:pgSz w:w="11906" w:h="16838"/>
          <w:pgMar w:top="1440" w:right="1558" w:bottom="1440" w:left="1800" w:header="851" w:footer="992" w:gutter="0"/>
          <w:pgNumType w:start="4"/>
          <w:cols w:space="425"/>
          <w:titlePg w:val="0"/>
          <w:docGrid w:type="lines" w:linePitch="312"/>
        </w:sectPr>
      </w:pPr>
      <w:r>
        <w:rPr>
          <w:rFonts w:ascii="仿宋_GB2312" w:eastAsia="仿宋_GB2312" w:hAnsi="宋体" w:hint="eastAsia"/>
          <w:sz w:val="30"/>
          <w:szCs w:val="30"/>
        </w:rPr>
        <w:t>本预案主要参照了以下国家规范制度及指南：</w:t>
      </w:r>
    </w:p>
    <w:p w:rsidR="008A2024" w14:paraId="1B0EB2AD"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《中华人民共和国网络安全法》，2017年6月1日起施行；</w:t>
      </w:r>
    </w:p>
    <w:p w:rsidR="008A2024" w14:paraId="1DE9527E"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《国家网络安全事件应急预案》，2017年1月10日起施行；</w:t>
      </w:r>
    </w:p>
    <w:p w:rsidR="008A2024" w14:paraId="1B0E75BB"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《公共互联网网络安全突发事件应急预案》，2017年11月14日起施行；</w:t>
      </w:r>
    </w:p>
    <w:p w:rsidR="008A2024" w14:paraId="14C74521"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《国家突发公共事件总体应急预案》，2006年1月8日起实施；</w:t>
      </w:r>
    </w:p>
    <w:p w:rsidR="008A2024" w14:paraId="3BB3AD53"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《突发事件应急预案管理办法》，2013年10月25日起施行；</w:t>
      </w:r>
    </w:p>
    <w:p w:rsidR="008A2024" w14:paraId="770D14AD"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《公共互联网网络安全威胁监测与处置办法》，2018年1月1日起施行；</w:t>
      </w:r>
    </w:p>
    <w:p w:rsidR="008A2024" w14:paraId="4BDF34A5"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《国家通信保障应急预案》，2011年12月10日修订；</w:t>
      </w:r>
    </w:p>
    <w:p w:rsidR="008A2024" w14:paraId="4CF38B43"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《信息安全技术信息安全事件分类分级指南》，GB/Z20986-2007；</w:t>
      </w:r>
    </w:p>
    <w:p w:rsidR="008A2024" w14:paraId="363263B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《信息安全技术信息安全风险评估规范》，GB/T20984-2007；</w:t>
      </w:r>
    </w:p>
    <w:p w:rsidR="008A2024" w14:paraId="4627CC7A"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《信息技术安全技术信息安全事件管理指南》，GB/Z20985-2007；</w:t>
      </w:r>
    </w:p>
    <w:p w:rsidR="008A2024" w14:paraId="7FDC4739"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《信息安全技术信息系统灾难恢复规范》，GB/T20988-2007；</w:t>
      </w:r>
    </w:p>
    <w:p w:rsidR="008A2024" w14:paraId="40A54CEB"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《信息安全技术信息安全应急响应计划规范》，GB/T24363-2009。</w:t>
      </w:r>
    </w:p>
    <w:p w:rsidR="008A2024" w14:paraId="2084ACEA"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同时，参照了以下公司内部规范制度及指南：</w:t>
      </w:r>
    </w:p>
    <w:p w:rsidR="008A2024" w14:paraId="1CEA42CF"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《XXX数据安全事件应急响应实施指南》，2019年实施；</w:t>
      </w:r>
    </w:p>
    <w:p w:rsidR="008A2024" w14:paraId="6211C2B5"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《XXX网络安全突发事件应急预案》，2019年实施；</w:t>
      </w:r>
    </w:p>
    <w:p w:rsidR="008A2024" w14:paraId="5E678CD8"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《XXX业务支撑网安全事件管理办法》，2009年实施；</w:t>
      </w:r>
    </w:p>
    <w:p w:rsidR="008A2024" w14:paraId="4593144F"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《XXX网络与信息安全事件应急处置流程》，2012年实施；</w:t>
      </w:r>
    </w:p>
    <w:p w:rsidR="008A2024" w14:paraId="367EEC5F"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《XXX互联网网络安全应急处理预案》，2008年实施；</w:t>
      </w:r>
    </w:p>
    <w:p w:rsidR="008A2024" w14:paraId="3E3ED1E7" w14:textId="77777777">
      <w:pPr>
        <w:adjustRightInd w:val="0"/>
        <w:snapToGrid w:val="0"/>
        <w:spacing w:line="560" w:lineRule="exact"/>
        <w:ind w:firstLine="600" w:firstLineChars="200"/>
        <w:rPr>
          <w:rFonts w:ascii="仿宋_GB2312" w:eastAsia="仿宋_GB2312" w:hAnsi="宋体"/>
          <w:sz w:val="30"/>
          <w:szCs w:val="30"/>
        </w:rPr>
        <w:sectPr>
          <w:headerReference w:type="default" r:id="rId10"/>
          <w:type w:val="nextPage"/>
          <w:pgSz w:w="11906" w:h="16838"/>
          <w:pgMar w:top="1440" w:right="1558" w:bottom="1440" w:left="1800" w:header="851" w:footer="992" w:gutter="0"/>
          <w:pgNumType w:start="5"/>
          <w:cols w:space="425"/>
          <w:titlePg w:val="0"/>
          <w:docGrid w:type="lines" w:linePitch="312"/>
        </w:sectPr>
      </w:pPr>
    </w:p>
    <w:p w:rsidR="008A202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《XXX重特大事件期间的信息安全保障应急预案》，2012年实施；</w:t>
      </w:r>
    </w:p>
    <w:p w:rsidR="008A2024" w14:paraId="0B075926"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《XXX安全事件管理办法》，2008年实施；</w:t>
      </w:r>
    </w:p>
    <w:p w:rsidR="008A2024" w14:paraId="33F3AC32"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《XXXXXX公司业务支撑网重要信息系统数据泄露事件专项应急预案》，2017年实施；</w:t>
      </w:r>
    </w:p>
    <w:p w:rsidR="008A2024" w14:paraId="2621C625"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《XXXXXX公司业务支撑网安全事件应急预案》，2017年实施。</w:t>
      </w:r>
    </w:p>
    <w:p w:rsidR="008A2024" w14:paraId="78BB33F5" w14:textId="77777777">
      <w:pPr>
        <w:pStyle w:val="Heading2"/>
        <w:numPr>
          <w:ilvl w:val="0"/>
          <w:numId w:val="0"/>
        </w:numPr>
        <w:spacing w:before="0" w:after="0" w:line="560" w:lineRule="exact"/>
        <w:rPr>
          <w:rFonts w:ascii="楷体_GB2312" w:eastAsia="楷体_GB2312"/>
          <w:b w:val="0"/>
          <w:bCs w:val="0"/>
        </w:rPr>
      </w:pPr>
      <w:bookmarkStart w:id="13" w:name="_Toc18941437"/>
      <w:r>
        <w:rPr>
          <w:rFonts w:ascii="楷体_GB2312" w:eastAsia="楷体_GB2312" w:hint="eastAsia"/>
          <w:b w:val="0"/>
          <w:bCs w:val="0"/>
        </w:rPr>
        <w:t>2.2适用范围</w:t>
      </w:r>
      <w:bookmarkEnd w:id="10"/>
      <w:bookmarkEnd w:id="11"/>
      <w:bookmarkEnd w:id="12"/>
      <w:bookmarkEnd w:id="13"/>
    </w:p>
    <w:p w:rsidR="008A2024" w14:paraId="40C538E3"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本应急预案适用于</w:t>
      </w:r>
      <w:r>
        <w:rPr>
          <w:rFonts w:ascii="仿宋_GB2312" w:eastAsia="仿宋_GB2312" w:hAnsi="宋体"/>
          <w:sz w:val="30"/>
          <w:szCs w:val="30"/>
        </w:rPr>
        <w:t>XXX</w:t>
      </w:r>
      <w:r>
        <w:rPr>
          <w:rFonts w:ascii="仿宋_GB2312" w:eastAsia="仿宋_GB2312" w:hAnsi="宋体" w:hint="eastAsia"/>
          <w:sz w:val="30"/>
          <w:szCs w:val="30"/>
        </w:rPr>
        <w:t>XXX省公司各部门、各地市分公司（以下简称各单位），为各单位开展数据安全事件应急处置，提供必要的指导性说明。</w:t>
      </w:r>
    </w:p>
    <w:p w:rsidR="008A2024" w14:paraId="6924321B"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本应急预案所称数据安全事件，是指针对用户个人信息、集团客户信息、业务平台数据、网络运行数据等公司数据资产的可用性被破坏、数据被泄露、数据被违规使用，数据被滥用，数据被篡改，数据被损毁等。造成或可能影响国家安全、社会稳定、公司利益受损、客户合法权益受侵害等危害，需要采取应急处置措施予以应对的突发事件。</w:t>
      </w:r>
    </w:p>
    <w:p w:rsidR="008A2024" w14:paraId="2CA32740" w14:textId="77777777">
      <w:pPr>
        <w:pStyle w:val="Heading2"/>
        <w:numPr>
          <w:ilvl w:val="0"/>
          <w:numId w:val="0"/>
        </w:numPr>
        <w:spacing w:before="0" w:after="0" w:line="560" w:lineRule="exact"/>
        <w:rPr>
          <w:rFonts w:ascii="楷体_GB2312" w:eastAsia="楷体_GB2312"/>
          <w:b w:val="0"/>
          <w:bCs w:val="0"/>
        </w:rPr>
      </w:pPr>
      <w:bookmarkStart w:id="14" w:name="_Toc440546100"/>
      <w:bookmarkStart w:id="15" w:name="_Toc301704558"/>
      <w:bookmarkStart w:id="16" w:name="_Toc386120417"/>
      <w:bookmarkStart w:id="17" w:name="_Toc323219872"/>
      <w:bookmarkStart w:id="18" w:name="_Toc18941438"/>
      <w:r>
        <w:rPr>
          <w:rFonts w:ascii="楷体_GB2312" w:eastAsia="楷体_GB2312" w:hint="eastAsia"/>
          <w:b w:val="0"/>
          <w:bCs w:val="0"/>
        </w:rPr>
        <w:t>2.3基本原则</w:t>
      </w:r>
      <w:bookmarkEnd w:id="14"/>
      <w:bookmarkEnd w:id="15"/>
      <w:bookmarkEnd w:id="16"/>
      <w:bookmarkEnd w:id="17"/>
      <w:bookmarkEnd w:id="18"/>
    </w:p>
    <w:p w:rsidR="008A2024" w14:paraId="0A259C3E"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坚持统一领导、分级负责；坚持统一指挥、密切协同、快速反应、科学处置；坚持预防为主，预防与应急相结合；坚持谁主管谁负责、谁运行谁负责，分工协作，内外联动，充分发挥各方面力量共同做好XXXXXX公司数据安全事件的预防和处置工作。</w:t>
      </w:r>
    </w:p>
    <w:p w:rsidR="008A2024" w14:paraId="5FE7AFC4" w14:textId="77777777">
      <w:pPr>
        <w:pStyle w:val="Heading2"/>
        <w:numPr>
          <w:ilvl w:val="0"/>
          <w:numId w:val="0"/>
        </w:numPr>
        <w:spacing w:before="0" w:after="0" w:line="560" w:lineRule="exact"/>
        <w:rPr>
          <w:rFonts w:ascii="楷体_GB2312" w:eastAsia="楷体_GB2312"/>
          <w:b w:val="0"/>
          <w:bCs w:val="0"/>
        </w:rPr>
      </w:pPr>
      <w:bookmarkStart w:id="19" w:name="_Toc18941439"/>
      <w:r>
        <w:rPr>
          <w:rFonts w:ascii="楷体_GB2312" w:eastAsia="楷体_GB2312" w:hint="eastAsia"/>
          <w:b w:val="0"/>
          <w:bCs w:val="0"/>
        </w:rPr>
        <w:t>2.4</w:t>
      </w:r>
      <w:bookmarkStart w:id="20" w:name="_Toc15915501"/>
      <w:bookmarkStart w:id="21" w:name="_Toc15915504"/>
      <w:bookmarkStart w:id="22" w:name="_Toc15915506"/>
      <w:bookmarkStart w:id="23" w:name="_Toc15915510"/>
      <w:bookmarkStart w:id="24" w:name="_Toc15915505"/>
      <w:bookmarkStart w:id="25" w:name="_Toc15915507"/>
      <w:bookmarkStart w:id="26" w:name="_Toc15915508"/>
      <w:bookmarkStart w:id="27" w:name="_Toc15915511"/>
      <w:bookmarkStart w:id="28" w:name="_Toc15915503"/>
      <w:bookmarkStart w:id="29" w:name="_Toc15915502"/>
      <w:bookmarkStart w:id="30" w:name="_Toc15915509"/>
      <w:bookmarkEnd w:id="20"/>
      <w:bookmarkEnd w:id="21"/>
      <w:bookmarkEnd w:id="22"/>
      <w:bookmarkEnd w:id="23"/>
      <w:bookmarkEnd w:id="24"/>
      <w:bookmarkEnd w:id="25"/>
      <w:bookmarkEnd w:id="26"/>
      <w:bookmarkEnd w:id="27"/>
      <w:bookmarkEnd w:id="28"/>
      <w:bookmarkEnd w:id="29"/>
      <w:bookmarkEnd w:id="30"/>
      <w:r>
        <w:rPr>
          <w:rFonts w:ascii="楷体_GB2312" w:eastAsia="楷体_GB2312" w:hint="eastAsia"/>
          <w:b w:val="0"/>
          <w:bCs w:val="0"/>
        </w:rPr>
        <w:t>发布与生效</w:t>
      </w:r>
      <w:bookmarkEnd w:id="19"/>
    </w:p>
    <w:p w:rsidR="008A2024" w14:paraId="564EE9B6"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本预案从发布之日起生效。</w:t>
      </w:r>
    </w:p>
    <w:p w:rsidR="008A2024" w14:paraId="2C68E075" w14:textId="77777777">
      <w:pPr>
        <w:pStyle w:val="Heading1"/>
        <w:numPr>
          <w:ilvl w:val="0"/>
          <w:numId w:val="0"/>
        </w:numPr>
        <w:spacing w:line="560" w:lineRule="exact"/>
        <w:rPr>
          <w:rFonts w:ascii="黑体" w:hAnsi="黑体"/>
          <w:b w:val="0"/>
          <w:bCs w:val="0"/>
          <w:lang w:eastAsia="zh-CN"/>
        </w:rPr>
      </w:pPr>
      <w:bookmarkStart w:id="31" w:name="_Toc18941440"/>
      <w:bookmarkStart w:id="32" w:name="_Toc440546101"/>
      <w:r>
        <w:rPr>
          <w:rFonts w:ascii="黑体" w:hAnsi="黑体"/>
          <w:b w:val="0"/>
          <w:bCs w:val="0"/>
          <w:lang w:eastAsia="zh-CN"/>
        </w:rPr>
        <w:t>3.</w:t>
      </w:r>
      <w:r>
        <w:rPr>
          <w:rFonts w:ascii="黑体" w:hAnsi="黑体" w:hint="eastAsia"/>
          <w:b w:val="0"/>
          <w:bCs w:val="0"/>
          <w:lang w:eastAsia="zh-CN"/>
        </w:rPr>
        <w:t>组织与职责</w:t>
      </w:r>
      <w:bookmarkEnd w:id="31"/>
      <w:bookmarkEnd w:id="32"/>
    </w:p>
    <w:p w:rsidR="008A2024" w14:paraId="4E77AD36" w14:textId="77777777">
      <w:pPr>
        <w:adjustRightInd w:val="0"/>
        <w:snapToGrid w:val="0"/>
        <w:spacing w:line="560" w:lineRule="exact"/>
        <w:ind w:firstLine="600" w:firstLineChars="200"/>
        <w:rPr>
          <w:rFonts w:ascii="仿宋_GB2312" w:eastAsia="仿宋_GB2312" w:hAnsi="宋体"/>
          <w:sz w:val="30"/>
          <w:szCs w:val="30"/>
        </w:rPr>
        <w:sectPr>
          <w:headerReference w:type="default" r:id="rId11"/>
          <w:type w:val="nextPage"/>
          <w:pgSz w:w="11906" w:h="16838"/>
          <w:pgMar w:top="1440" w:right="1558" w:bottom="1440" w:left="1800" w:header="851" w:footer="992" w:gutter="0"/>
          <w:pgNumType w:start="6"/>
          <w:cols w:space="425"/>
          <w:titlePg w:val="0"/>
          <w:docGrid w:type="lines" w:linePitch="312"/>
        </w:sectPr>
      </w:pPr>
      <w:bookmarkStart w:id="33" w:name="_Toc408930911"/>
    </w:p>
    <w:p w:rsidR="008A202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参考GB/T24363-2009（《信息安全技术信息安全应急响应计划规范》），基于公司整体突发事件应急管理机制，结合现有职责部门，XXXXXX建立了应急响应的组织架构，确保及时有效地实施专项应急处置工作。</w:t>
      </w:r>
    </w:p>
    <w:p w:rsidR="008A2024" w14:paraId="603CE01C"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组织架构中包含如下小组或部门：应急保障领导小组、应急保障领导办公室、应急响应技术保障部门、应急响应实施小组。应急响应过程需要公司多部门协同工作，共同应对已发生的数据安全事件。各小组或部门间的相互关系如下图所示。</w:t>
      </w:r>
    </w:p>
    <w:p w:rsidR="008A2024" w14:paraId="1A6E76CE" w14:textId="77777777">
      <w:pPr>
        <w:adjustRightInd w:val="0"/>
        <w:snapToGrid w:val="0"/>
        <w:spacing w:line="480" w:lineRule="auto"/>
        <w:jc w:val="center"/>
        <w:rPr>
          <w:rFonts w:ascii="仿宋_GB2312" w:eastAsia="仿宋_GB2312" w:hAnsi="宋体"/>
          <w:sz w:val="30"/>
          <w:szCs w:val="30"/>
        </w:rPr>
      </w:pPr>
      <w:r>
        <w:rPr>
          <w:rFonts w:ascii="仿宋_GB2312" w:eastAsia="仿宋_GB2312" w:hAnsi="宋体"/>
          <w:noProof/>
          <w:sz w:val="30"/>
          <w:szCs w:val="30"/>
        </w:rPr>
        <w:drawing>
          <wp:inline distT="0" distB="0" distL="0" distR="0">
            <wp:extent cx="3532505" cy="2399665"/>
            <wp:effectExtent l="0" t="0" r="0" b="0"/>
            <wp:docPr id="478" name="图片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图片 478"/>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3553748" cy="2413732"/>
                    </a:xfrm>
                    <a:prstGeom prst="rect">
                      <a:avLst/>
                    </a:prstGeom>
                    <a:noFill/>
                  </pic:spPr>
                </pic:pic>
              </a:graphicData>
            </a:graphic>
          </wp:inline>
        </w:drawing>
      </w:r>
    </w:p>
    <w:p w:rsidR="008A2024" w14:paraId="1AD06E24" w14:textId="77777777">
      <w:pPr>
        <w:spacing w:line="360" w:lineRule="auto"/>
        <w:ind w:firstLine="480" w:firstLineChars="200"/>
        <w:jc w:val="center"/>
        <w:rPr>
          <w:rFonts w:ascii="仿宋_GB2312" w:eastAsia="仿宋_GB2312" w:hAnsi="Arial"/>
          <w:sz w:val="24"/>
        </w:rPr>
      </w:pPr>
      <w:r>
        <w:rPr>
          <w:rFonts w:ascii="仿宋_GB2312" w:eastAsia="仿宋_GB2312" w:hAnsi="Arial" w:hint="eastAsia"/>
          <w:sz w:val="24"/>
        </w:rPr>
        <w:t>图3-1应急响应组织机构间的关系</w:t>
      </w:r>
    </w:p>
    <w:p w:rsidR="008A2024" w14:paraId="491E227C" w14:textId="77777777">
      <w:pPr>
        <w:rPr>
          <w:rFonts w:ascii="仿宋_GB2312" w:eastAsia="仿宋_GB2312"/>
        </w:rPr>
      </w:pPr>
    </w:p>
    <w:p w:rsidR="008A2024" w14:paraId="241DCCDC" w14:textId="77777777">
      <w:pPr>
        <w:pStyle w:val="Heading2"/>
        <w:numPr>
          <w:ilvl w:val="0"/>
          <w:numId w:val="0"/>
        </w:numPr>
        <w:spacing w:before="0" w:after="0" w:line="560" w:lineRule="exact"/>
        <w:rPr>
          <w:rFonts w:ascii="楷体_GB2312" w:eastAsia="楷体_GB2312"/>
          <w:b w:val="0"/>
          <w:bCs w:val="0"/>
        </w:rPr>
      </w:pPr>
      <w:bookmarkStart w:id="34" w:name="_Toc18941441"/>
      <w:r>
        <w:rPr>
          <w:rFonts w:ascii="楷体_GB2312" w:eastAsia="楷体_GB2312" w:hint="eastAsia"/>
          <w:b w:val="0"/>
          <w:bCs w:val="0"/>
        </w:rPr>
        <w:t>3.1应急保障领导小组</w:t>
      </w:r>
      <w:bookmarkEnd w:id="33"/>
      <w:bookmarkEnd w:id="34"/>
    </w:p>
    <w:p w:rsidR="008A2024" w14:paraId="2648D749"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XXXXXX中心安全领导小组承担省公司级数据安全事件应急保障领导小组职责，指导开展全省的数据安全事件应急响应制度建设、安全策略制定、重大事件决策等。</w:t>
      </w:r>
    </w:p>
    <w:p w:rsidR="008A2024" w14:paraId="5377CA4F"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主要职责：</w:t>
      </w:r>
    </w:p>
    <w:p w:rsidR="008A2024" w14:paraId="35991AC8"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（1）应急响应工作的启动和终止；对应急响应工作的支持，</w:t>
      </w:r>
      <w:r>
        <w:rPr>
          <w:rFonts w:ascii="仿宋_GB2312" w:eastAsia="仿宋_GB2312" w:hAnsi="宋体" w:hint="eastAsia"/>
          <w:sz w:val="30"/>
          <w:szCs w:val="30"/>
        </w:rPr>
        <w:t>提供必要资源（人、财、物）等；</w:t>
      </w:r>
    </w:p>
    <w:p w:rsidR="008A2024" w14:paraId="4DA53B94" w14:textId="77777777">
      <w:pPr>
        <w:adjustRightInd w:val="0"/>
        <w:snapToGrid w:val="0"/>
        <w:spacing w:line="560" w:lineRule="exact"/>
        <w:ind w:firstLine="600" w:firstLineChars="200"/>
        <w:rPr>
          <w:rFonts w:ascii="仿宋_GB2312" w:eastAsia="仿宋_GB2312" w:hAnsi="宋体"/>
          <w:sz w:val="30"/>
          <w:szCs w:val="30"/>
        </w:rPr>
        <w:sectPr>
          <w:headerReference w:type="default" r:id="rId13"/>
          <w:type w:val="nextPage"/>
          <w:pgSz w:w="11906" w:h="16838"/>
          <w:pgMar w:top="1440" w:right="1558" w:bottom="1440" w:left="1800" w:header="851" w:footer="992" w:gutter="0"/>
          <w:pgNumType w:start="7"/>
          <w:cols w:space="425"/>
          <w:titlePg w:val="0"/>
          <w:docGrid w:type="lines" w:linePitch="312"/>
        </w:sectPr>
      </w:pPr>
      <w:r>
        <w:rPr>
          <w:rFonts w:ascii="仿宋_GB2312" w:eastAsia="仿宋_GB2312" w:hAnsi="宋体" w:hint="eastAsia"/>
          <w:sz w:val="30"/>
          <w:szCs w:val="30"/>
        </w:rPr>
        <w:t>（2）审核并批准应急响应策略、应急预案；批准和监督应急预案的执行；</w:t>
      </w:r>
    </w:p>
    <w:p w:rsidR="008A2024" w14:paraId="56EB7D32"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（3）应急预案定期评审和修订的启动；</w:t>
      </w:r>
    </w:p>
    <w:p w:rsidR="008A2024" w14:paraId="232EDE9A"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（4）负责组织内部和外部的协调工作；</w:t>
      </w:r>
    </w:p>
    <w:p w:rsidR="008A2024" w14:paraId="581E81F3" w14:textId="77777777">
      <w:pPr>
        <w:pStyle w:val="Heading2"/>
        <w:numPr>
          <w:ilvl w:val="0"/>
          <w:numId w:val="0"/>
        </w:numPr>
        <w:spacing w:before="0" w:after="0" w:line="560" w:lineRule="exact"/>
        <w:rPr>
          <w:rFonts w:ascii="楷体_GB2312" w:eastAsia="楷体_GB2312"/>
          <w:b w:val="0"/>
          <w:bCs w:val="0"/>
        </w:rPr>
      </w:pPr>
      <w:bookmarkStart w:id="35" w:name="_Toc408930914"/>
      <w:bookmarkStart w:id="36" w:name="_Toc18941442"/>
      <w:r>
        <w:rPr>
          <w:rFonts w:ascii="楷体_GB2312" w:eastAsia="楷体_GB2312" w:hint="eastAsia"/>
          <w:b w:val="0"/>
          <w:bCs w:val="0"/>
        </w:rPr>
        <w:t>3.2</w:t>
      </w:r>
      <w:bookmarkEnd w:id="35"/>
      <w:r>
        <w:rPr>
          <w:rFonts w:ascii="楷体_GB2312" w:eastAsia="楷体_GB2312" w:hint="eastAsia"/>
          <w:b w:val="0"/>
          <w:bCs w:val="0"/>
        </w:rPr>
        <w:t>应急保障领导办公室</w:t>
      </w:r>
      <w:bookmarkEnd w:id="36"/>
    </w:p>
    <w:p w:rsidR="008A2024" w14:paraId="256C3679"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XXXXXX中心</w:t>
      </w:r>
      <w:r>
        <w:rPr>
          <w:rFonts w:ascii="仿宋_GB2312" w:eastAsia="仿宋_GB2312" w:hint="eastAsia"/>
          <w:spacing w:val="10"/>
          <w:sz w:val="32"/>
          <w:szCs w:val="32"/>
        </w:rPr>
        <w:t>安全领导小组办公室</w:t>
      </w:r>
      <w:r>
        <w:rPr>
          <w:rFonts w:ascii="仿宋_GB2312" w:eastAsia="仿宋_GB2312" w:hAnsi="宋体" w:hint="eastAsia"/>
          <w:sz w:val="30"/>
          <w:szCs w:val="30"/>
        </w:rPr>
        <w:t>承担数据安全事件应急保障领导办公室工作职责。开展全省的数据安全事件应急响应制度建设、安全策略制定等，组织应急预案的测试、培训和演练，统一对上级有关单位或部门报告数据安全突发事件情况。</w:t>
      </w:r>
    </w:p>
    <w:p w:rsidR="008A2024" w14:paraId="437288B6"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1.人员组成</w:t>
      </w:r>
    </w:p>
    <w:p w:rsidR="008A2024" w14:paraId="1BF39645"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组长：信息安全管理部总经理</w:t>
      </w:r>
    </w:p>
    <w:p w:rsidR="008A2024" w14:paraId="6AD89AF9"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副组长：综合办公室、市场经营部、政企客户部、品质管理部、网络部、信息技术部分管副总经理。</w:t>
      </w:r>
    </w:p>
    <w:p w:rsidR="008A2024" w14:paraId="12BE2E5B"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组员：综合办公室、市场经营部、政企客户部、品质管理部、网络部、信息技术部相关工作责任人。</w:t>
      </w:r>
    </w:p>
    <w:p w:rsidR="008A2024" w14:paraId="2505221E"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2.主要职责：</w:t>
      </w:r>
    </w:p>
    <w:p w:rsidR="008A2024" w14:paraId="50FA9032"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（1）负责与XXX公司应急保障领导小组的沟通协调，并向本省应急保障领导小组提出相关工作建议；</w:t>
      </w:r>
    </w:p>
    <w:p w:rsidR="008A2024" w14:paraId="377AA9F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（2）组织起草、修改XXXXXX数据安全应急处理预案及相关规定；组织应急预案的测试、培训和演练；执行应急预案的评审、修订任务；</w:t>
      </w:r>
    </w:p>
    <w:p w:rsidR="008A2024" w14:paraId="77D6BCAB"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（3）按照XXXXXX应急保障领导小组下达的命令和指示，具体协调处理数据安全应急工作；</w:t>
      </w:r>
    </w:p>
    <w:p w:rsidR="008A2024" w14:paraId="0410F3D2" w14:textId="77777777">
      <w:pPr>
        <w:adjustRightInd w:val="0"/>
        <w:snapToGrid w:val="0"/>
        <w:spacing w:line="560" w:lineRule="exact"/>
        <w:ind w:firstLine="600" w:firstLineChars="200"/>
        <w:rPr>
          <w:rFonts w:ascii="仿宋_GB2312" w:eastAsia="仿宋_GB2312" w:hAnsi="宋体"/>
          <w:sz w:val="30"/>
          <w:szCs w:val="30"/>
        </w:rPr>
        <w:sectPr>
          <w:headerReference w:type="default" r:id="rId14"/>
          <w:type w:val="nextPage"/>
          <w:pgSz w:w="11906" w:h="16838"/>
          <w:pgMar w:top="1440" w:right="1558" w:bottom="1440" w:left="1800" w:header="851" w:footer="992" w:gutter="0"/>
          <w:pgNumType w:start="8"/>
          <w:cols w:space="425"/>
          <w:titlePg w:val="0"/>
          <w:docGrid w:type="lines" w:linePitch="312"/>
        </w:sectPr>
      </w:pPr>
      <w:r>
        <w:rPr>
          <w:rFonts w:ascii="仿宋_GB2312" w:eastAsia="仿宋_GB2312" w:hAnsi="宋体" w:hint="eastAsia"/>
          <w:sz w:val="30"/>
          <w:szCs w:val="30"/>
        </w:rPr>
        <w:t>（4）负责省公司各相关部门和各市分公司之间的现场指挥协调，接受XXX公司应急保障领导小组的指示，组织省公司各相关部门和各市分公司落实数据安全应急处理技术措施；</w:t>
      </w:r>
    </w:p>
    <w:p w:rsidR="008A2024" w14:paraId="196670F8"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（5）及时收集汇总省公司各相关部门和各市分公司上报/反馈的事件进展情况，向省应急保障领导小组报告并提出建议，并根据相关要求，向XXX公司应急保障领导小组上报相关安全事件处理信息；</w:t>
      </w:r>
    </w:p>
    <w:p w:rsidR="008A2024" w14:paraId="0A089DFB"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（6）承担与集团、省数据安全应急响应技术保障部门、省内其他互联网单位以及其他相关应急响应组织的联络，积极参与数据安全事件应急处理合作。</w:t>
      </w:r>
    </w:p>
    <w:p w:rsidR="008A2024" w14:paraId="07A16F64" w14:textId="77777777">
      <w:pPr>
        <w:pStyle w:val="Heading2"/>
        <w:numPr>
          <w:ilvl w:val="0"/>
          <w:numId w:val="0"/>
        </w:numPr>
        <w:spacing w:before="0" w:after="0" w:line="560" w:lineRule="exact"/>
        <w:rPr>
          <w:rFonts w:ascii="楷体_GB2312" w:eastAsia="楷体_GB2312"/>
          <w:b w:val="0"/>
          <w:bCs w:val="0"/>
        </w:rPr>
      </w:pPr>
      <w:bookmarkStart w:id="37" w:name="_Toc15915515"/>
      <w:bookmarkStart w:id="38" w:name="_Toc18941443"/>
      <w:bookmarkStart w:id="39" w:name="_Toc408930912"/>
      <w:bookmarkEnd w:id="37"/>
      <w:r>
        <w:rPr>
          <w:rFonts w:ascii="楷体_GB2312" w:eastAsia="楷体_GB2312" w:hint="eastAsia"/>
          <w:b w:val="0"/>
          <w:bCs w:val="0"/>
        </w:rPr>
        <w:t>3.3应急响应技术保障部门</w:t>
      </w:r>
      <w:bookmarkEnd w:id="38"/>
      <w:bookmarkEnd w:id="39"/>
    </w:p>
    <w:p w:rsidR="008A2024" w14:paraId="573B1490"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XXXXXX数据安全事件应急响应技术保障部门由网络部、信息技术部、市场部等相关技术部门组成。主要职责包括：</w:t>
      </w:r>
    </w:p>
    <w:p w:rsidR="008A2024" w14:paraId="1090ABDC"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（1）制定数据安全事件技术应对表、具体角色和职责分工细则、应急响应协同调度方案；调研和管理相关技术基础；</w:t>
      </w:r>
    </w:p>
    <w:p w:rsidR="008A2024" w14:paraId="191DDEB5"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（2）对重大数据安全事件进行评估，提出启动应急响应的建议；研究分析数据安全事件的相关情况及发展趋势，为应急响应提供咨询或提出建议；</w:t>
      </w:r>
    </w:p>
    <w:p w:rsidR="008A2024" w14:paraId="29F579AE"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（3）分析数据安全事件原因及造成的危害，为应急响应实施提供建议支持，协调和配合各部门和各市分公司的应急技术处理及演练。</w:t>
      </w:r>
    </w:p>
    <w:p w:rsidR="008A2024" w14:paraId="4949DD5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（4）负责为数据安全应急处理工作提供技术支撑；利用技术手段，对数据安全事件进行监测，及时收集、核实、汇总、分析、上报有关数据安全信息；保持与CMCERT/CC、省内其他互联网单位</w:t>
      </w:r>
      <w:r>
        <w:rPr>
          <w:rFonts w:ascii="仿宋_GB2312" w:eastAsia="仿宋_GB2312" w:hAnsi="宋体" w:hint="eastAsia"/>
          <w:sz w:val="30"/>
          <w:szCs w:val="30"/>
        </w:rPr>
        <w:t>以及其他相关应急响应组织的安全事件应急处理合作。</w:t>
      </w:r>
    </w:p>
    <w:p w:rsidR="008A2024" w14:paraId="31BCC68B" w14:textId="77777777">
      <w:pPr>
        <w:pStyle w:val="Heading2"/>
        <w:numPr>
          <w:ilvl w:val="0"/>
          <w:numId w:val="0"/>
        </w:numPr>
        <w:spacing w:before="0" w:after="0" w:line="560" w:lineRule="exact"/>
        <w:rPr>
          <w:rFonts w:ascii="楷体_GB2312" w:eastAsia="楷体_GB2312"/>
          <w:b w:val="0"/>
          <w:bCs w:val="0"/>
        </w:rPr>
      </w:pPr>
      <w:bookmarkStart w:id="40" w:name="_Toc18941444"/>
      <w:r>
        <w:rPr>
          <w:rFonts w:ascii="楷体_GB2312" w:eastAsia="楷体_GB2312" w:hint="eastAsia"/>
          <w:b w:val="0"/>
          <w:bCs w:val="0"/>
        </w:rPr>
        <w:t>3.4应急响应实施小组</w:t>
      </w:r>
      <w:bookmarkEnd w:id="40"/>
    </w:p>
    <w:p w:rsidR="008A2024" w14:paraId="321992F8" w14:textId="77777777">
      <w:pPr>
        <w:adjustRightInd w:val="0"/>
        <w:snapToGrid w:val="0"/>
        <w:spacing w:line="560" w:lineRule="exact"/>
        <w:ind w:firstLine="600" w:firstLineChars="200"/>
        <w:rPr>
          <w:rFonts w:ascii="仿宋_GB2312" w:eastAsia="仿宋_GB2312" w:hAnsi="宋体"/>
          <w:sz w:val="30"/>
          <w:szCs w:val="30"/>
        </w:rPr>
        <w:sectPr>
          <w:headerReference w:type="default" r:id="rId15"/>
          <w:type w:val="nextPage"/>
          <w:pgSz w:w="11906" w:h="16838"/>
          <w:pgMar w:top="1440" w:right="1558" w:bottom="1440" w:left="1800" w:header="851" w:footer="992" w:gutter="0"/>
          <w:pgNumType w:start="9"/>
          <w:cols w:space="425"/>
          <w:titlePg w:val="0"/>
          <w:docGrid w:type="lines" w:linePitch="312"/>
        </w:sectPr>
      </w:pPr>
    </w:p>
    <w:p w:rsidR="008A202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应急实施小组由综合办公室、市场经营部、政企客户部、品质管理部、网络部、信息技术部及各市分公司组成，主要职责包括：</w:t>
      </w:r>
    </w:p>
    <w:p w:rsidR="008A2024" w14:paraId="1A281115"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（一）综合办公室：</w:t>
      </w:r>
    </w:p>
    <w:p w:rsidR="008A2024" w14:paraId="0E241611"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与相关政府管理部门、新闻媒体保持联络和协作，提供法律事务支持。</w:t>
      </w:r>
    </w:p>
    <w:p w:rsidR="008A2024" w14:paraId="196F4FF0"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（二）市场经营部：</w:t>
      </w:r>
    </w:p>
    <w:p w:rsidR="008A2024" w14:paraId="5E5A61C8"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1、实体营业厅、渠道管理；网厅、掌厅、便利店、八闽生活2</w:t>
      </w:r>
      <w:r>
        <w:rPr>
          <w:rFonts w:ascii="仿宋_GB2312" w:eastAsia="仿宋_GB2312" w:hAnsi="宋体"/>
          <w:sz w:val="30"/>
          <w:szCs w:val="30"/>
        </w:rPr>
        <w:t>4小时营业厅</w:t>
      </w:r>
      <w:r>
        <w:rPr>
          <w:rFonts w:ascii="仿宋_GB2312" w:eastAsia="仿宋_GB2312" w:hAnsi="宋体" w:hint="eastAsia"/>
          <w:sz w:val="30"/>
          <w:szCs w:val="30"/>
        </w:rPr>
        <w:t>等自建系统或应用，以及相关微信公众号等的应急处理；</w:t>
      </w:r>
    </w:p>
    <w:p w:rsidR="008A2024" w14:paraId="4C662D51"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sz w:val="30"/>
          <w:szCs w:val="30"/>
        </w:rPr>
        <w:t>2</w:t>
      </w:r>
      <w:r>
        <w:rPr>
          <w:rFonts w:ascii="仿宋_GB2312" w:eastAsia="仿宋_GB2312" w:hAnsi="宋体" w:hint="eastAsia"/>
          <w:sz w:val="30"/>
          <w:szCs w:val="30"/>
        </w:rPr>
        <w:t>、各类营销活动的数据安全管控，特别是涉敏数据流转管控；</w:t>
      </w:r>
    </w:p>
    <w:p w:rsidR="008A2024" w14:paraId="06E55957"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3、BOP、IBOP等账号封堵，及真实使用者溯源。</w:t>
      </w:r>
    </w:p>
    <w:p w:rsidR="008A2024" w14:paraId="27A11B13"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（三）政企客户部</w:t>
      </w:r>
    </w:p>
    <w:p w:rsidR="008A2024" w14:paraId="6A9871C8"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1、集团产品、行业端口、MAS信息机等政企业务，M</w:t>
      </w:r>
      <w:r>
        <w:rPr>
          <w:rFonts w:ascii="仿宋_GB2312" w:eastAsia="仿宋_GB2312" w:hAnsi="宋体"/>
          <w:sz w:val="30"/>
          <w:szCs w:val="30"/>
        </w:rPr>
        <w:t>OP</w:t>
      </w:r>
      <w:r>
        <w:rPr>
          <w:rFonts w:ascii="仿宋_GB2312" w:eastAsia="仿宋_GB2312" w:hAnsi="宋体" w:hint="eastAsia"/>
          <w:sz w:val="30"/>
          <w:szCs w:val="30"/>
        </w:rPr>
        <w:t>、ESOP等自建系统或应用，及相关微信公众号等的应急处理；拟定涉及集团客户感知的统一口径信息，做好签约集团客户的解释、疏导工作。</w:t>
      </w:r>
    </w:p>
    <w:p w:rsidR="008A2024" w14:paraId="7551E33D"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sz w:val="30"/>
          <w:szCs w:val="30"/>
        </w:rPr>
        <w:t>2</w:t>
      </w:r>
      <w:r>
        <w:rPr>
          <w:rFonts w:ascii="仿宋_GB2312" w:eastAsia="仿宋_GB2312" w:hAnsi="宋体" w:hint="eastAsia"/>
          <w:sz w:val="30"/>
          <w:szCs w:val="30"/>
        </w:rPr>
        <w:t>、各类营销活动的数据安全管控，特别是涉敏数据流转管控。</w:t>
      </w:r>
    </w:p>
    <w:p w:rsidR="008A2024" w14:paraId="61879657"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（四）品质管理部：</w:t>
      </w:r>
    </w:p>
    <w:p w:rsidR="008A2024" w14:paraId="299F7920"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统一协调客户服务管理工作；牵头组织涉及客户感知的统一口径信息；梳理内部通道，接受与客户信息等数据安全有关的投诉；组织协调对客户的解释、疏导工作，维护企业良好形象。</w:t>
      </w:r>
    </w:p>
    <w:p w:rsidR="008A2024" w14:paraId="65F67B38"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（五）网络部</w:t>
      </w:r>
    </w:p>
    <w:p w:rsidR="008A2024" w14:paraId="3BE1EED5" w14:textId="77777777">
      <w:pPr>
        <w:adjustRightInd w:val="0"/>
        <w:snapToGrid w:val="0"/>
        <w:spacing w:line="560" w:lineRule="exact"/>
        <w:ind w:firstLine="600" w:firstLineChars="200"/>
        <w:rPr>
          <w:rFonts w:ascii="仿宋_GB2312" w:eastAsia="仿宋_GB2312" w:hAnsi="宋体"/>
          <w:sz w:val="30"/>
          <w:szCs w:val="30"/>
        </w:rPr>
        <w:sectPr>
          <w:headerReference w:type="default" r:id="rId16"/>
          <w:type w:val="nextPage"/>
          <w:pgSz w:w="11906" w:h="16838"/>
          <w:pgMar w:top="1440" w:right="1558" w:bottom="1440" w:left="1800" w:header="851" w:footer="992" w:gutter="0"/>
          <w:pgNumType w:start="10"/>
          <w:cols w:space="425"/>
          <w:titlePg w:val="0"/>
          <w:docGrid w:type="lines" w:linePitch="312"/>
        </w:sectPr>
      </w:pPr>
      <w:r>
        <w:rPr>
          <w:rFonts w:ascii="仿宋_GB2312" w:eastAsia="仿宋_GB2312" w:hAnsi="宋体" w:hint="eastAsia"/>
          <w:sz w:val="30"/>
          <w:szCs w:val="30"/>
        </w:rPr>
        <w:t>1、施工调度系统等自建系统或应用，以及相关微信公众号等</w:t>
      </w:r>
      <w:r>
        <w:rPr>
          <w:rFonts w:ascii="仿宋_GB2312" w:eastAsia="仿宋_GB2312" w:hAnsi="宋体" w:hint="eastAsia"/>
          <w:sz w:val="30"/>
          <w:szCs w:val="30"/>
        </w:rPr>
        <w:t>的应急处理；</w:t>
      </w:r>
    </w:p>
    <w:p w:rsidR="008A2024" w14:paraId="659432E6"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sz w:val="30"/>
          <w:szCs w:val="30"/>
        </w:rPr>
        <w:t>2</w:t>
      </w:r>
      <w:r>
        <w:rPr>
          <w:rFonts w:ascii="仿宋_GB2312" w:eastAsia="仿宋_GB2312" w:hAnsi="宋体" w:hint="eastAsia"/>
          <w:sz w:val="30"/>
          <w:szCs w:val="30"/>
        </w:rPr>
        <w:t>、数据流量，家宽等IP真实地址溯源及封堵。</w:t>
      </w:r>
    </w:p>
    <w:p w:rsidR="008A2024" w14:paraId="01719360" w14:textId="77777777">
      <w:pPr>
        <w:pStyle w:val="Heading1"/>
        <w:numPr>
          <w:ilvl w:val="0"/>
          <w:numId w:val="0"/>
        </w:numPr>
        <w:spacing w:line="560" w:lineRule="exact"/>
        <w:rPr>
          <w:rFonts w:ascii="黑体" w:hAnsi="黑体"/>
          <w:b w:val="0"/>
          <w:bCs w:val="0"/>
          <w:lang w:eastAsia="zh-CN"/>
        </w:rPr>
      </w:pPr>
      <w:bookmarkStart w:id="41" w:name="_Toc18941445"/>
      <w:r>
        <w:rPr>
          <w:rFonts w:ascii="黑体" w:hAnsi="黑体"/>
          <w:b w:val="0"/>
          <w:bCs w:val="0"/>
          <w:lang w:eastAsia="zh-CN"/>
        </w:rPr>
        <w:t>4.</w:t>
      </w:r>
      <w:r>
        <w:rPr>
          <w:rFonts w:ascii="黑体" w:hAnsi="黑体" w:hint="eastAsia"/>
          <w:b w:val="0"/>
          <w:bCs w:val="0"/>
          <w:lang w:eastAsia="zh-CN"/>
        </w:rPr>
        <w:t>数据安全事件分级</w:t>
      </w:r>
      <w:bookmarkEnd w:id="41"/>
    </w:p>
    <w:p w:rsidR="008A2024" w14:paraId="7D2F79FA" w14:textId="77777777">
      <w:pPr>
        <w:adjustRightInd w:val="0"/>
        <w:snapToGrid w:val="0"/>
        <w:spacing w:line="560" w:lineRule="exact"/>
        <w:ind w:firstLine="600" w:firstLineChars="200"/>
        <w:rPr>
          <w:rFonts w:ascii="仿宋_GB2312" w:eastAsia="仿宋_GB2312" w:hAnsi="宋体"/>
          <w:sz w:val="30"/>
          <w:szCs w:val="30"/>
        </w:rPr>
      </w:pPr>
      <w:bookmarkStart w:id="42" w:name="_Toc15915532"/>
      <w:bookmarkStart w:id="43" w:name="_Toc15915534"/>
      <w:bookmarkStart w:id="44" w:name="_Toc15915533"/>
      <w:bookmarkEnd w:id="42"/>
      <w:bookmarkEnd w:id="43"/>
      <w:bookmarkEnd w:id="44"/>
      <w:r>
        <w:rPr>
          <w:rFonts w:ascii="仿宋_GB2312" w:eastAsia="仿宋_GB2312" w:hAnsi="宋体" w:hint="eastAsia"/>
          <w:sz w:val="30"/>
          <w:szCs w:val="30"/>
        </w:rPr>
        <w:t>根据GB/T20986-2007（《信息安全技术信息安全事件分类分级指南》）和数据安全事件对国家安全、社会稳定、公众权益、公司利益和声誉的影响程度，并按照数据安全事件的影响范围及持续时间等因素，结合公司实际，将数据安全事件分为四级：特别重大数据安全事件（一级）、重大数据安全事件（二级）、较大数据安全事件（三级）和一般数据安全事件（四级）。当数据安全事件同时满足多个级别的定级条件时，按最高级别确定数据安全事件等级。</w:t>
      </w:r>
    </w:p>
    <w:p w:rsidR="008A2024" w14:paraId="21675D31" w14:textId="77777777">
      <w:pPr>
        <w:pStyle w:val="Heading2"/>
        <w:numPr>
          <w:ilvl w:val="0"/>
          <w:numId w:val="0"/>
        </w:numPr>
        <w:spacing w:before="0" w:after="0" w:line="560" w:lineRule="exact"/>
        <w:rPr>
          <w:rFonts w:ascii="楷体_GB2312" w:eastAsia="楷体_GB2312"/>
          <w:b w:val="0"/>
          <w:bCs w:val="0"/>
        </w:rPr>
      </w:pPr>
      <w:bookmarkStart w:id="45" w:name="_Toc18941446"/>
      <w:bookmarkEnd w:id="1"/>
      <w:bookmarkEnd w:id="2"/>
      <w:r>
        <w:rPr>
          <w:rFonts w:ascii="楷体_GB2312" w:eastAsia="楷体_GB2312" w:hint="eastAsia"/>
          <w:b w:val="0"/>
          <w:bCs w:val="0"/>
        </w:rPr>
        <w:t>4.1特别重大数据安全事件（一级）</w:t>
      </w:r>
      <w:bookmarkEnd w:id="45"/>
    </w:p>
    <w:p w:rsidR="008A2024" w14:paraId="156ED913"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特别重大数据安全事件是指其发生能够导致特别严重的影响或破坏的数据安全事件。符合下列情形之一的，为特别重大数据安全事件（一级）：</w:t>
      </w:r>
    </w:p>
    <w:p w:rsidR="008A2024" w14:paraId="588A7130"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1.数据被损坏、丢失且无法恢复，或数据泄露、非法使用，造成经营秩序混乱或重大经济损失、极大影响公司业务稳定，或对全国用户产生负面影响的；</w:t>
      </w:r>
    </w:p>
    <w:p w:rsidR="008A2024" w14:paraId="52251C9F"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2.国家秘密信息、重要敏感信息和关键数据丢失或被窃取、篡改、假冒，对国家安全和社会稳定构成特别严重威胁；</w:t>
      </w:r>
    </w:p>
    <w:p w:rsidR="008A2024" w14:paraId="74C7E5F6"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3.发生特别严重用户信息泄露事件，造成1亿条以上用户信息泄露的；</w:t>
      </w:r>
    </w:p>
    <w:p w:rsidR="008A2024" w14:paraId="33CE0548"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4.重要数据业务相关平台系统遭到攻击，服务中断12小时以上的；</w:t>
      </w:r>
    </w:p>
    <w:p w:rsidR="008A2024" w14:paraId="01AD58D4" w14:textId="77777777">
      <w:pPr>
        <w:adjustRightInd w:val="0"/>
        <w:snapToGrid w:val="0"/>
        <w:spacing w:line="560" w:lineRule="exact"/>
        <w:ind w:firstLine="600" w:firstLineChars="200"/>
        <w:rPr>
          <w:rFonts w:ascii="仿宋_GB2312" w:eastAsia="仿宋_GB2312" w:hAnsi="宋体"/>
          <w:sz w:val="30"/>
          <w:szCs w:val="30"/>
        </w:rPr>
        <w:sectPr>
          <w:headerReference w:type="default" r:id="rId17"/>
          <w:type w:val="nextPage"/>
          <w:pgSz w:w="11906" w:h="16838"/>
          <w:pgMar w:top="1440" w:right="1558" w:bottom="1440" w:left="1800" w:header="851" w:footer="992" w:gutter="0"/>
          <w:pgNumType w:start="11"/>
          <w:cols w:space="425"/>
          <w:titlePg w:val="0"/>
          <w:docGrid w:type="lines" w:linePitch="312"/>
        </w:sectPr>
      </w:pPr>
      <w:r>
        <w:rPr>
          <w:rFonts w:ascii="仿宋_GB2312" w:eastAsia="仿宋_GB2312" w:hAnsi="宋体" w:hint="eastAsia"/>
          <w:sz w:val="30"/>
          <w:szCs w:val="30"/>
        </w:rPr>
        <w:t>5.通过中央媒体曝光的XXX业务相关的数据安全事件；</w:t>
      </w:r>
    </w:p>
    <w:p w:rsidR="008A2024" w14:paraId="72355CEF"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6.发生的数据安全事件超出省级单位自身的协调处理能力，需要集团提供数据安全保障统一协调处理的；</w:t>
      </w:r>
    </w:p>
    <w:p w:rsidR="008A2024" w14:paraId="043B2535"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7.其他对国家安全、社会秩序、公众利益、公司利益和声誉构成特别严重威胁、造成特别严重影响的XXX业务相关的数据安全事件。</w:t>
      </w:r>
    </w:p>
    <w:p w:rsidR="008A2024" w14:paraId="6C0F0757" w14:textId="77777777">
      <w:pPr>
        <w:pStyle w:val="Heading2"/>
        <w:numPr>
          <w:ilvl w:val="0"/>
          <w:numId w:val="0"/>
        </w:numPr>
        <w:spacing w:before="0" w:after="0" w:line="560" w:lineRule="exact"/>
        <w:rPr>
          <w:rFonts w:ascii="楷体_GB2312" w:eastAsia="楷体_GB2312"/>
          <w:b w:val="0"/>
          <w:bCs w:val="0"/>
        </w:rPr>
      </w:pPr>
      <w:bookmarkStart w:id="46" w:name="_Toc18941447"/>
      <w:r>
        <w:rPr>
          <w:rFonts w:ascii="楷体_GB2312" w:eastAsia="楷体_GB2312" w:hint="eastAsia"/>
          <w:b w:val="0"/>
          <w:bCs w:val="0"/>
        </w:rPr>
        <w:t>4.2重大数据安全事件（二级）</w:t>
      </w:r>
      <w:bookmarkEnd w:id="46"/>
    </w:p>
    <w:p w:rsidR="008A2024" w14:paraId="17999170"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重大数据安全事件是指其发生能够导致严重的影响或破坏的数据安全事件。符合下列情形之一且未达到特别重大数据安全事件（一级）的，为重大数据安全事件（二级）：</w:t>
      </w:r>
    </w:p>
    <w:p w:rsidR="008A2024" w14:paraId="796D40D6"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1.数据被损坏、丢失，但可通过备份进行恢复，或数据泄露、非法使用，扰乱经营秩序或造成经济损失、影响公司业务稳定，或对多省市用户产生负面影响的；</w:t>
      </w:r>
    </w:p>
    <w:p w:rsidR="008A2024" w14:paraId="6F5D590F"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2.国家秘密信息、重要敏感信息和关键数据丢失或被窃取、篡改、假冒，对国家安全和社会稳定构成严重威胁；</w:t>
      </w:r>
    </w:p>
    <w:p w:rsidR="008A2024" w14:paraId="6B2E9673"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3.发生严重用户信息泄露事件，造成1千万条以上用户信息泄露的；</w:t>
      </w:r>
    </w:p>
    <w:p w:rsidR="008A2024" w14:paraId="754E994F"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4.重要数据业务相关平台系统遭到攻击，服务中断8小时以上的；</w:t>
      </w:r>
    </w:p>
    <w:p w:rsidR="008A2024" w14:paraId="635C5C51"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5.通过省级媒体曝光或上级主管部门通报的XXX业务相关的数据安全事件；</w:t>
      </w:r>
    </w:p>
    <w:p w:rsidR="008A2024" w14:paraId="694E6990"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6.发生的数据安全事件超出地市级单位处置能力，需要省级单位提供数据安全保障的；</w:t>
      </w:r>
    </w:p>
    <w:p w:rsidR="008A2024" w14:paraId="0034A6DD" w14:textId="77777777">
      <w:pPr>
        <w:adjustRightInd w:val="0"/>
        <w:snapToGrid w:val="0"/>
        <w:spacing w:line="560" w:lineRule="exact"/>
        <w:ind w:firstLine="600" w:firstLineChars="200"/>
        <w:rPr>
          <w:rFonts w:ascii="仿宋_GB2312" w:eastAsia="仿宋_GB2312" w:hAnsi="宋体"/>
          <w:sz w:val="30"/>
          <w:szCs w:val="30"/>
        </w:rPr>
        <w:sectPr>
          <w:headerReference w:type="default" r:id="rId18"/>
          <w:type w:val="nextPage"/>
          <w:pgSz w:w="11906" w:h="16838"/>
          <w:pgMar w:top="1440" w:right="1558" w:bottom="1440" w:left="1800" w:header="851" w:footer="992" w:gutter="0"/>
          <w:pgNumType w:start="12"/>
          <w:cols w:space="425"/>
          <w:titlePg w:val="0"/>
          <w:docGrid w:type="lines" w:linePitch="312"/>
        </w:sectPr>
      </w:pPr>
      <w:r>
        <w:rPr>
          <w:rFonts w:ascii="仿宋_GB2312" w:eastAsia="仿宋_GB2312" w:hAnsi="宋体" w:hint="eastAsia"/>
          <w:sz w:val="30"/>
          <w:szCs w:val="30"/>
        </w:rPr>
        <w:t>7.其他对社会秩序、公众利益、公司利益和声誉构成严重威胁、造成严重影响的XXX业务相关的数据安全事件。</w:t>
      </w:r>
    </w:p>
    <w:p w:rsidR="008A2024" w14:paraId="7EF20ED3" w14:textId="77777777">
      <w:pPr>
        <w:pStyle w:val="Heading2"/>
        <w:numPr>
          <w:ilvl w:val="0"/>
          <w:numId w:val="0"/>
        </w:numPr>
        <w:spacing w:before="0" w:after="0" w:line="560" w:lineRule="exact"/>
        <w:rPr>
          <w:rFonts w:ascii="楷体_GB2312" w:eastAsia="楷体_GB2312"/>
          <w:b w:val="0"/>
          <w:bCs w:val="0"/>
        </w:rPr>
      </w:pPr>
      <w:bookmarkStart w:id="47" w:name="_Toc18941448"/>
      <w:r>
        <w:rPr>
          <w:rFonts w:ascii="楷体_GB2312" w:eastAsia="楷体_GB2312" w:hint="eastAsia"/>
          <w:b w:val="0"/>
          <w:bCs w:val="0"/>
        </w:rPr>
        <w:t>4.3较大数据安全事件（三级）</w:t>
      </w:r>
      <w:bookmarkEnd w:id="47"/>
    </w:p>
    <w:p w:rsidR="008A2024" w14:paraId="272FAABE"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较大数据安全事件是指其发生能够导致较严重的影响或破坏的数据安全事件。符合下列情形之一且未达到重大数据安全事件（二级）的，为较大数据安全事件（三级）：</w:t>
      </w:r>
    </w:p>
    <w:p w:rsidR="008A2024" w14:paraId="6AB60713"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1.数据部分被损坏、丢失，但可通过备份进行恢复，或数据泄露、非法使用，影响省市公司业务稳定，或对某省市用户产生负面影响的；</w:t>
      </w:r>
    </w:p>
    <w:p w:rsidR="008A2024" w14:paraId="643A4BC0"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2.重要数据业务相关平台系统遭到攻击，服务中断4小时以上的；</w:t>
      </w:r>
    </w:p>
    <w:p w:rsidR="008A2024" w14:paraId="2B78FB83"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3.国家秘密信息、重要敏感信息和关键数据丢失或被窃取、篡改、假冒，对国家安全和社会稳定构成较严重威胁；</w:t>
      </w:r>
    </w:p>
    <w:p w:rsidR="008A2024" w14:paraId="5B55A69B"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4.发生较严重用户信息泄露事件，造成1百万条以上用户信息泄露的；</w:t>
      </w:r>
    </w:p>
    <w:p w:rsidR="008A2024" w14:paraId="7FE5763A"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5.发生的数据安全事件超出县级单位处置能力，需要地市级单位提供数据安全保障的；</w:t>
      </w:r>
    </w:p>
    <w:p w:rsidR="008A2024" w14:paraId="20F57AD2"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6.其他对社会秩序、公众利益、公司利益和声誉构成较严重威胁、造成较严重影响的XXX业务相关的数据安全事件。</w:t>
      </w:r>
    </w:p>
    <w:p w:rsidR="008A2024" w14:paraId="04758590" w14:textId="77777777">
      <w:pPr>
        <w:pStyle w:val="Heading2"/>
        <w:numPr>
          <w:ilvl w:val="0"/>
          <w:numId w:val="0"/>
        </w:numPr>
        <w:spacing w:before="0" w:after="0" w:line="560" w:lineRule="exact"/>
        <w:rPr>
          <w:rFonts w:ascii="楷体_GB2312" w:eastAsia="楷体_GB2312"/>
          <w:b w:val="0"/>
          <w:bCs w:val="0"/>
        </w:rPr>
      </w:pPr>
      <w:bookmarkStart w:id="48" w:name="_Hlk497505894"/>
      <w:bookmarkStart w:id="49" w:name="_Toc18941449"/>
      <w:r>
        <w:rPr>
          <w:rFonts w:ascii="楷体_GB2312" w:eastAsia="楷体_GB2312" w:hint="eastAsia"/>
          <w:b w:val="0"/>
          <w:bCs w:val="0"/>
        </w:rPr>
        <w:t>4.4一般数据安全事件</w:t>
      </w:r>
      <w:bookmarkEnd w:id="48"/>
      <w:r>
        <w:rPr>
          <w:rFonts w:ascii="楷体_GB2312" w:eastAsia="楷体_GB2312" w:hint="eastAsia"/>
          <w:b w:val="0"/>
          <w:bCs w:val="0"/>
        </w:rPr>
        <w:t>（四级）</w:t>
      </w:r>
      <w:bookmarkEnd w:id="49"/>
    </w:p>
    <w:p w:rsidR="008A2024" w14:paraId="2B918C6D"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一般数据安全事件是指其发生所产生的社会影响不大，信息系统遭受的影响较小，且不满足以上条件的数据安全事件。除上述情形外，对公众权益、公司利益和声誉构成一定威胁和影响的数据安全事件，为一般数据安全事件（四级）：</w:t>
      </w:r>
    </w:p>
    <w:p w:rsidR="008A2024" w14:paraId="09C50466" w14:textId="77777777">
      <w:pPr>
        <w:adjustRightInd w:val="0"/>
        <w:snapToGrid w:val="0"/>
        <w:spacing w:line="560" w:lineRule="exact"/>
        <w:ind w:firstLine="600" w:firstLineChars="200"/>
        <w:rPr>
          <w:rFonts w:ascii="仿宋_GB2312" w:eastAsia="仿宋_GB2312" w:hAnsi="宋体"/>
          <w:sz w:val="30"/>
          <w:szCs w:val="30"/>
        </w:rPr>
        <w:sectPr>
          <w:headerReference w:type="default" r:id="rId19"/>
          <w:type w:val="nextPage"/>
          <w:pgSz w:w="11906" w:h="16838"/>
          <w:pgMar w:top="1440" w:right="1558" w:bottom="1440" w:left="1800" w:header="851" w:footer="992" w:gutter="0"/>
          <w:pgNumType w:start="13"/>
          <w:cols w:space="425"/>
          <w:titlePg w:val="0"/>
          <w:docGrid w:type="lines" w:linePitch="312"/>
        </w:sectPr>
      </w:pPr>
      <w:r>
        <w:rPr>
          <w:rFonts w:ascii="仿宋_GB2312" w:eastAsia="仿宋_GB2312" w:hAnsi="宋体" w:hint="eastAsia"/>
          <w:sz w:val="30"/>
          <w:szCs w:val="30"/>
        </w:rPr>
        <w:t>1.数据部分被损坏、丢失，但可通过备份进行恢复，或数据部分泄露、非法使用，但不影响公司业务稳定的；</w:t>
      </w:r>
    </w:p>
    <w:p w:rsidR="008A2024" w14:paraId="6646658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2.国家秘密信息、重要敏感信息和关键数据丢失或被窃取、篡改、假冒，</w:t>
      </w:r>
    </w:p>
    <w:p w:rsidR="008A2024" w14:paraId="35B15617"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对国家安全和社会稳定构成一定威胁；</w:t>
      </w:r>
    </w:p>
    <w:p w:rsidR="008A2024" w14:paraId="6F4081BA"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3.发生一般用户信息泄露事件，造成用户信息泄露的；</w:t>
      </w:r>
    </w:p>
    <w:p w:rsidR="008A2024" w14:paraId="18BDA07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4.业务服务时段以外出现的数据业务相关平台系统故障或事件救治未果，可能产生上述情形的数据安全事件；</w:t>
      </w:r>
    </w:p>
    <w:p w:rsidR="008A2024" w14:paraId="3DC13A90"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5.其他数据安全事件，需要提供数据安全保障的。</w:t>
      </w:r>
    </w:p>
    <w:p w:rsidR="008A2024" w14:paraId="38F07789" w14:textId="77777777">
      <w:pPr>
        <w:pStyle w:val="Heading1"/>
        <w:numPr>
          <w:ilvl w:val="0"/>
          <w:numId w:val="0"/>
        </w:numPr>
        <w:rPr>
          <w:rFonts w:eastAsia="仿宋_GB2312"/>
          <w:lang w:eastAsia="zh-CN"/>
        </w:rPr>
      </w:pPr>
    </w:p>
    <w:p w:rsidR="008A2024" w14:paraId="7C2698B5" w14:textId="77777777">
      <w:pPr>
        <w:pStyle w:val="Heading1"/>
        <w:numPr>
          <w:ilvl w:val="0"/>
          <w:numId w:val="0"/>
        </w:numPr>
        <w:spacing w:line="560" w:lineRule="exact"/>
        <w:rPr>
          <w:rFonts w:ascii="黑体" w:hAnsi="黑体"/>
          <w:b w:val="0"/>
          <w:bCs w:val="0"/>
          <w:lang w:eastAsia="zh-CN"/>
        </w:rPr>
      </w:pPr>
      <w:bookmarkStart w:id="50" w:name="_Toc18941450"/>
      <w:r>
        <w:rPr>
          <w:rFonts w:ascii="黑体" w:hAnsi="黑体" w:hint="eastAsia"/>
          <w:b w:val="0"/>
          <w:bCs w:val="0"/>
          <w:lang w:eastAsia="zh-CN"/>
        </w:rPr>
        <w:t>5</w:t>
      </w:r>
      <w:r>
        <w:rPr>
          <w:rFonts w:ascii="黑体" w:hAnsi="黑体"/>
          <w:b w:val="0"/>
          <w:bCs w:val="0"/>
          <w:lang w:eastAsia="zh-CN"/>
        </w:rPr>
        <w:t>.</w:t>
      </w:r>
      <w:r>
        <w:rPr>
          <w:rFonts w:ascii="黑体" w:hAnsi="黑体" w:hint="eastAsia"/>
          <w:b w:val="0"/>
          <w:bCs w:val="0"/>
          <w:lang w:eastAsia="zh-CN"/>
        </w:rPr>
        <w:t>应急预案的制订与演练</w:t>
      </w:r>
      <w:bookmarkEnd w:id="50"/>
    </w:p>
    <w:p w:rsidR="008A2024" w14:paraId="6FBD6511" w14:textId="77777777">
      <w:pPr>
        <w:adjustRightInd w:val="0"/>
        <w:snapToGrid w:val="0"/>
        <w:spacing w:line="560" w:lineRule="exact"/>
        <w:ind w:firstLine="600" w:firstLineChars="200"/>
        <w:rPr>
          <w:rFonts w:ascii="仿宋_GB2312" w:eastAsia="仿宋_GB2312" w:hAnsi="宋体"/>
          <w:sz w:val="30"/>
          <w:szCs w:val="30"/>
        </w:rPr>
      </w:pPr>
      <w:bookmarkStart w:id="51" w:name="_Toc15915542"/>
      <w:bookmarkStart w:id="52" w:name="_Toc15915541"/>
      <w:bookmarkStart w:id="53" w:name="_Toc15915543"/>
      <w:bookmarkEnd w:id="51"/>
      <w:bookmarkEnd w:id="52"/>
      <w:bookmarkEnd w:id="53"/>
      <w:r>
        <w:rPr>
          <w:rFonts w:ascii="仿宋_GB2312" w:eastAsia="仿宋_GB2312" w:hAnsi="宋体" w:hint="eastAsia"/>
          <w:sz w:val="30"/>
          <w:szCs w:val="30"/>
        </w:rPr>
        <w:t>数据安全应急响应预案的制订是一个周而复始、持续改进的过程，包括如下几个阶段：</w:t>
      </w:r>
    </w:p>
    <w:p w:rsidR="008A2024" w14:paraId="4FDB2D31"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（1）应急响应预案的编制准备工作；</w:t>
      </w:r>
    </w:p>
    <w:p w:rsidR="008A2024" w14:paraId="26619FEC"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（2）应急响应预案文档编制，包括确定应急响应策略和编制应急预案；</w:t>
      </w:r>
    </w:p>
    <w:p w:rsidR="008A2024" w14:paraId="0A40E286"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（3）应急响应预案的维护、测试、演练和培训。</w:t>
      </w:r>
    </w:p>
    <w:p w:rsidR="008A2024" w14:paraId="763EF496" w14:textId="77777777">
      <w:pPr>
        <w:pStyle w:val="Heading2"/>
        <w:numPr>
          <w:ilvl w:val="0"/>
          <w:numId w:val="0"/>
        </w:numPr>
        <w:spacing w:before="0" w:after="0" w:line="560" w:lineRule="exact"/>
        <w:rPr>
          <w:rFonts w:ascii="楷体_GB2312" w:eastAsia="楷体_GB2312"/>
          <w:b w:val="0"/>
          <w:bCs w:val="0"/>
        </w:rPr>
      </w:pPr>
      <w:bookmarkStart w:id="54" w:name="_Toc18941451"/>
      <w:r>
        <w:rPr>
          <w:rFonts w:ascii="楷体_GB2312" w:eastAsia="楷体_GB2312"/>
          <w:b w:val="0"/>
          <w:bCs w:val="0"/>
        </w:rPr>
        <w:t>5.1</w:t>
      </w:r>
      <w:r>
        <w:rPr>
          <w:rFonts w:ascii="楷体_GB2312" w:eastAsia="楷体_GB2312" w:hint="eastAsia"/>
          <w:b w:val="0"/>
          <w:bCs w:val="0"/>
        </w:rPr>
        <w:t>准备工作</w:t>
      </w:r>
      <w:bookmarkEnd w:id="54"/>
    </w:p>
    <w:p w:rsidR="008A2024" w14:paraId="683A0A63"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准备工作主要指数据安全事件应急响应策略的制定。</w:t>
      </w:r>
    </w:p>
    <w:p w:rsidR="008A2024" w14:paraId="15AD6763"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应急响应策略的制定过程是一个循序渐进、不断完善的过程，因为不可能制定一个策略就能够完全符合、适应数据业务相关平台系统的环境和需求，只能不断地接近目标。</w:t>
      </w:r>
    </w:p>
    <w:p w:rsidR="008A2024" w14:paraId="3863F843" w14:textId="77777777">
      <w:pPr>
        <w:adjustRightInd w:val="0"/>
        <w:snapToGrid w:val="0"/>
        <w:spacing w:line="560" w:lineRule="exact"/>
        <w:ind w:firstLine="600" w:firstLineChars="200"/>
        <w:rPr>
          <w:rFonts w:ascii="仿宋_GB2312" w:eastAsia="仿宋_GB2312" w:hAnsi="宋体"/>
          <w:sz w:val="30"/>
          <w:szCs w:val="30"/>
        </w:rPr>
        <w:sectPr>
          <w:headerReference w:type="default" r:id="rId20"/>
          <w:type w:val="nextPage"/>
          <w:pgSz w:w="11906" w:h="16838"/>
          <w:pgMar w:top="1440" w:right="1558" w:bottom="1440" w:left="1800" w:header="851" w:footer="992" w:gutter="0"/>
          <w:pgNumType w:start="14"/>
          <w:cols w:space="425"/>
          <w:titlePg w:val="0"/>
          <w:docGrid w:type="lines" w:linePitch="312"/>
        </w:sectPr>
      </w:pPr>
    </w:p>
    <w:p w:rsidR="008A202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在应急响应策略的制定方面，通过对数据安全事件的应急处理过程进行研究和梳理，建立一套比较完备的、行之有效的数据安全事件应急响应策略体系，为系统、有序地应对数据安全事件，建</w:t>
      </w:r>
      <w:r>
        <w:rPr>
          <w:rFonts w:ascii="仿宋_GB2312" w:eastAsia="仿宋_GB2312" w:hAnsi="宋体" w:hint="eastAsia"/>
          <w:sz w:val="30"/>
          <w:szCs w:val="30"/>
        </w:rPr>
        <w:t>立健全数据安全应急响应组织，有效预防、及时控制和最大程度地消除各类数据安全突发事件的危害和影响，提供一定程度上的策略指导。</w:t>
      </w:r>
    </w:p>
    <w:p w:rsidR="008A2024" w14:paraId="6E37FE20" w14:textId="77777777">
      <w:pPr>
        <w:pStyle w:val="Heading3"/>
        <w:numPr>
          <w:ilvl w:val="0"/>
          <w:numId w:val="0"/>
        </w:numPr>
        <w:spacing w:before="0" w:after="0" w:line="560" w:lineRule="exact"/>
        <w:rPr>
          <w:rFonts w:ascii="仿宋_GB2312" w:eastAsia="仿宋_GB2312"/>
        </w:rPr>
      </w:pPr>
      <w:bookmarkStart w:id="55" w:name="_Toc18941452"/>
      <w:r>
        <w:rPr>
          <w:rFonts w:ascii="仿宋_GB2312" w:eastAsia="仿宋_GB2312" w:hint="eastAsia"/>
        </w:rPr>
        <w:t>5.1.1设计原则</w:t>
      </w:r>
      <w:bookmarkEnd w:id="55"/>
    </w:p>
    <w:p w:rsidR="008A2024" w14:paraId="751CFF0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1）指导性原则。应急响应策略体系中的策略是描述处理数据安全事件方法的指导性文件，可以全局性指导公司的应急响应工作。</w:t>
      </w:r>
    </w:p>
    <w:p w:rsidR="008A2024" w14:paraId="74704425"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2）规范化原则。应急响应策略应该有清晰和完全的文档描述，并保证既定的应急响应策略能够被不打折扣地执行。</w:t>
      </w:r>
    </w:p>
    <w:p w:rsidR="008A2024" w14:paraId="11F33DD9"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3）现实可行性原则。应急响应策略应具备现实可行性，既要符合现实业务状态，又要能包含未来一段时间内的业务发展要求。</w:t>
      </w:r>
    </w:p>
    <w:p w:rsidR="008A2024" w14:paraId="3B9871CB"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4）整体性原则。应急响应策略体系的设计必须兼顾管理与技术两个方面，是对数据安全事件的综合防范。同时，制定管理策略时必须兼顾技术所能达到的响应能力，在管理上投入足够的精力。</w:t>
      </w:r>
    </w:p>
    <w:p w:rsidR="008A2024" w14:paraId="625248EB"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5）动态性原则。数据安全是动态变化，应急响应策略需要不断发展完善，根据实际情况进行调整，尽可能达到尽善尽美。</w:t>
      </w:r>
    </w:p>
    <w:p w:rsidR="008A2024" w14:paraId="09C446DA"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6）可审核性原则。应急响应策略应该是可以被审核的，即能够对公司各部门对应急响应策略遵守的情况进行审核和评价。</w:t>
      </w:r>
    </w:p>
    <w:p w:rsidR="008A2024" w14:paraId="49DEC6C0" w14:textId="77777777">
      <w:pPr>
        <w:pStyle w:val="Heading3"/>
        <w:numPr>
          <w:ilvl w:val="0"/>
          <w:numId w:val="0"/>
        </w:numPr>
        <w:spacing w:before="0" w:after="0" w:line="560" w:lineRule="exact"/>
        <w:rPr>
          <w:rFonts w:ascii="仿宋_GB2312" w:eastAsia="仿宋_GB2312"/>
        </w:rPr>
      </w:pPr>
      <w:bookmarkStart w:id="56" w:name="_Toc18941453"/>
      <w:r>
        <w:rPr>
          <w:rFonts w:ascii="仿宋_GB2312" w:eastAsia="仿宋_GB2312" w:hint="eastAsia"/>
        </w:rPr>
        <w:t>5.1.2策略内容建议</w:t>
      </w:r>
      <w:bookmarkEnd w:id="56"/>
    </w:p>
    <w:p w:rsidR="008A2024" w14:paraId="027B9E61" w14:textId="77777777">
      <w:pPr>
        <w:adjustRightInd w:val="0"/>
        <w:snapToGrid w:val="0"/>
        <w:spacing w:line="560" w:lineRule="exact"/>
        <w:ind w:firstLine="600" w:firstLineChars="200"/>
        <w:rPr>
          <w:rFonts w:ascii="仿宋_GB2312" w:eastAsia="仿宋_GB2312" w:hAnsi="宋体"/>
          <w:sz w:val="30"/>
          <w:szCs w:val="30"/>
        </w:rPr>
        <w:sectPr>
          <w:headerReference w:type="default" r:id="rId21"/>
          <w:type w:val="nextPage"/>
          <w:pgSz w:w="11906" w:h="16838"/>
          <w:pgMar w:top="1440" w:right="1558" w:bottom="1440" w:left="1800" w:header="851" w:footer="992" w:gutter="0"/>
          <w:pgNumType w:start="15"/>
          <w:cols w:space="425"/>
          <w:titlePg w:val="0"/>
          <w:docGrid w:type="lines" w:linePitch="312"/>
        </w:sectPr>
      </w:pPr>
    </w:p>
    <w:p w:rsidR="008A202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1）事前准备策略。该策略用于指导应急响应工作人员为应对将来可能发生的各类数据安全事件进行必要的准备工作，主要包括：对公司的数据业务相关平台系统和数据进行正确的风险评估、确定网络中重要的数据资源、配置适当的安全策略、制定明确的应急响应预案、准备好在处理数据安全事件时可能用到的各种资源，</w:t>
      </w:r>
      <w:r>
        <w:rPr>
          <w:rFonts w:ascii="仿宋_GB2312" w:eastAsia="仿宋_GB2312" w:hAnsi="宋体" w:hint="eastAsia"/>
          <w:sz w:val="30"/>
          <w:szCs w:val="30"/>
        </w:rPr>
        <w:t>以及定期组织相关人员进行应急响应的模拟演练。</w:t>
      </w:r>
    </w:p>
    <w:p w:rsidR="008A2024" w14:paraId="5B778E8F"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2）事中响应策略。该策略是应急响应的关键，主要用于对如何解决数据安全事件响应过程中的问题提供指导：即如何检测是否出现了数据安全事件，问题在哪里，影响范围有多大；如何限制攻击的范围，限制潜在的损失和破坏；如何找出事件根源并彻底根除，防止今后发生同样的数据安全事件；如何把所有被攻破的数据业务相关平台系统设备尽可能还原到正常的任务状态。</w:t>
      </w:r>
    </w:p>
    <w:p w:rsidR="008A2024" w14:paraId="14A4DAF2"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3）事后总结策略。该策略主要用于对数据安全事件处理后的工作进行指导，包括回顾并整理本次发生的数据安全事件的各种相关信息并进行总结报告的方法和步骤，以及事件文档与证据的管理方案。事后总结过程中记录的内容，不仅对有关部门的其他处理工作具有重要意义，而且对将来应急工作的开展也是非常重要的积累。</w:t>
      </w:r>
    </w:p>
    <w:p w:rsidR="008A2024" w14:paraId="13703BFA" w14:textId="77777777">
      <w:pPr>
        <w:pStyle w:val="Heading2"/>
        <w:numPr>
          <w:ilvl w:val="0"/>
          <w:numId w:val="0"/>
        </w:numPr>
        <w:spacing w:before="0" w:after="0" w:line="560" w:lineRule="exact"/>
        <w:rPr>
          <w:rFonts w:ascii="楷体_GB2312" w:eastAsia="楷体_GB2312"/>
          <w:b w:val="0"/>
          <w:bCs w:val="0"/>
        </w:rPr>
      </w:pPr>
      <w:bookmarkStart w:id="57" w:name="_Toc18941454"/>
      <w:r>
        <w:rPr>
          <w:rFonts w:ascii="楷体_GB2312" w:eastAsia="楷体_GB2312" w:hint="eastAsia"/>
          <w:b w:val="0"/>
          <w:bCs w:val="0"/>
        </w:rPr>
        <w:t>5.2制定应急预案</w:t>
      </w:r>
      <w:bookmarkEnd w:id="57"/>
    </w:p>
    <w:p w:rsidR="008A2024" w14:paraId="53B992ED"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各单位应参照应急处置及源相关法律法规和标准，结合集团《XXX网络安全突发事件应急预案》、《XXX数据安全事件应急响应实施指南》及本预案整体要求，开展各部门数据安全事件应急响应预案的制定。应急预案是应急响应工作中的关键一步，对应急响应预案的要求包括：描述支持应急操作的技术能力；在预案的详细程度和灵活性之间取得平衡，兼顾弹性和通用性；根据实际情况对预案内容进行适当地调整、充实和本地化，以更好地满足公司的特定需求。</w:t>
      </w:r>
    </w:p>
    <w:p w:rsidR="008A2024" w14:paraId="11467547" w14:textId="77777777">
      <w:pPr>
        <w:adjustRightInd w:val="0"/>
        <w:snapToGrid w:val="0"/>
        <w:spacing w:line="560" w:lineRule="exact"/>
        <w:ind w:firstLine="600" w:firstLineChars="200"/>
        <w:rPr>
          <w:rFonts w:ascii="仿宋_GB2312" w:eastAsia="仿宋_GB2312" w:hAnsi="宋体"/>
          <w:sz w:val="30"/>
          <w:szCs w:val="30"/>
        </w:rPr>
        <w:sectPr>
          <w:headerReference w:type="default" r:id="rId22"/>
          <w:type w:val="nextPage"/>
          <w:pgSz w:w="11906" w:h="16838"/>
          <w:pgMar w:top="1440" w:right="1558" w:bottom="1440" w:left="1800" w:header="851" w:footer="992" w:gutter="0"/>
          <w:pgNumType w:start="16"/>
          <w:cols w:space="425"/>
          <w:titlePg w:val="0"/>
          <w:docGrid w:type="lines" w:linePitch="312"/>
        </w:sectPr>
      </w:pPr>
      <w:r>
        <w:rPr>
          <w:rFonts w:ascii="仿宋_GB2312" w:eastAsia="仿宋_GB2312" w:hAnsi="宋体" w:hint="eastAsia"/>
          <w:sz w:val="30"/>
          <w:szCs w:val="30"/>
        </w:rPr>
        <w:t>建议根据恢复时间目标（</w:t>
      </w:r>
      <w:r>
        <w:rPr>
          <w:rFonts w:ascii="仿宋_GB2312" w:eastAsia="仿宋_GB2312" w:hAnsi="宋体" w:hint="eastAsia"/>
          <w:sz w:val="30"/>
          <w:szCs w:val="30"/>
        </w:rPr>
        <w:t>RecoveryTimeObjective</w:t>
      </w:r>
    </w:p>
    <w:p w:rsidR="008A2024" w14:textId="77777777">
      <w:pPr>
        <w:adjustRightInd w:val="0"/>
        <w:snapToGrid w:val="0"/>
        <w:spacing w:line="560" w:lineRule="exact"/>
        <w:ind w:firstLine="600" w:firstLineChars="200"/>
        <w:rPr>
          <w:rFonts w:ascii="仿宋_GB2312" w:eastAsia="仿宋_GB2312" w:hAnsi="宋体"/>
          <w:sz w:val="30"/>
          <w:szCs w:val="30"/>
        </w:rPr>
      </w:pPr>
      <w:r>
        <w:rPr>
          <w:rFonts w:ascii="仿宋_GB2312" w:eastAsia="仿宋_GB2312" w:hAnsi="宋体" w:hint="eastAsia"/>
          <w:sz w:val="30"/>
          <w:szCs w:val="30"/>
        </w:rPr>
        <w:t>，RTO）和恢复点目标（</w:t>
      </w:r>
      <w:r>
        <w:rPr>
          <w:rFonts w:ascii="仿宋_GB2312" w:eastAsia="仿宋_GB2312" w:hAnsi="宋体" w:hint="eastAsia"/>
          <w:sz w:val="30"/>
          <w:szCs w:val="30"/>
        </w:rPr>
        <w:t>RecoveryPointObjective</w:t>
      </w:r>
      <w:r>
        <w:rPr>
          <w:rFonts w:ascii="仿宋_GB2312" w:eastAsia="仿宋_GB2312" w:hAnsi="宋体" w:hint="eastAsia"/>
          <w:sz w:val="30"/>
          <w:szCs w:val="30"/>
        </w:rPr>
        <w:t>，RPO），结合上述风险控制策</w:t>
      </w:r>
      <w:r>
        <w:rPr>
          <w:rFonts w:ascii="仿宋_GB2312" w:eastAsia="仿宋_GB2312" w:hAnsi="宋体" w:hint="eastAsia"/>
          <w:sz w:val="30"/>
          <w:szCs w:val="30"/>
        </w:rPr>
        <w:t>略，从数据业务相关平台系统基础设施、网络、系统、数据业务自身等不同层面，制定数据安全事件应急预案。并定期对数据安全事件应急预案进行测试和演练，确保其有效性。</w:t>
      </w:r>
    </w:p>
    <w:p w:rsidR="008A2024" w14:paraId="570DDCD7"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数据安全应急预案可包括以下内容：</w:t>
      </w:r>
    </w:p>
    <w:p w:rsidR="008A2024" w14:paraId="49DDF8D9"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1.明确有关各方的分工和责任；</w:t>
      </w:r>
    </w:p>
    <w:p w:rsidR="008A2024" w14:paraId="63A08761"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2.说明重要资源的业务影响范围、恢复时间目标、恢复点目标，明确资源的物理位置、设备型号、软件资源、网络配置等关键信息；</w:t>
      </w:r>
    </w:p>
    <w:p w:rsidR="008A2024" w14:paraId="20767952"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3.明确各类数据风险的诊断方法和流程；</w:t>
      </w:r>
    </w:p>
    <w:p w:rsidR="008A2024" w14:paraId="7C18F389"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4.制定数据恢复流程和应急处置操作手册；</w:t>
      </w:r>
    </w:p>
    <w:p w:rsidR="008A2024" w14:paraId="6443CA2D"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5.明确应急恢复过程中的关键状态，并明确不同状态的沟通；</w:t>
      </w:r>
    </w:p>
    <w:p w:rsidR="008A2024" w14:paraId="17B0007C"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6.明确应急相关人员的协调内容和沟通方式。</w:t>
      </w:r>
    </w:p>
    <w:p w:rsidR="008A2024" w14:paraId="560F4A3F" w14:textId="77777777">
      <w:pPr>
        <w:pStyle w:val="Heading2"/>
        <w:numPr>
          <w:ilvl w:val="0"/>
          <w:numId w:val="0"/>
        </w:numPr>
        <w:spacing w:before="0" w:after="0" w:line="560" w:lineRule="exact"/>
        <w:rPr>
          <w:rFonts w:ascii="楷体_GB2312" w:eastAsia="楷体_GB2312"/>
          <w:b w:val="0"/>
          <w:bCs w:val="0"/>
        </w:rPr>
      </w:pPr>
      <w:bookmarkStart w:id="58" w:name="_Toc18941455"/>
      <w:r>
        <w:rPr>
          <w:rFonts w:ascii="楷体_GB2312" w:eastAsia="楷体_GB2312" w:hint="eastAsia"/>
          <w:b w:val="0"/>
          <w:bCs w:val="0"/>
        </w:rPr>
        <w:t>5.3应急预案的管理与维护</w:t>
      </w:r>
      <w:bookmarkEnd w:id="58"/>
    </w:p>
    <w:p w:rsidR="008A2024" w14:paraId="23A02B61"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经过审核和批准的应急预案文档，应：</w:t>
      </w:r>
    </w:p>
    <w:p w:rsidR="008A2024" w14:paraId="52ACEF92"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1.由专人负责保存与分发；</w:t>
      </w:r>
    </w:p>
    <w:p w:rsidR="008A2024" w14:paraId="4F6F8AE1"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2.具有多份拷贝，并在不同的地点保存；</w:t>
      </w:r>
    </w:p>
    <w:p w:rsidR="008A2024" w14:paraId="052FC796"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3.分发给参与应急响应工作的所有人员；</w:t>
      </w:r>
    </w:p>
    <w:p w:rsidR="008A2024" w14:paraId="150883E9"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4.在每次修订后所有拷贝统一更新，并保留一套，以备查阅；</w:t>
      </w:r>
    </w:p>
    <w:p w:rsidR="008A2024" w14:paraId="02B940E3"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5.旧版本应按有关规定销毁。</w:t>
      </w:r>
    </w:p>
    <w:p w:rsidR="008A2024" w14:paraId="17FB03A2"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为了保证应急预案的有效性，应从以下方面对应急预案文档进行严格的维护：</w:t>
      </w:r>
    </w:p>
    <w:p w:rsidR="008A2024" w14:paraId="13C7160E" w14:textId="77777777">
      <w:pPr>
        <w:spacing w:line="560" w:lineRule="exact"/>
        <w:ind w:firstLine="600" w:firstLineChars="200"/>
        <w:rPr>
          <w:rFonts w:ascii="仿宋_GB2312" w:eastAsia="仿宋_GB2312" w:hAnsi="Arial"/>
          <w:sz w:val="30"/>
          <w:szCs w:val="30"/>
        </w:rPr>
        <w:sectPr>
          <w:headerReference w:type="default" r:id="rId23"/>
          <w:type w:val="nextPage"/>
          <w:pgSz w:w="11906" w:h="16838"/>
          <w:pgMar w:top="1440" w:right="1558" w:bottom="1440" w:left="1800" w:header="851" w:footer="992" w:gutter="0"/>
          <w:pgNumType w:start="17"/>
          <w:cols w:space="425"/>
          <w:titlePg w:val="0"/>
          <w:docGrid w:type="lines" w:linePitch="312"/>
        </w:sectPr>
      </w:pPr>
      <w:r>
        <w:rPr>
          <w:rFonts w:ascii="仿宋_GB2312" w:eastAsia="仿宋_GB2312" w:hAnsi="Arial" w:hint="eastAsia"/>
          <w:sz w:val="30"/>
          <w:szCs w:val="30"/>
        </w:rPr>
        <w:t>1.业务流程的变化、平台的变更、人员的变更、数据的变更都应在应急预案文档中及时反映；</w:t>
      </w:r>
    </w:p>
    <w:p w:rsidR="008A2024" w14:paraId="57A5C40B"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2.应急预案在测试、演练和数据安全事件发生后实际执行时，其过程均应有详细的记录，并应对测试、演练和执行的效果进行评</w:t>
      </w:r>
      <w:r>
        <w:rPr>
          <w:rFonts w:ascii="仿宋_GB2312" w:eastAsia="仿宋_GB2312" w:hAnsi="Arial" w:hint="eastAsia"/>
          <w:sz w:val="30"/>
          <w:szCs w:val="30"/>
        </w:rPr>
        <w:t>估，同时对应急预案文档进行相应的修订；</w:t>
      </w:r>
    </w:p>
    <w:p w:rsidR="008A2024" w14:paraId="0D5EB33D"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3.应急预案文档应定期评审和修订，至少每年一次。</w:t>
      </w:r>
    </w:p>
    <w:p w:rsidR="008A2024" w14:paraId="050EEB74" w14:textId="77777777">
      <w:pPr>
        <w:pStyle w:val="Heading2"/>
        <w:numPr>
          <w:ilvl w:val="0"/>
          <w:numId w:val="0"/>
        </w:numPr>
        <w:spacing w:before="0" w:after="0" w:line="560" w:lineRule="exact"/>
        <w:rPr>
          <w:rFonts w:ascii="楷体_GB2312" w:eastAsia="楷体_GB2312"/>
          <w:b w:val="0"/>
          <w:bCs w:val="0"/>
        </w:rPr>
      </w:pPr>
      <w:bookmarkStart w:id="59" w:name="_Toc18941456"/>
      <w:r>
        <w:rPr>
          <w:rFonts w:ascii="楷体_GB2312" w:eastAsia="楷体_GB2312" w:hint="eastAsia"/>
          <w:b w:val="0"/>
          <w:bCs w:val="0"/>
        </w:rPr>
        <w:t>5.4应急预案的演练</w:t>
      </w:r>
      <w:bookmarkEnd w:id="59"/>
    </w:p>
    <w:p w:rsidR="008A2024" w14:paraId="286B6EC6"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当发生数据业务相关平台系统上线、升级、网络改造等重大变更时要及时更新应急预案，并适时实施演练。</w:t>
      </w:r>
    </w:p>
    <w:p w:rsidR="008A2024" w14:paraId="3C856D29"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制定年度应急演练计划，明确演练的时间、内容、依据、目的、负责人和相关配合机构等要素。严格按照应急演练计划实施应急演练，应急演练结束后，要撰写应急演练情况总结报告，提交领导审阅。根据演练总结报告提出的改进措施进行整改，及时修订相应的应急预案。</w:t>
      </w:r>
    </w:p>
    <w:p w:rsidR="008A2024" w14:paraId="65B97F74"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演练计划可涵盖对应急预案各环节的检验，验证应急预案的有效性、应急资源的完备性及应急人员的适应性。</w:t>
      </w:r>
    </w:p>
    <w:p w:rsidR="008A2024" w14:paraId="185B82DF"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应急演练要做到全面演练和专项演练相结合，根据数据安全事件应急响应预案制定演练计划并定期组织演练，保存演练记录。每类数据安全事件场景至少一年开展一次演练；每个数据处理活动涉及的平台系统至少两年开展一次演练。严格控制应急演练引起的变更风险，避免因演练导致服务中断，演练应选择在非主要业务时段进行。应急演练完成后，应保证实施应急预案所需的各项资源恢复正常。</w:t>
      </w:r>
    </w:p>
    <w:p w:rsidR="008A2024" w14:paraId="09B876E9" w14:textId="77777777">
      <w:pPr>
        <w:pStyle w:val="Heading2"/>
        <w:numPr>
          <w:ilvl w:val="0"/>
          <w:numId w:val="0"/>
        </w:numPr>
        <w:spacing w:before="0" w:after="0" w:line="560" w:lineRule="exact"/>
        <w:rPr>
          <w:rFonts w:ascii="楷体_GB2312" w:eastAsia="楷体_GB2312"/>
          <w:b w:val="0"/>
          <w:bCs w:val="0"/>
        </w:rPr>
      </w:pPr>
      <w:bookmarkStart w:id="60" w:name="_Toc18941457"/>
      <w:r>
        <w:rPr>
          <w:rFonts w:ascii="楷体_GB2312" w:eastAsia="楷体_GB2312" w:hint="eastAsia"/>
          <w:b w:val="0"/>
          <w:bCs w:val="0"/>
        </w:rPr>
        <w:t>5.5应急教育和培训</w:t>
      </w:r>
      <w:bookmarkEnd w:id="60"/>
    </w:p>
    <w:p w:rsidR="008A2024" w14:paraId="04B69094" w14:textId="77777777">
      <w:pPr>
        <w:spacing w:line="560" w:lineRule="exact"/>
        <w:ind w:firstLine="600" w:firstLineChars="200"/>
        <w:rPr>
          <w:rFonts w:ascii="仿宋_GB2312" w:eastAsia="仿宋_GB2312" w:hAnsi="Arial"/>
          <w:sz w:val="30"/>
          <w:szCs w:val="30"/>
        </w:rPr>
        <w:sectPr>
          <w:headerReference w:type="default" r:id="rId24"/>
          <w:type w:val="nextPage"/>
          <w:pgSz w:w="11906" w:h="16838"/>
          <w:pgMar w:top="1440" w:right="1558" w:bottom="1440" w:left="1800" w:header="851" w:footer="992" w:gutter="0"/>
          <w:pgNumType w:start="18"/>
          <w:cols w:space="425"/>
          <w:titlePg w:val="0"/>
          <w:docGrid w:type="lines" w:linePitch="312"/>
        </w:sectPr>
      </w:pPr>
    </w:p>
    <w:p w:rsidR="008A2024"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组织开展数据安全应急相关法律法规、应急预案和基本知识的宣传教育和培训，提高相关岗位员工的安全意识、专业技能和防护、应急能力。</w:t>
      </w:r>
    </w:p>
    <w:p w:rsidR="008A2024" w14:paraId="6AD53FA0" w14:textId="77777777">
      <w:pPr>
        <w:pStyle w:val="Heading1"/>
        <w:numPr>
          <w:ilvl w:val="0"/>
          <w:numId w:val="0"/>
        </w:numPr>
        <w:spacing w:line="560" w:lineRule="exact"/>
        <w:rPr>
          <w:rFonts w:ascii="黑体" w:hAnsi="黑体"/>
          <w:b w:val="0"/>
          <w:bCs w:val="0"/>
          <w:lang w:eastAsia="zh-CN"/>
        </w:rPr>
      </w:pPr>
      <w:bookmarkStart w:id="61" w:name="_Toc18941458"/>
      <w:r>
        <w:rPr>
          <w:rFonts w:ascii="黑体" w:hAnsi="黑体" w:hint="eastAsia"/>
          <w:b w:val="0"/>
          <w:bCs w:val="0"/>
          <w:lang w:eastAsia="zh-CN"/>
        </w:rPr>
        <w:t>6</w:t>
      </w:r>
      <w:r>
        <w:rPr>
          <w:rFonts w:ascii="黑体" w:hAnsi="黑体"/>
          <w:b w:val="0"/>
          <w:bCs w:val="0"/>
          <w:lang w:eastAsia="zh-CN"/>
        </w:rPr>
        <w:t>.</w:t>
      </w:r>
      <w:r>
        <w:rPr>
          <w:rFonts w:ascii="黑体" w:hAnsi="黑体" w:hint="eastAsia"/>
          <w:b w:val="0"/>
          <w:bCs w:val="0"/>
          <w:lang w:eastAsia="zh-CN"/>
        </w:rPr>
        <w:t>应急响应实施</w:t>
      </w:r>
      <w:bookmarkEnd w:id="61"/>
    </w:p>
    <w:p w:rsidR="008A2024" w14:paraId="11F6D05E"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数据安全应急响应的目标是按照既定的应急预案，做好应急处置，快速有效地处置数据安全事件。各单位应在应急领导小组的统一指挥下，根据其指令启动本预案，做好各项应急响应工作。</w:t>
      </w:r>
    </w:p>
    <w:p w:rsidR="008A2024" w14:paraId="44A467B6" w14:textId="77777777">
      <w:pPr>
        <w:spacing w:line="560" w:lineRule="exact"/>
        <w:ind w:firstLine="600" w:firstLineChars="200"/>
        <w:rPr>
          <w:rFonts w:ascii="仿宋_GB2312" w:eastAsia="仿宋_GB2312" w:hAnsi="Arial"/>
          <w:sz w:val="30"/>
          <w:szCs w:val="30"/>
        </w:rPr>
        <w:sectPr>
          <w:headerReference w:type="default" r:id="rId25"/>
          <w:type w:val="nextPage"/>
          <w:pgSz w:w="11906" w:h="16838"/>
          <w:pgMar w:top="1440" w:right="1558" w:bottom="1440" w:left="1800" w:header="851" w:footer="992" w:gutter="0"/>
          <w:pgNumType w:start="19"/>
          <w:cols w:space="425"/>
          <w:titlePg w:val="0"/>
          <w:docGrid w:type="lines" w:linePitch="312"/>
        </w:sectPr>
      </w:pPr>
      <w:r>
        <w:rPr>
          <w:rFonts w:ascii="仿宋_GB2312" w:eastAsia="仿宋_GB2312" w:hAnsi="Arial" w:hint="eastAsia"/>
          <w:sz w:val="30"/>
          <w:szCs w:val="30"/>
        </w:rPr>
        <w:t>参考《计算机安全事件处理指南》（NISTSP800-61）中有关PDCERF模型的（Preparation（准备）、Detection（检测）、Containment（遏制）、Eradication（根除）、Recovery（恢复）、Follow-up（跟踪））的六个阶段，结合公司实际明确了应急响应处置流程，包括日常监测、事件监测、预警分级、应急启动、应急处置、后续处置、媒体沟通和结束响应等八个环节。应急响应实施流程如下图所示：</w:t>
      </w:r>
    </w:p>
    <w:p w:rsidR="008A2024" w14:paraId="722B887B" w14:textId="77777777">
      <w:pPr>
        <w:spacing w:line="360" w:lineRule="auto"/>
        <w:ind w:firstLine="600" w:firstLineChars="200"/>
        <w:rPr>
          <w:rFonts w:ascii="仿宋_GB2312" w:eastAsia="仿宋_GB2312" w:hAnsi="Arial"/>
          <w:sz w:val="30"/>
          <w:szCs w:val="30"/>
        </w:rPr>
      </w:pPr>
      <w:r>
        <w:rPr>
          <w:rFonts w:ascii="仿宋_GB2312" w:eastAsia="仿宋_GB2312" w:hAnsi="Arial"/>
          <w:noProof/>
          <w:sz w:val="30"/>
          <w:szCs w:val="30"/>
        </w:rPr>
        <mc:AlternateContent>
          <mc:Choice Requires="wpg">
            <w:drawing>
              <wp:inline distT="0" distB="0" distL="0" distR="0">
                <wp:extent cx="4795520" cy="5725160"/>
                <wp:effectExtent l="0" t="0" r="0" b="3175"/>
                <wp:docPr id="1" name="组合 1"/>
                <wp:cNvGraphicFramePr/>
                <a:graphic xmlns:a="http://schemas.openxmlformats.org/drawingml/2006/main">
                  <a:graphicData uri="http://schemas.microsoft.com/office/word/2010/wordprocessingGroup">
                    <wpg:wgp xmlns:wpg="http://schemas.microsoft.com/office/word/2010/wordprocessingGroup">
                      <wpg:cNvGrpSpPr/>
                      <wpg:grpSpPr>
                        <a:xfrm>
                          <a:off x="0" y="0"/>
                          <a:ext cx="4795520" cy="5725160"/>
                          <a:chOff x="2177" y="1406"/>
                          <a:chExt cx="7552" cy="9016"/>
                        </a:xfrm>
                      </wpg:grpSpPr>
                      <pic:pic xmlns:pic="http://schemas.openxmlformats.org/drawingml/2006/picture">
                        <pic:nvPicPr>
                          <pic:cNvPr id="2" name="Picture 4"/>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a:xfrm>
                            <a:off x="2177" y="1406"/>
                            <a:ext cx="7552" cy="7552"/>
                          </a:xfrm>
                          <a:prstGeom prst="rect">
                            <a:avLst/>
                          </a:prstGeom>
                          <a:noFill/>
                        </pic:spPr>
                      </pic:pic>
                      <pic:pic xmlns:pic="http://schemas.openxmlformats.org/drawingml/2006/picture">
                        <pic:nvPicPr>
                          <pic:cNvPr id="3" name="Picture 5"/>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a:xfrm>
                            <a:off x="2289" y="1515"/>
                            <a:ext cx="7327" cy="7333"/>
                          </a:xfrm>
                          <a:prstGeom prst="rect">
                            <a:avLst/>
                          </a:prstGeom>
                          <a:noFill/>
                        </pic:spPr>
                      </pic:pic>
                      <wps:wsp xmlns:wps="http://schemas.microsoft.com/office/word/2010/wordprocessingShape">
                        <wps:cNvPr id="4" name="Freeform 6"/>
                        <wps:cNvSpPr/>
                        <wps:spPr bwMode="auto">
                          <a:xfrm>
                            <a:off x="5080" y="2059"/>
                            <a:ext cx="1768" cy="473"/>
                          </a:xfrm>
                          <a:custGeom>
                            <a:avLst/>
                            <a:gdLst>
                              <a:gd name="T0" fmla="*/ 1531 w 1768"/>
                              <a:gd name="T1" fmla="*/ 2059 h 473"/>
                              <a:gd name="T2" fmla="*/ 238 w 1768"/>
                              <a:gd name="T3" fmla="*/ 2059 h 473"/>
                              <a:gd name="T4" fmla="*/ 163 w 1768"/>
                              <a:gd name="T5" fmla="*/ 2071 h 473"/>
                              <a:gd name="T6" fmla="*/ 98 w 1768"/>
                              <a:gd name="T7" fmla="*/ 2105 h 473"/>
                              <a:gd name="T8" fmla="*/ 46 w 1768"/>
                              <a:gd name="T9" fmla="*/ 2156 h 473"/>
                              <a:gd name="T10" fmla="*/ 13 w 1768"/>
                              <a:gd name="T11" fmla="*/ 2221 h 473"/>
                              <a:gd name="T12" fmla="*/ 0 w 1768"/>
                              <a:gd name="T13" fmla="*/ 2296 h 473"/>
                              <a:gd name="T14" fmla="*/ 13 w 1768"/>
                              <a:gd name="T15" fmla="*/ 2370 h 473"/>
                              <a:gd name="T16" fmla="*/ 46 w 1768"/>
                              <a:gd name="T17" fmla="*/ 2435 h 473"/>
                              <a:gd name="T18" fmla="*/ 98 w 1768"/>
                              <a:gd name="T19" fmla="*/ 2486 h 473"/>
                              <a:gd name="T20" fmla="*/ 163 w 1768"/>
                              <a:gd name="T21" fmla="*/ 2520 h 473"/>
                              <a:gd name="T22" fmla="*/ 238 w 1768"/>
                              <a:gd name="T23" fmla="*/ 2532 h 473"/>
                              <a:gd name="T24" fmla="*/ 1531 w 1768"/>
                              <a:gd name="T25" fmla="*/ 2532 h 473"/>
                              <a:gd name="T26" fmla="*/ 1606 w 1768"/>
                              <a:gd name="T27" fmla="*/ 2520 h 473"/>
                              <a:gd name="T28" fmla="*/ 1671 w 1768"/>
                              <a:gd name="T29" fmla="*/ 2486 h 473"/>
                              <a:gd name="T30" fmla="*/ 1723 w 1768"/>
                              <a:gd name="T31" fmla="*/ 2435 h 473"/>
                              <a:gd name="T32" fmla="*/ 1756 w 1768"/>
                              <a:gd name="T33" fmla="*/ 2370 h 473"/>
                              <a:gd name="T34" fmla="*/ 1768 w 1768"/>
                              <a:gd name="T35" fmla="*/ 2296 h 473"/>
                              <a:gd name="T36" fmla="*/ 1756 w 1768"/>
                              <a:gd name="T37" fmla="*/ 2221 h 473"/>
                              <a:gd name="T38" fmla="*/ 1723 w 1768"/>
                              <a:gd name="T39" fmla="*/ 2156 h 473"/>
                              <a:gd name="T40" fmla="*/ 1671 w 1768"/>
                              <a:gd name="T41" fmla="*/ 2105 h 473"/>
                              <a:gd name="T42" fmla="*/ 1606 w 1768"/>
                              <a:gd name="T43" fmla="*/ 2071 h 473"/>
                              <a:gd name="T44" fmla="*/ 1531 w 1768"/>
                              <a:gd name="T45" fmla="*/ 2059 h 473"/>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fill="norm" h="473" w="1768" stroke="1">
                                <a:moveTo>
                                  <a:pt x="1531" y="0"/>
                                </a:moveTo>
                                <a:lnTo>
                                  <a:pt x="238" y="0"/>
                                </a:lnTo>
                                <a:lnTo>
                                  <a:pt x="163" y="12"/>
                                </a:lnTo>
                                <a:lnTo>
                                  <a:pt x="98" y="46"/>
                                </a:lnTo>
                                <a:lnTo>
                                  <a:pt x="46" y="97"/>
                                </a:lnTo>
                                <a:lnTo>
                                  <a:pt x="13" y="162"/>
                                </a:lnTo>
                                <a:lnTo>
                                  <a:pt x="0" y="237"/>
                                </a:lnTo>
                                <a:lnTo>
                                  <a:pt x="13" y="311"/>
                                </a:lnTo>
                                <a:lnTo>
                                  <a:pt x="46" y="376"/>
                                </a:lnTo>
                                <a:lnTo>
                                  <a:pt x="98" y="427"/>
                                </a:lnTo>
                                <a:lnTo>
                                  <a:pt x="163" y="461"/>
                                </a:lnTo>
                                <a:lnTo>
                                  <a:pt x="238" y="473"/>
                                </a:lnTo>
                                <a:lnTo>
                                  <a:pt x="1531" y="473"/>
                                </a:lnTo>
                                <a:lnTo>
                                  <a:pt x="1606" y="461"/>
                                </a:lnTo>
                                <a:lnTo>
                                  <a:pt x="1671" y="427"/>
                                </a:lnTo>
                                <a:lnTo>
                                  <a:pt x="1723" y="376"/>
                                </a:lnTo>
                                <a:lnTo>
                                  <a:pt x="1756" y="311"/>
                                </a:lnTo>
                                <a:lnTo>
                                  <a:pt x="1768" y="237"/>
                                </a:lnTo>
                                <a:lnTo>
                                  <a:pt x="1756" y="162"/>
                                </a:lnTo>
                                <a:lnTo>
                                  <a:pt x="1723" y="97"/>
                                </a:lnTo>
                                <a:lnTo>
                                  <a:pt x="1671" y="46"/>
                                </a:lnTo>
                                <a:lnTo>
                                  <a:pt x="1606" y="12"/>
                                </a:lnTo>
                                <a:lnTo>
                                  <a:pt x="1531" y="0"/>
                                </a:lnTo>
                                <a:close/>
                              </a:path>
                            </a:pathLst>
                          </a:custGeom>
                          <a:solidFill>
                            <a:srgbClr val="CDCDCD">
                              <a:alpha val="49803"/>
                            </a:srgbClr>
                          </a:solidFill>
                          <a:ln>
                            <a:noFill/>
                          </a:ln>
                        </wps:spPr>
                        <wps:bodyPr rot="0" vert="horz" wrap="square" lIns="91440" tIns="45720" rIns="91440" bIns="45720" anchor="t" anchorCtr="0" upright="1"/>
                      </wps:wsp>
                      <wps:wsp xmlns:wps="http://schemas.microsoft.com/office/word/2010/wordprocessingShape">
                        <wps:cNvPr id="5" name="Freeform 7"/>
                        <wps:cNvSpPr/>
                        <wps:spPr bwMode="auto">
                          <a:xfrm>
                            <a:off x="5086" y="2059"/>
                            <a:ext cx="1525" cy="198"/>
                          </a:xfrm>
                          <a:custGeom>
                            <a:avLst/>
                            <a:gdLst>
                              <a:gd name="T0" fmla="*/ 1524 w 1525"/>
                              <a:gd name="T1" fmla="*/ 2059 h 198"/>
                              <a:gd name="T2" fmla="*/ 231 w 1525"/>
                              <a:gd name="T3" fmla="*/ 2059 h 198"/>
                              <a:gd name="T4" fmla="*/ 156 w 1525"/>
                              <a:gd name="T5" fmla="*/ 2071 h 198"/>
                              <a:gd name="T6" fmla="*/ 91 w 1525"/>
                              <a:gd name="T7" fmla="*/ 2105 h 198"/>
                              <a:gd name="T8" fmla="*/ 39 w 1525"/>
                              <a:gd name="T9" fmla="*/ 2156 h 198"/>
                              <a:gd name="T10" fmla="*/ 6 w 1525"/>
                              <a:gd name="T11" fmla="*/ 2221 h 198"/>
                              <a:gd name="T12" fmla="*/ 0 w 1525"/>
                              <a:gd name="T13" fmla="*/ 2257 h 198"/>
                              <a:gd name="T14" fmla="*/ 0 60000 65536"/>
                              <a:gd name="T15" fmla="*/ 0 60000 65536"/>
                              <a:gd name="T16" fmla="*/ 0 60000 65536"/>
                              <a:gd name="T17" fmla="*/ 0 60000 65536"/>
                              <a:gd name="T18" fmla="*/ 0 60000 65536"/>
                              <a:gd name="T19" fmla="*/ 0 60000 65536"/>
                              <a:gd name="T20" fmla="*/ 0 60000 65536"/>
                            </a:gdLst>
                            <a:cxnLst>
                              <a:cxn ang="T14">
                                <a:pos x="T0" y="T1"/>
                              </a:cxn>
                              <a:cxn ang="T15">
                                <a:pos x="T2" y="T3"/>
                              </a:cxn>
                              <a:cxn ang="T16">
                                <a:pos x="T4" y="T5"/>
                              </a:cxn>
                              <a:cxn ang="T17">
                                <a:pos x="T6" y="T7"/>
                              </a:cxn>
                              <a:cxn ang="T18">
                                <a:pos x="T8" y="T9"/>
                              </a:cxn>
                              <a:cxn ang="T19">
                                <a:pos x="T10" y="T11"/>
                              </a:cxn>
                              <a:cxn ang="T20">
                                <a:pos x="T12" y="T13"/>
                              </a:cxn>
                            </a:cxnLst>
                            <a:rect l="0" t="0" r="r" b="b"/>
                            <a:pathLst>
                              <a:path fill="norm" h="198" w="1525" stroke="1">
                                <a:moveTo>
                                  <a:pt x="1524" y="0"/>
                                </a:moveTo>
                                <a:lnTo>
                                  <a:pt x="231" y="0"/>
                                </a:lnTo>
                                <a:lnTo>
                                  <a:pt x="156" y="12"/>
                                </a:lnTo>
                                <a:lnTo>
                                  <a:pt x="91" y="46"/>
                                </a:lnTo>
                                <a:lnTo>
                                  <a:pt x="39" y="97"/>
                                </a:lnTo>
                                <a:lnTo>
                                  <a:pt x="6" y="162"/>
                                </a:lnTo>
                                <a:lnTo>
                                  <a:pt x="0" y="198"/>
                                </a:lnTo>
                              </a:path>
                            </a:pathLst>
                          </a:custGeom>
                          <a:noFill/>
                          <a:ln w="2649">
                            <a:solidFill>
                              <a:srgbClr val="CDCDCD"/>
                            </a:solidFill>
                            <a:round/>
                          </a:ln>
                        </wps:spPr>
                        <wps:bodyPr rot="0" vert="horz" wrap="square" lIns="91440" tIns="45720" rIns="91440" bIns="45720" anchor="t" anchorCtr="0" upright="1"/>
                      </wps:wsp>
                      <pic:pic xmlns:pic="http://schemas.openxmlformats.org/drawingml/2006/picture">
                        <pic:nvPicPr>
                          <pic:cNvPr id="6" name="Picture 8"/>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a:xfrm>
                            <a:off x="6608" y="2057"/>
                            <a:ext cx="242" cy="241"/>
                          </a:xfrm>
                          <a:prstGeom prst="rect">
                            <a:avLst/>
                          </a:prstGeom>
                          <a:noFill/>
                        </pic:spPr>
                      </pic:pic>
                      <pic:pic xmlns:pic="http://schemas.openxmlformats.org/drawingml/2006/picture">
                        <pic:nvPicPr>
                          <pic:cNvPr id="7" name="Picture 9"/>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a:xfrm>
                            <a:off x="5056" y="2035"/>
                            <a:ext cx="1768" cy="473"/>
                          </a:xfrm>
                          <a:prstGeom prst="rect">
                            <a:avLst/>
                          </a:prstGeom>
                          <a:noFill/>
                        </pic:spPr>
                      </pic:pic>
                      <wps:wsp xmlns:wps="http://schemas.microsoft.com/office/word/2010/wordprocessingShape">
                        <wps:cNvPr id="8" name="Freeform 10"/>
                        <wps:cNvSpPr/>
                        <wps:spPr bwMode="auto">
                          <a:xfrm>
                            <a:off x="5056" y="2035"/>
                            <a:ext cx="1768" cy="473"/>
                          </a:xfrm>
                          <a:custGeom>
                            <a:avLst/>
                            <a:gdLst>
                              <a:gd name="T0" fmla="*/ 238 w 1768"/>
                              <a:gd name="T1" fmla="*/ 2508 h 473"/>
                              <a:gd name="T2" fmla="*/ 1531 w 1768"/>
                              <a:gd name="T3" fmla="*/ 2508 h 473"/>
                              <a:gd name="T4" fmla="*/ 1606 w 1768"/>
                              <a:gd name="T5" fmla="*/ 2496 h 473"/>
                              <a:gd name="T6" fmla="*/ 1671 w 1768"/>
                              <a:gd name="T7" fmla="*/ 2462 h 473"/>
                              <a:gd name="T8" fmla="*/ 1722 w 1768"/>
                              <a:gd name="T9" fmla="*/ 2411 h 473"/>
                              <a:gd name="T10" fmla="*/ 1756 w 1768"/>
                              <a:gd name="T11" fmla="*/ 2346 h 473"/>
                              <a:gd name="T12" fmla="*/ 1768 w 1768"/>
                              <a:gd name="T13" fmla="*/ 2272 h 473"/>
                              <a:gd name="T14" fmla="*/ 1756 w 1768"/>
                              <a:gd name="T15" fmla="*/ 2197 h 473"/>
                              <a:gd name="T16" fmla="*/ 1722 w 1768"/>
                              <a:gd name="T17" fmla="*/ 2132 h 473"/>
                              <a:gd name="T18" fmla="*/ 1671 w 1768"/>
                              <a:gd name="T19" fmla="*/ 2081 h 473"/>
                              <a:gd name="T20" fmla="*/ 1606 w 1768"/>
                              <a:gd name="T21" fmla="*/ 2047 h 473"/>
                              <a:gd name="T22" fmla="*/ 1531 w 1768"/>
                              <a:gd name="T23" fmla="*/ 2035 h 473"/>
                              <a:gd name="T24" fmla="*/ 238 w 1768"/>
                              <a:gd name="T25" fmla="*/ 2035 h 473"/>
                              <a:gd name="T26" fmla="*/ 163 w 1768"/>
                              <a:gd name="T27" fmla="*/ 2047 h 473"/>
                              <a:gd name="T28" fmla="*/ 97 w 1768"/>
                              <a:gd name="T29" fmla="*/ 2081 h 473"/>
                              <a:gd name="T30" fmla="*/ 46 w 1768"/>
                              <a:gd name="T31" fmla="*/ 2132 h 473"/>
                              <a:gd name="T32" fmla="*/ 12 w 1768"/>
                              <a:gd name="T33" fmla="*/ 2197 h 473"/>
                              <a:gd name="T34" fmla="*/ 0 w 1768"/>
                              <a:gd name="T35" fmla="*/ 2272 h 473"/>
                              <a:gd name="T36" fmla="*/ 12 w 1768"/>
                              <a:gd name="T37" fmla="*/ 2346 h 473"/>
                              <a:gd name="T38" fmla="*/ 46 w 1768"/>
                              <a:gd name="T39" fmla="*/ 2411 h 473"/>
                              <a:gd name="T40" fmla="*/ 97 w 1768"/>
                              <a:gd name="T41" fmla="*/ 2462 h 473"/>
                              <a:gd name="T42" fmla="*/ 163 w 1768"/>
                              <a:gd name="T43" fmla="*/ 2496 h 473"/>
                              <a:gd name="T44" fmla="*/ 238 w 1768"/>
                              <a:gd name="T45" fmla="*/ 2508 h 473"/>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fill="norm" h="473" w="1768" stroke="1">
                                <a:moveTo>
                                  <a:pt x="238" y="473"/>
                                </a:moveTo>
                                <a:lnTo>
                                  <a:pt x="1531" y="473"/>
                                </a:lnTo>
                                <a:lnTo>
                                  <a:pt x="1606" y="461"/>
                                </a:lnTo>
                                <a:lnTo>
                                  <a:pt x="1671" y="427"/>
                                </a:lnTo>
                                <a:lnTo>
                                  <a:pt x="1722" y="376"/>
                                </a:lnTo>
                                <a:lnTo>
                                  <a:pt x="1756" y="311"/>
                                </a:lnTo>
                                <a:lnTo>
                                  <a:pt x="1768" y="237"/>
                                </a:lnTo>
                                <a:lnTo>
                                  <a:pt x="1756" y="162"/>
                                </a:lnTo>
                                <a:lnTo>
                                  <a:pt x="1722" y="97"/>
                                </a:lnTo>
                                <a:lnTo>
                                  <a:pt x="1671" y="46"/>
                                </a:lnTo>
                                <a:lnTo>
                                  <a:pt x="1606" y="12"/>
                                </a:lnTo>
                                <a:lnTo>
                                  <a:pt x="1531" y="0"/>
                                </a:lnTo>
                                <a:lnTo>
                                  <a:pt x="238" y="0"/>
                                </a:lnTo>
                                <a:lnTo>
                                  <a:pt x="163" y="12"/>
                                </a:lnTo>
                                <a:lnTo>
                                  <a:pt x="97" y="46"/>
                                </a:lnTo>
                                <a:lnTo>
                                  <a:pt x="46" y="97"/>
                                </a:lnTo>
                                <a:lnTo>
                                  <a:pt x="12" y="162"/>
                                </a:lnTo>
                                <a:lnTo>
                                  <a:pt x="0" y="237"/>
                                </a:lnTo>
                                <a:lnTo>
                                  <a:pt x="12" y="311"/>
                                </a:lnTo>
                                <a:lnTo>
                                  <a:pt x="46" y="376"/>
                                </a:lnTo>
                                <a:lnTo>
                                  <a:pt x="97" y="427"/>
                                </a:lnTo>
                                <a:lnTo>
                                  <a:pt x="163" y="461"/>
                                </a:lnTo>
                                <a:lnTo>
                                  <a:pt x="238" y="473"/>
                                </a:lnTo>
                                <a:close/>
                              </a:path>
                            </a:pathLst>
                          </a:custGeom>
                          <a:noFill/>
                          <a:ln w="2650">
                            <a:solidFill>
                              <a:srgbClr val="404040"/>
                            </a:solidFill>
                            <a:round/>
                          </a:ln>
                        </wps:spPr>
                        <wps:bodyPr rot="0" vert="horz" wrap="square" lIns="91440" tIns="45720" rIns="91440" bIns="45720" anchor="t" anchorCtr="0" upright="1"/>
                      </wps:wsp>
                      <wps:wsp xmlns:wps="http://schemas.microsoft.com/office/word/2010/wordprocessingShape">
                        <wps:cNvPr id="9" name="Rectangle 11"/>
                        <wps:cNvSpPr>
                          <a:spLocks noChangeArrowheads="1"/>
                        </wps:cNvSpPr>
                        <wps:spPr bwMode="auto">
                          <a:xfrm>
                            <a:off x="5365" y="2928"/>
                            <a:ext cx="1187" cy="473"/>
                          </a:xfrm>
                          <a:prstGeom prst="rect">
                            <a:avLst/>
                          </a:prstGeom>
                          <a:solidFill>
                            <a:srgbClr val="CDCDCD">
                              <a:alpha val="49803"/>
                            </a:srgbClr>
                          </a:solidFill>
                          <a:ln>
                            <a:noFill/>
                          </a:ln>
                        </wps:spPr>
                        <wps:bodyPr rot="0" vert="horz" wrap="square" lIns="91440" tIns="45720" rIns="91440" bIns="45720" anchor="t" anchorCtr="0" upright="1"/>
                      </wps:wsp>
                      <pic:pic xmlns:pic="http://schemas.openxmlformats.org/drawingml/2006/picture">
                        <pic:nvPicPr>
                          <pic:cNvPr id="10" name="Picture 12"/>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5341" y="2904"/>
                            <a:ext cx="1187" cy="473"/>
                          </a:xfrm>
                          <a:prstGeom prst="rect">
                            <a:avLst/>
                          </a:prstGeom>
                          <a:noFill/>
                        </pic:spPr>
                      </pic:pic>
                      <wps:wsp xmlns:wps="http://schemas.microsoft.com/office/word/2010/wordprocessingShape">
                        <wps:cNvPr id="11" name="Freeform 13"/>
                        <wps:cNvSpPr/>
                        <wps:spPr bwMode="auto">
                          <a:xfrm>
                            <a:off x="5365" y="3768"/>
                            <a:ext cx="1187" cy="710"/>
                          </a:xfrm>
                          <a:custGeom>
                            <a:avLst/>
                            <a:gdLst>
                              <a:gd name="T0" fmla="*/ 593 w 1187"/>
                              <a:gd name="T1" fmla="*/ 3768 h 710"/>
                              <a:gd name="T2" fmla="*/ 0 w 1187"/>
                              <a:gd name="T3" fmla="*/ 4123 h 710"/>
                              <a:gd name="T4" fmla="*/ 593 w 1187"/>
                              <a:gd name="T5" fmla="*/ 4478 h 710"/>
                              <a:gd name="T6" fmla="*/ 1186 w 1187"/>
                              <a:gd name="T7" fmla="*/ 4123 h 710"/>
                              <a:gd name="T8" fmla="*/ 593 w 1187"/>
                              <a:gd name="T9" fmla="*/ 3768 h 710"/>
                              <a:gd name="T10" fmla="*/ 0 60000 65536"/>
                              <a:gd name="T11" fmla="*/ 0 60000 65536"/>
                              <a:gd name="T12" fmla="*/ 0 60000 65536"/>
                              <a:gd name="T13" fmla="*/ 0 60000 65536"/>
                              <a:gd name="T14" fmla="*/ 0 60000 65536"/>
                            </a:gdLst>
                            <a:cxnLst>
                              <a:cxn ang="T10">
                                <a:pos x="T0" y="T1"/>
                              </a:cxn>
                              <a:cxn ang="T11">
                                <a:pos x="T2" y="T3"/>
                              </a:cxn>
                              <a:cxn ang="T12">
                                <a:pos x="T4" y="T5"/>
                              </a:cxn>
                              <a:cxn ang="T13">
                                <a:pos x="T6" y="T7"/>
                              </a:cxn>
                              <a:cxn ang="T14">
                                <a:pos x="T8" y="T9"/>
                              </a:cxn>
                            </a:cxnLst>
                            <a:rect l="0" t="0" r="r" b="b"/>
                            <a:pathLst>
                              <a:path fill="norm" h="710" w="1187" stroke="1">
                                <a:moveTo>
                                  <a:pt x="593" y="0"/>
                                </a:moveTo>
                                <a:lnTo>
                                  <a:pt x="0" y="355"/>
                                </a:lnTo>
                                <a:lnTo>
                                  <a:pt x="593" y="710"/>
                                </a:lnTo>
                                <a:lnTo>
                                  <a:pt x="1186" y="355"/>
                                </a:lnTo>
                                <a:lnTo>
                                  <a:pt x="593" y="0"/>
                                </a:lnTo>
                                <a:close/>
                              </a:path>
                            </a:pathLst>
                          </a:custGeom>
                          <a:solidFill>
                            <a:srgbClr val="CDCDCD">
                              <a:alpha val="49803"/>
                            </a:srgbClr>
                          </a:solidFill>
                          <a:ln>
                            <a:noFill/>
                          </a:ln>
                        </wps:spPr>
                        <wps:bodyPr rot="0" vert="horz" wrap="square" lIns="91440" tIns="45720" rIns="91440" bIns="45720" anchor="t" anchorCtr="0" upright="1"/>
                      </wps:wsp>
                      <wps:wsp xmlns:wps="http://schemas.microsoft.com/office/word/2010/wordprocessingShape">
                        <wps:cNvPr id="12" name="AutoShape 14"/>
                        <wps:cNvSpPr/>
                        <wps:spPr bwMode="auto">
                          <a:xfrm>
                            <a:off x="2603" y="5397"/>
                            <a:ext cx="1418" cy="426"/>
                          </a:xfrm>
                          <a:custGeom>
                            <a:avLst/>
                            <a:gdLst>
                              <a:gd name="T0" fmla="*/ 2763 w 1418"/>
                              <a:gd name="T1" fmla="*/ 4123 h 426"/>
                              <a:gd name="T2" fmla="*/ 3356 w 1418"/>
                              <a:gd name="T3" fmla="*/ 3768 h 426"/>
                              <a:gd name="T4" fmla="*/ 3356 w 1418"/>
                              <a:gd name="T5" fmla="*/ 3768 h 426"/>
                              <a:gd name="T6" fmla="*/ 2763 w 1418"/>
                              <a:gd name="T7" fmla="*/ 4123 h 426"/>
                              <a:gd name="T8" fmla="*/ 2763 w 1418"/>
                              <a:gd name="T9" fmla="*/ 4123 h 426"/>
                              <a:gd name="T10" fmla="*/ 3356 w 1418"/>
                              <a:gd name="T11" fmla="*/ 3768 h 426"/>
                              <a:gd name="T12" fmla="*/ 3949 w 1418"/>
                              <a:gd name="T13" fmla="*/ 4123 h 426"/>
                              <a:gd name="T14" fmla="*/ 3949 w 1418"/>
                              <a:gd name="T15" fmla="*/ 4123 h 426"/>
                              <a:gd name="T16" fmla="*/ 0 60000 65536"/>
                              <a:gd name="T17" fmla="*/ 0 60000 65536"/>
                              <a:gd name="T18" fmla="*/ 0 60000 65536"/>
                              <a:gd name="T19" fmla="*/ 0 60000 65536"/>
                              <a:gd name="T20" fmla="*/ 0 60000 65536"/>
                              <a:gd name="T21" fmla="*/ 0 60000 65536"/>
                              <a:gd name="T22" fmla="*/ 0 60000 65536"/>
                              <a:gd name="T23" fmla="*/ 0 60000 65536"/>
                            </a:gd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fill="norm" h="426" w="1418" stroke="1">
                                <a:moveTo>
                                  <a:pt x="2763" y="-1275"/>
                                </a:moveTo>
                                <a:lnTo>
                                  <a:pt x="3356" y="-1630"/>
                                </a:lnTo>
                                <a:moveTo>
                                  <a:pt x="2763" y="-1275"/>
                                </a:moveTo>
                                <a:lnTo>
                                  <a:pt x="2763" y="-1275"/>
                                </a:lnTo>
                                <a:moveTo>
                                  <a:pt x="3356" y="-1630"/>
                                </a:moveTo>
                                <a:lnTo>
                                  <a:pt x="3949" y="-1275"/>
                                </a:lnTo>
                              </a:path>
                            </a:pathLst>
                          </a:custGeom>
                          <a:noFill/>
                          <a:ln w="2653">
                            <a:solidFill>
                              <a:srgbClr val="CDCDCD"/>
                            </a:solidFill>
                            <a:round/>
                          </a:ln>
                        </wps:spPr>
                        <wps:bodyPr rot="0" vert="horz" wrap="square" lIns="91440" tIns="45720" rIns="91440" bIns="45720" anchor="t" anchorCtr="0" upright="1"/>
                      </wps:wsp>
                      <pic:pic xmlns:pic="http://schemas.openxmlformats.org/drawingml/2006/picture">
                        <pic:nvPicPr>
                          <pic:cNvPr id="13" name="Picture 15"/>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a:xfrm>
                            <a:off x="5341" y="3744"/>
                            <a:ext cx="1187" cy="710"/>
                          </a:xfrm>
                          <a:prstGeom prst="rect">
                            <a:avLst/>
                          </a:prstGeom>
                          <a:noFill/>
                        </pic:spPr>
                      </pic:pic>
                      <wps:wsp xmlns:wps="http://schemas.microsoft.com/office/word/2010/wordprocessingShape">
                        <wps:cNvPr id="14" name="Freeform 16"/>
                        <wps:cNvSpPr/>
                        <wps:spPr bwMode="auto">
                          <a:xfrm>
                            <a:off x="5341" y="3744"/>
                            <a:ext cx="1187" cy="710"/>
                          </a:xfrm>
                          <a:custGeom>
                            <a:avLst/>
                            <a:gdLst>
                              <a:gd name="T0" fmla="*/ 0 w 1187"/>
                              <a:gd name="T1" fmla="*/ 4099 h 710"/>
                              <a:gd name="T2" fmla="*/ 594 w 1187"/>
                              <a:gd name="T3" fmla="*/ 3744 h 710"/>
                              <a:gd name="T4" fmla="*/ 1187 w 1187"/>
                              <a:gd name="T5" fmla="*/ 4099 h 710"/>
                              <a:gd name="T6" fmla="*/ 594 w 1187"/>
                              <a:gd name="T7" fmla="*/ 4454 h 710"/>
                              <a:gd name="T8" fmla="*/ 0 w 1187"/>
                              <a:gd name="T9" fmla="*/ 4099 h 710"/>
                              <a:gd name="T10" fmla="*/ 0 60000 65536"/>
                              <a:gd name="T11" fmla="*/ 0 60000 65536"/>
                              <a:gd name="T12" fmla="*/ 0 60000 65536"/>
                              <a:gd name="T13" fmla="*/ 0 60000 65536"/>
                              <a:gd name="T14" fmla="*/ 0 60000 65536"/>
                            </a:gdLst>
                            <a:cxnLst>
                              <a:cxn ang="T10">
                                <a:pos x="T0" y="T1"/>
                              </a:cxn>
                              <a:cxn ang="T11">
                                <a:pos x="T2" y="T3"/>
                              </a:cxn>
                              <a:cxn ang="T12">
                                <a:pos x="T4" y="T5"/>
                              </a:cxn>
                              <a:cxn ang="T13">
                                <a:pos x="T6" y="T7"/>
                              </a:cxn>
                              <a:cxn ang="T14">
                                <a:pos x="T8" y="T9"/>
                              </a:cxn>
                            </a:cxnLst>
                            <a:rect l="0" t="0" r="r" b="b"/>
                            <a:pathLst>
                              <a:path fill="norm" h="710" w="1187" stroke="1">
                                <a:moveTo>
                                  <a:pt x="0" y="355"/>
                                </a:moveTo>
                                <a:lnTo>
                                  <a:pt x="594" y="0"/>
                                </a:lnTo>
                                <a:lnTo>
                                  <a:pt x="1187" y="355"/>
                                </a:lnTo>
                                <a:lnTo>
                                  <a:pt x="594" y="710"/>
                                </a:lnTo>
                                <a:lnTo>
                                  <a:pt x="0" y="355"/>
                                </a:lnTo>
                                <a:close/>
                              </a:path>
                            </a:pathLst>
                          </a:custGeom>
                          <a:noFill/>
                          <a:ln w="2651">
                            <a:solidFill>
                              <a:srgbClr val="404040"/>
                            </a:solidFill>
                            <a:round/>
                          </a:ln>
                        </wps:spPr>
                        <wps:bodyPr rot="0" vert="horz" wrap="square" lIns="91440" tIns="45720" rIns="91440" bIns="45720" anchor="t" anchorCtr="0" upright="1"/>
                      </wps:wsp>
                      <wps:wsp xmlns:wps="http://schemas.microsoft.com/office/word/2010/wordprocessingShape">
                        <wps:cNvPr id="15" name="Rectangle 17"/>
                        <wps:cNvSpPr>
                          <a:spLocks noChangeArrowheads="1"/>
                        </wps:cNvSpPr>
                        <wps:spPr bwMode="auto">
                          <a:xfrm>
                            <a:off x="5128" y="4902"/>
                            <a:ext cx="1662" cy="473"/>
                          </a:xfrm>
                          <a:prstGeom prst="rect">
                            <a:avLst/>
                          </a:prstGeom>
                          <a:solidFill>
                            <a:srgbClr val="CDCDCD">
                              <a:alpha val="49803"/>
                            </a:srgbClr>
                          </a:solidFill>
                          <a:ln>
                            <a:noFill/>
                          </a:ln>
                        </wps:spPr>
                        <wps:bodyPr rot="0" vert="horz" wrap="square" lIns="91440" tIns="45720" rIns="91440" bIns="45720" anchor="t" anchorCtr="0" upright="1"/>
                      </wps:wsp>
                      <pic:pic xmlns:pic="http://schemas.openxmlformats.org/drawingml/2006/picture">
                        <pic:nvPicPr>
                          <pic:cNvPr id="16" name="Picture 18"/>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a:xfrm>
                            <a:off x="5104" y="4878"/>
                            <a:ext cx="1662" cy="473"/>
                          </a:xfrm>
                          <a:prstGeom prst="rect">
                            <a:avLst/>
                          </a:prstGeom>
                          <a:noFill/>
                        </pic:spPr>
                      </pic:pic>
                      <wps:wsp xmlns:wps="http://schemas.microsoft.com/office/word/2010/wordprocessingShape">
                        <wps:cNvPr id="17" name="Rectangle 19"/>
                        <wps:cNvSpPr>
                          <a:spLocks noChangeArrowheads="1"/>
                        </wps:cNvSpPr>
                        <wps:spPr bwMode="auto">
                          <a:xfrm>
                            <a:off x="5158" y="6425"/>
                            <a:ext cx="1640" cy="473"/>
                          </a:xfrm>
                          <a:prstGeom prst="rect">
                            <a:avLst/>
                          </a:prstGeom>
                          <a:solidFill>
                            <a:srgbClr val="CDCDCD">
                              <a:alpha val="49803"/>
                            </a:srgbClr>
                          </a:solidFill>
                          <a:ln>
                            <a:noFill/>
                          </a:ln>
                        </wps:spPr>
                        <wps:bodyPr rot="0" vert="horz" wrap="square" lIns="91440" tIns="45720" rIns="91440" bIns="45720" anchor="t" anchorCtr="0" upright="1"/>
                      </wps:wsp>
                      <wps:wsp xmlns:wps="http://schemas.microsoft.com/office/word/2010/wordprocessingShape">
                        <wps:cNvPr id="18" name="Line 20"/>
                        <wps:cNvCnPr>
                          <a:cxnSpLocks noChangeShapeType="1"/>
                        </wps:cNvCnPr>
                        <wps:spPr bwMode="auto">
                          <a:xfrm>
                            <a:off x="6798" y="6426"/>
                            <a:ext cx="0" cy="0"/>
                          </a:xfrm>
                          <a:prstGeom prst="line">
                            <a:avLst/>
                          </a:prstGeom>
                          <a:noFill/>
                          <a:ln w="2649">
                            <a:solidFill>
                              <a:srgbClr val="CDCDCD"/>
                            </a:solidFill>
                            <a:round/>
                          </a:ln>
                        </wps:spPr>
                        <wps:bodyPr/>
                      </wps:wsp>
                      <pic:pic xmlns:pic="http://schemas.openxmlformats.org/drawingml/2006/picture">
                        <pic:nvPicPr>
                          <pic:cNvPr id="19" name="Picture 21"/>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a:xfrm>
                            <a:off x="5134" y="6401"/>
                            <a:ext cx="1640" cy="473"/>
                          </a:xfrm>
                          <a:prstGeom prst="rect">
                            <a:avLst/>
                          </a:prstGeom>
                          <a:noFill/>
                        </pic:spPr>
                      </pic:pic>
                      <wps:wsp xmlns:wps="http://schemas.microsoft.com/office/word/2010/wordprocessingShape">
                        <wps:cNvPr id="20" name="Rectangle 22"/>
                        <wps:cNvSpPr>
                          <a:spLocks noChangeArrowheads="1"/>
                        </wps:cNvSpPr>
                        <wps:spPr bwMode="auto">
                          <a:xfrm>
                            <a:off x="5134" y="6401"/>
                            <a:ext cx="1640" cy="473"/>
                          </a:xfrm>
                          <a:prstGeom prst="rect">
                            <a:avLst/>
                          </a:prstGeom>
                          <a:noFill/>
                          <a:ln w="2650">
                            <a:solidFill>
                              <a:srgbClr val="404040"/>
                            </a:solidFill>
                            <a:miter lim="800000"/>
                          </a:ln>
                        </wps:spPr>
                        <wps:bodyPr rot="0" vert="horz" wrap="square" lIns="91440" tIns="45720" rIns="91440" bIns="45720" anchor="t" anchorCtr="0" upright="1"/>
                      </wps:wsp>
                      <wps:wsp xmlns:wps="http://schemas.microsoft.com/office/word/2010/wordprocessingShape">
                        <wps:cNvPr id="21" name="Rectangle 23"/>
                        <wps:cNvSpPr>
                          <a:spLocks noChangeArrowheads="1"/>
                        </wps:cNvSpPr>
                        <wps:spPr bwMode="auto">
                          <a:xfrm>
                            <a:off x="3277" y="3886"/>
                            <a:ext cx="1376" cy="473"/>
                          </a:xfrm>
                          <a:prstGeom prst="rect">
                            <a:avLst/>
                          </a:prstGeom>
                          <a:solidFill>
                            <a:srgbClr val="CDCDCD">
                              <a:alpha val="49803"/>
                            </a:srgbClr>
                          </a:solidFill>
                          <a:ln>
                            <a:noFill/>
                          </a:ln>
                        </wps:spPr>
                        <wps:bodyPr rot="0" vert="horz" wrap="square" lIns="91440" tIns="45720" rIns="91440" bIns="45720" anchor="t" anchorCtr="0" upright="1"/>
                      </wps:wsp>
                      <wps:wsp xmlns:wps="http://schemas.microsoft.com/office/word/2010/wordprocessingShape">
                        <wps:cNvPr id="22" name="Freeform 24"/>
                        <wps:cNvSpPr/>
                        <wps:spPr bwMode="auto">
                          <a:xfrm>
                            <a:off x="3277" y="3886"/>
                            <a:ext cx="1376" cy="474"/>
                          </a:xfrm>
                          <a:custGeom>
                            <a:avLst/>
                            <a:gdLst>
                              <a:gd name="T0" fmla="*/ 1376 w 1376"/>
                              <a:gd name="T1" fmla="*/ 3887 h 474"/>
                              <a:gd name="T2" fmla="*/ 0 w 1376"/>
                              <a:gd name="T3" fmla="*/ 3887 h 474"/>
                              <a:gd name="T4" fmla="*/ 0 w 1376"/>
                              <a:gd name="T5" fmla="*/ 4360 h 474"/>
                              <a:gd name="T6" fmla="*/ 0 60000 65536"/>
                              <a:gd name="T7" fmla="*/ 0 60000 65536"/>
                              <a:gd name="T8" fmla="*/ 0 60000 65536"/>
                            </a:gdLst>
                            <a:cxnLst>
                              <a:cxn ang="T6">
                                <a:pos x="T0" y="T1"/>
                              </a:cxn>
                              <a:cxn ang="T7">
                                <a:pos x="T2" y="T3"/>
                              </a:cxn>
                              <a:cxn ang="T8">
                                <a:pos x="T4" y="T5"/>
                              </a:cxn>
                            </a:cxnLst>
                            <a:rect l="0" t="0" r="r" b="b"/>
                            <a:pathLst>
                              <a:path fill="norm" h="474" w="1376" stroke="1">
                                <a:moveTo>
                                  <a:pt x="1376" y="0"/>
                                </a:moveTo>
                                <a:lnTo>
                                  <a:pt x="0" y="0"/>
                                </a:lnTo>
                                <a:lnTo>
                                  <a:pt x="0" y="473"/>
                                </a:lnTo>
                              </a:path>
                            </a:pathLst>
                          </a:custGeom>
                          <a:noFill/>
                          <a:ln w="2650">
                            <a:solidFill>
                              <a:srgbClr val="CDCDCD"/>
                            </a:solidFill>
                            <a:round/>
                          </a:ln>
                        </wps:spPr>
                        <wps:bodyPr rot="0" vert="horz" wrap="square" lIns="91440" tIns="45720" rIns="91440" bIns="45720" anchor="t" anchorCtr="0" upright="1"/>
                      </wps:wsp>
                      <pic:pic xmlns:pic="http://schemas.openxmlformats.org/drawingml/2006/picture">
                        <pic:nvPicPr>
                          <pic:cNvPr id="23" name="Picture 25"/>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a:xfrm>
                            <a:off x="3253" y="3862"/>
                            <a:ext cx="1376" cy="473"/>
                          </a:xfrm>
                          <a:prstGeom prst="rect">
                            <a:avLst/>
                          </a:prstGeom>
                          <a:noFill/>
                        </pic:spPr>
                      </pic:pic>
                      <wps:wsp xmlns:wps="http://schemas.microsoft.com/office/word/2010/wordprocessingShape">
                        <wps:cNvPr id="24" name="Freeform 26"/>
                        <wps:cNvSpPr/>
                        <wps:spPr bwMode="auto">
                          <a:xfrm>
                            <a:off x="5365" y="7242"/>
                            <a:ext cx="1187" cy="710"/>
                          </a:xfrm>
                          <a:custGeom>
                            <a:avLst/>
                            <a:gdLst>
                              <a:gd name="T0" fmla="*/ 593 w 1187"/>
                              <a:gd name="T1" fmla="*/ 7243 h 710"/>
                              <a:gd name="T2" fmla="*/ 0 w 1187"/>
                              <a:gd name="T3" fmla="*/ 7598 h 710"/>
                              <a:gd name="T4" fmla="*/ 593 w 1187"/>
                              <a:gd name="T5" fmla="*/ 7952 h 710"/>
                              <a:gd name="T6" fmla="*/ 1186 w 1187"/>
                              <a:gd name="T7" fmla="*/ 7598 h 710"/>
                              <a:gd name="T8" fmla="*/ 593 w 1187"/>
                              <a:gd name="T9" fmla="*/ 7243 h 710"/>
                              <a:gd name="T10" fmla="*/ 0 60000 65536"/>
                              <a:gd name="T11" fmla="*/ 0 60000 65536"/>
                              <a:gd name="T12" fmla="*/ 0 60000 65536"/>
                              <a:gd name="T13" fmla="*/ 0 60000 65536"/>
                              <a:gd name="T14" fmla="*/ 0 60000 65536"/>
                            </a:gdLst>
                            <a:cxnLst>
                              <a:cxn ang="T10">
                                <a:pos x="T0" y="T1"/>
                              </a:cxn>
                              <a:cxn ang="T11">
                                <a:pos x="T2" y="T3"/>
                              </a:cxn>
                              <a:cxn ang="T12">
                                <a:pos x="T4" y="T5"/>
                              </a:cxn>
                              <a:cxn ang="T13">
                                <a:pos x="T6" y="T7"/>
                              </a:cxn>
                              <a:cxn ang="T14">
                                <a:pos x="T8" y="T9"/>
                              </a:cxn>
                            </a:cxnLst>
                            <a:rect l="0" t="0" r="r" b="b"/>
                            <a:pathLst>
                              <a:path fill="norm" h="710" w="1187" stroke="1">
                                <a:moveTo>
                                  <a:pt x="593" y="0"/>
                                </a:moveTo>
                                <a:lnTo>
                                  <a:pt x="0" y="355"/>
                                </a:lnTo>
                                <a:lnTo>
                                  <a:pt x="593" y="709"/>
                                </a:lnTo>
                                <a:lnTo>
                                  <a:pt x="1186" y="355"/>
                                </a:lnTo>
                                <a:lnTo>
                                  <a:pt x="593" y="0"/>
                                </a:lnTo>
                                <a:close/>
                              </a:path>
                            </a:pathLst>
                          </a:custGeom>
                          <a:solidFill>
                            <a:srgbClr val="CDCDCD">
                              <a:alpha val="49803"/>
                            </a:srgbClr>
                          </a:solidFill>
                          <a:ln>
                            <a:noFill/>
                          </a:ln>
                        </wps:spPr>
                        <wps:bodyPr rot="0" vert="horz" wrap="square" lIns="91440" tIns="45720" rIns="91440" bIns="45720" anchor="t" anchorCtr="0" upright="1"/>
                      </wps:wsp>
                      <wps:wsp xmlns:wps="http://schemas.microsoft.com/office/word/2010/wordprocessingShape">
                        <wps:cNvPr id="25" name="AutoShape 27"/>
                        <wps:cNvSpPr/>
                        <wps:spPr bwMode="auto">
                          <a:xfrm>
                            <a:off x="2603" y="9562"/>
                            <a:ext cx="1418" cy="426"/>
                          </a:xfrm>
                          <a:custGeom>
                            <a:avLst/>
                            <a:gdLst>
                              <a:gd name="T0" fmla="*/ 2763 w 1418"/>
                              <a:gd name="T1" fmla="*/ 7598 h 426"/>
                              <a:gd name="T2" fmla="*/ 3356 w 1418"/>
                              <a:gd name="T3" fmla="*/ 7243 h 426"/>
                              <a:gd name="T4" fmla="*/ 3356 w 1418"/>
                              <a:gd name="T5" fmla="*/ 7243 h 426"/>
                              <a:gd name="T6" fmla="*/ 2763 w 1418"/>
                              <a:gd name="T7" fmla="*/ 7598 h 426"/>
                              <a:gd name="T8" fmla="*/ 2763 w 1418"/>
                              <a:gd name="T9" fmla="*/ 7598 h 426"/>
                              <a:gd name="T10" fmla="*/ 3356 w 1418"/>
                              <a:gd name="T11" fmla="*/ 7243 h 426"/>
                              <a:gd name="T12" fmla="*/ 3949 w 1418"/>
                              <a:gd name="T13" fmla="*/ 7598 h 426"/>
                              <a:gd name="T14" fmla="*/ 3949 w 1418"/>
                              <a:gd name="T15" fmla="*/ 7598 h 426"/>
                              <a:gd name="T16" fmla="*/ 0 60000 65536"/>
                              <a:gd name="T17" fmla="*/ 0 60000 65536"/>
                              <a:gd name="T18" fmla="*/ 0 60000 65536"/>
                              <a:gd name="T19" fmla="*/ 0 60000 65536"/>
                              <a:gd name="T20" fmla="*/ 0 60000 65536"/>
                              <a:gd name="T21" fmla="*/ 0 60000 65536"/>
                              <a:gd name="T22" fmla="*/ 0 60000 65536"/>
                              <a:gd name="T23" fmla="*/ 0 60000 65536"/>
                            </a:gd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fill="norm" h="426" w="1418" stroke="1">
                                <a:moveTo>
                                  <a:pt x="2763" y="-1964"/>
                                </a:moveTo>
                                <a:lnTo>
                                  <a:pt x="3356" y="-2319"/>
                                </a:lnTo>
                                <a:moveTo>
                                  <a:pt x="2763" y="-1964"/>
                                </a:moveTo>
                                <a:lnTo>
                                  <a:pt x="2763" y="-1964"/>
                                </a:lnTo>
                                <a:moveTo>
                                  <a:pt x="3356" y="-2319"/>
                                </a:moveTo>
                                <a:lnTo>
                                  <a:pt x="3949" y="-1964"/>
                                </a:lnTo>
                              </a:path>
                            </a:pathLst>
                          </a:custGeom>
                          <a:noFill/>
                          <a:ln w="2653">
                            <a:solidFill>
                              <a:srgbClr val="CDCDCD"/>
                            </a:solidFill>
                            <a:round/>
                          </a:ln>
                        </wps:spPr>
                        <wps:bodyPr rot="0" vert="horz" wrap="square" lIns="91440" tIns="45720" rIns="91440" bIns="45720" anchor="t" anchorCtr="0" upright="1"/>
                      </wps:wsp>
                      <pic:pic xmlns:pic="http://schemas.openxmlformats.org/drawingml/2006/picture">
                        <pic:nvPicPr>
                          <pic:cNvPr id="26" name="Picture 28"/>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a:xfrm>
                            <a:off x="5341" y="7218"/>
                            <a:ext cx="1187" cy="710"/>
                          </a:xfrm>
                          <a:prstGeom prst="rect">
                            <a:avLst/>
                          </a:prstGeom>
                          <a:noFill/>
                        </pic:spPr>
                      </pic:pic>
                      <wps:wsp xmlns:wps="http://schemas.microsoft.com/office/word/2010/wordprocessingShape">
                        <wps:cNvPr id="27" name="Freeform 29"/>
                        <wps:cNvSpPr/>
                        <wps:spPr bwMode="auto">
                          <a:xfrm>
                            <a:off x="5341" y="7218"/>
                            <a:ext cx="1187" cy="710"/>
                          </a:xfrm>
                          <a:custGeom>
                            <a:avLst/>
                            <a:gdLst>
                              <a:gd name="T0" fmla="*/ 0 w 1187"/>
                              <a:gd name="T1" fmla="*/ 7573 h 710"/>
                              <a:gd name="T2" fmla="*/ 594 w 1187"/>
                              <a:gd name="T3" fmla="*/ 7219 h 710"/>
                              <a:gd name="T4" fmla="*/ 1187 w 1187"/>
                              <a:gd name="T5" fmla="*/ 7573 h 710"/>
                              <a:gd name="T6" fmla="*/ 594 w 1187"/>
                              <a:gd name="T7" fmla="*/ 7928 h 710"/>
                              <a:gd name="T8" fmla="*/ 0 w 1187"/>
                              <a:gd name="T9" fmla="*/ 7573 h 710"/>
                              <a:gd name="T10" fmla="*/ 0 60000 65536"/>
                              <a:gd name="T11" fmla="*/ 0 60000 65536"/>
                              <a:gd name="T12" fmla="*/ 0 60000 65536"/>
                              <a:gd name="T13" fmla="*/ 0 60000 65536"/>
                              <a:gd name="T14" fmla="*/ 0 60000 65536"/>
                            </a:gdLst>
                            <a:cxnLst>
                              <a:cxn ang="T10">
                                <a:pos x="T0" y="T1"/>
                              </a:cxn>
                              <a:cxn ang="T11">
                                <a:pos x="T2" y="T3"/>
                              </a:cxn>
                              <a:cxn ang="T12">
                                <a:pos x="T4" y="T5"/>
                              </a:cxn>
                              <a:cxn ang="T13">
                                <a:pos x="T6" y="T7"/>
                              </a:cxn>
                              <a:cxn ang="T14">
                                <a:pos x="T8" y="T9"/>
                              </a:cxn>
                            </a:cxnLst>
                            <a:rect l="0" t="0" r="r" b="b"/>
                            <a:pathLst>
                              <a:path fill="norm" h="710" w="1187" stroke="1">
                                <a:moveTo>
                                  <a:pt x="0" y="354"/>
                                </a:moveTo>
                                <a:lnTo>
                                  <a:pt x="594" y="0"/>
                                </a:lnTo>
                                <a:lnTo>
                                  <a:pt x="1187" y="354"/>
                                </a:lnTo>
                                <a:lnTo>
                                  <a:pt x="594" y="709"/>
                                </a:lnTo>
                                <a:lnTo>
                                  <a:pt x="0" y="354"/>
                                </a:lnTo>
                                <a:close/>
                              </a:path>
                            </a:pathLst>
                          </a:custGeom>
                          <a:noFill/>
                          <a:ln w="2651">
                            <a:solidFill>
                              <a:srgbClr val="404040"/>
                            </a:solidFill>
                            <a:round/>
                          </a:ln>
                        </wps:spPr>
                        <wps:bodyPr rot="0" vert="horz" wrap="square" lIns="91440" tIns="45720" rIns="91440" bIns="45720" anchor="t" anchorCtr="0" upright="1"/>
                      </wps:wsp>
                      <wps:wsp xmlns:wps="http://schemas.microsoft.com/office/word/2010/wordprocessingShape">
                        <wps:cNvPr id="28" name="Rectangle 30"/>
                        <wps:cNvSpPr>
                          <a:spLocks noChangeArrowheads="1"/>
                        </wps:cNvSpPr>
                        <wps:spPr bwMode="auto">
                          <a:xfrm>
                            <a:off x="3467" y="7361"/>
                            <a:ext cx="1187" cy="473"/>
                          </a:xfrm>
                          <a:prstGeom prst="rect">
                            <a:avLst/>
                          </a:prstGeom>
                          <a:solidFill>
                            <a:srgbClr val="CDCDCD">
                              <a:alpha val="49803"/>
                            </a:srgbClr>
                          </a:solidFill>
                          <a:ln>
                            <a:noFill/>
                          </a:ln>
                        </wps:spPr>
                        <wps:bodyPr rot="0" vert="horz" wrap="square" lIns="91440" tIns="45720" rIns="91440" bIns="45720" anchor="t" anchorCtr="0" upright="1"/>
                      </wps:wsp>
                      <pic:pic xmlns:pic="http://schemas.openxmlformats.org/drawingml/2006/picture">
                        <pic:nvPicPr>
                          <pic:cNvPr id="29" name="Picture 31"/>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3443" y="7337"/>
                            <a:ext cx="1187" cy="473"/>
                          </a:xfrm>
                          <a:prstGeom prst="rect">
                            <a:avLst/>
                          </a:prstGeom>
                          <a:noFill/>
                        </pic:spPr>
                      </pic:pic>
                      <wps:wsp xmlns:wps="http://schemas.microsoft.com/office/word/2010/wordprocessingShape">
                        <wps:cNvPr id="30" name="Rectangle 32"/>
                        <wps:cNvSpPr>
                          <a:spLocks noChangeArrowheads="1"/>
                        </wps:cNvSpPr>
                        <wps:spPr bwMode="auto">
                          <a:xfrm>
                            <a:off x="5365" y="8425"/>
                            <a:ext cx="1187" cy="473"/>
                          </a:xfrm>
                          <a:prstGeom prst="rect">
                            <a:avLst/>
                          </a:prstGeom>
                          <a:solidFill>
                            <a:srgbClr val="CDCDCD">
                              <a:alpha val="49803"/>
                            </a:srgbClr>
                          </a:solidFill>
                          <a:ln>
                            <a:noFill/>
                          </a:ln>
                        </wps:spPr>
                        <wps:bodyPr rot="0" vert="horz" wrap="square" lIns="91440" tIns="45720" rIns="91440" bIns="45720" anchor="t" anchorCtr="0" upright="1"/>
                      </wps:wsp>
                      <pic:pic xmlns:pic="http://schemas.openxmlformats.org/drawingml/2006/picture">
                        <pic:nvPicPr>
                          <pic:cNvPr id="31" name="Picture 33"/>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5341" y="8401"/>
                            <a:ext cx="1187" cy="473"/>
                          </a:xfrm>
                          <a:prstGeom prst="rect">
                            <a:avLst/>
                          </a:prstGeom>
                          <a:noFill/>
                        </pic:spPr>
                      </pic:pic>
                      <wps:wsp xmlns:wps="http://schemas.microsoft.com/office/word/2010/wordprocessingShape">
                        <wps:cNvPr id="449" name="Rectangle 34"/>
                        <wps:cNvSpPr>
                          <a:spLocks noChangeArrowheads="1"/>
                        </wps:cNvSpPr>
                        <wps:spPr bwMode="auto">
                          <a:xfrm>
                            <a:off x="7348" y="7365"/>
                            <a:ext cx="1187" cy="473"/>
                          </a:xfrm>
                          <a:prstGeom prst="rect">
                            <a:avLst/>
                          </a:prstGeom>
                          <a:solidFill>
                            <a:srgbClr val="CDCDCD">
                              <a:alpha val="49803"/>
                            </a:srgbClr>
                          </a:solidFill>
                          <a:ln>
                            <a:noFill/>
                          </a:ln>
                        </wps:spPr>
                        <wps:bodyPr rot="0" vert="horz" wrap="square" lIns="91440" tIns="45720" rIns="91440" bIns="45720" anchor="t" anchorCtr="0" upright="1"/>
                      </wps:wsp>
                      <wps:wsp xmlns:wps="http://schemas.microsoft.com/office/word/2010/wordprocessingShape">
                        <wps:cNvPr id="450" name="Freeform 35"/>
                        <wps:cNvSpPr/>
                        <wps:spPr bwMode="auto">
                          <a:xfrm>
                            <a:off x="7348" y="7365"/>
                            <a:ext cx="1187" cy="474"/>
                          </a:xfrm>
                          <a:custGeom>
                            <a:avLst/>
                            <a:gdLst>
                              <a:gd name="T0" fmla="*/ 1187 w 1187"/>
                              <a:gd name="T1" fmla="*/ 7365 h 474"/>
                              <a:gd name="T2" fmla="*/ 0 w 1187"/>
                              <a:gd name="T3" fmla="*/ 7365 h 474"/>
                              <a:gd name="T4" fmla="*/ 0 w 1187"/>
                              <a:gd name="T5" fmla="*/ 7838 h 474"/>
                              <a:gd name="T6" fmla="*/ 0 60000 65536"/>
                              <a:gd name="T7" fmla="*/ 0 60000 65536"/>
                              <a:gd name="T8" fmla="*/ 0 60000 65536"/>
                            </a:gdLst>
                            <a:cxnLst>
                              <a:cxn ang="T6">
                                <a:pos x="T0" y="T1"/>
                              </a:cxn>
                              <a:cxn ang="T7">
                                <a:pos x="T2" y="T3"/>
                              </a:cxn>
                              <a:cxn ang="T8">
                                <a:pos x="T4" y="T5"/>
                              </a:cxn>
                            </a:cxnLst>
                            <a:rect l="0" t="0" r="r" b="b"/>
                            <a:pathLst>
                              <a:path fill="norm" h="474" w="1187" stroke="1">
                                <a:moveTo>
                                  <a:pt x="1187" y="0"/>
                                </a:moveTo>
                                <a:lnTo>
                                  <a:pt x="0" y="0"/>
                                </a:lnTo>
                                <a:lnTo>
                                  <a:pt x="0" y="473"/>
                                </a:lnTo>
                              </a:path>
                            </a:pathLst>
                          </a:custGeom>
                          <a:noFill/>
                          <a:ln w="2650">
                            <a:solidFill>
                              <a:srgbClr val="CDCDCD"/>
                            </a:solidFill>
                            <a:round/>
                          </a:ln>
                        </wps:spPr>
                        <wps:bodyPr rot="0" vert="horz" wrap="square" lIns="91440" tIns="45720" rIns="91440" bIns="45720" anchor="t" anchorCtr="0" upright="1"/>
                      </wps:wsp>
                      <pic:pic xmlns:pic="http://schemas.openxmlformats.org/drawingml/2006/picture">
                        <pic:nvPicPr>
                          <pic:cNvPr id="451" name="Picture 36"/>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7324" y="7341"/>
                            <a:ext cx="1187" cy="473"/>
                          </a:xfrm>
                          <a:prstGeom prst="rect">
                            <a:avLst/>
                          </a:prstGeom>
                          <a:noFill/>
                        </pic:spPr>
                      </pic:pic>
                      <wps:wsp xmlns:wps="http://schemas.microsoft.com/office/word/2010/wordprocessingShape">
                        <wps:cNvPr id="452" name="Rectangle 37"/>
                        <wps:cNvSpPr>
                          <a:spLocks noChangeArrowheads="1"/>
                        </wps:cNvSpPr>
                        <wps:spPr bwMode="auto">
                          <a:xfrm>
                            <a:off x="7263" y="6425"/>
                            <a:ext cx="1368" cy="473"/>
                          </a:xfrm>
                          <a:prstGeom prst="rect">
                            <a:avLst/>
                          </a:prstGeom>
                          <a:solidFill>
                            <a:srgbClr val="CDCDCD">
                              <a:alpha val="49803"/>
                            </a:srgbClr>
                          </a:solidFill>
                          <a:ln>
                            <a:noFill/>
                          </a:ln>
                        </wps:spPr>
                        <wps:bodyPr rot="0" vert="horz" wrap="square" lIns="91440" tIns="45720" rIns="91440" bIns="45720" anchor="t" anchorCtr="0" upright="1"/>
                      </wps:wsp>
                      <wps:wsp xmlns:wps="http://schemas.microsoft.com/office/word/2010/wordprocessingShape">
                        <wps:cNvPr id="453" name="Freeform 38"/>
                        <wps:cNvSpPr/>
                        <wps:spPr bwMode="auto">
                          <a:xfrm>
                            <a:off x="7263" y="6425"/>
                            <a:ext cx="1368" cy="474"/>
                          </a:xfrm>
                          <a:custGeom>
                            <a:avLst/>
                            <a:gdLst>
                              <a:gd name="T0" fmla="*/ 1367 w 1368"/>
                              <a:gd name="T1" fmla="*/ 6426 h 474"/>
                              <a:gd name="T2" fmla="*/ 0 w 1368"/>
                              <a:gd name="T3" fmla="*/ 6426 h 474"/>
                              <a:gd name="T4" fmla="*/ 0 w 1368"/>
                              <a:gd name="T5" fmla="*/ 6899 h 474"/>
                              <a:gd name="T6" fmla="*/ 0 60000 65536"/>
                              <a:gd name="T7" fmla="*/ 0 60000 65536"/>
                              <a:gd name="T8" fmla="*/ 0 60000 65536"/>
                            </a:gdLst>
                            <a:cxnLst>
                              <a:cxn ang="T6">
                                <a:pos x="T0" y="T1"/>
                              </a:cxn>
                              <a:cxn ang="T7">
                                <a:pos x="T2" y="T3"/>
                              </a:cxn>
                              <a:cxn ang="T8">
                                <a:pos x="T4" y="T5"/>
                              </a:cxn>
                            </a:cxnLst>
                            <a:rect l="0" t="0" r="r" b="b"/>
                            <a:pathLst>
                              <a:path fill="norm" h="474" w="1368" stroke="1">
                                <a:moveTo>
                                  <a:pt x="1367" y="0"/>
                                </a:moveTo>
                                <a:lnTo>
                                  <a:pt x="0" y="0"/>
                                </a:lnTo>
                                <a:lnTo>
                                  <a:pt x="0" y="473"/>
                                </a:lnTo>
                              </a:path>
                            </a:pathLst>
                          </a:custGeom>
                          <a:noFill/>
                          <a:ln w="2650">
                            <a:solidFill>
                              <a:srgbClr val="CDCDCD"/>
                            </a:solidFill>
                            <a:round/>
                          </a:ln>
                        </wps:spPr>
                        <wps:bodyPr rot="0" vert="horz" wrap="square" lIns="91440" tIns="45720" rIns="91440" bIns="45720" anchor="t" anchorCtr="0" upright="1"/>
                      </wps:wsp>
                      <pic:pic xmlns:pic="http://schemas.openxmlformats.org/drawingml/2006/picture">
                        <pic:nvPicPr>
                          <pic:cNvPr id="454" name="Picture 39"/>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a:xfrm>
                            <a:off x="7239" y="6401"/>
                            <a:ext cx="1368" cy="473"/>
                          </a:xfrm>
                          <a:prstGeom prst="rect">
                            <a:avLst/>
                          </a:prstGeom>
                          <a:noFill/>
                        </pic:spPr>
                      </pic:pic>
                      <pic:pic xmlns:pic="http://schemas.openxmlformats.org/drawingml/2006/picture">
                        <pic:nvPicPr>
                          <pic:cNvPr id="459" name="Picture 40"/>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a:xfrm>
                            <a:off x="5878" y="2499"/>
                            <a:ext cx="118" cy="405"/>
                          </a:xfrm>
                          <a:prstGeom prst="rect">
                            <a:avLst/>
                          </a:prstGeom>
                          <a:noFill/>
                        </pic:spPr>
                      </pic:pic>
                      <pic:pic xmlns:pic="http://schemas.openxmlformats.org/drawingml/2006/picture">
                        <pic:nvPicPr>
                          <pic:cNvPr id="460" name="Picture 41"/>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a:xfrm>
                            <a:off x="5875" y="3377"/>
                            <a:ext cx="118" cy="368"/>
                          </a:xfrm>
                          <a:prstGeom prst="rect">
                            <a:avLst/>
                          </a:prstGeom>
                          <a:noFill/>
                        </pic:spPr>
                      </pic:pic>
                      <pic:pic xmlns:pic="http://schemas.openxmlformats.org/drawingml/2006/picture">
                        <pic:nvPicPr>
                          <pic:cNvPr id="461" name="Picture 42"/>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a:xfrm>
                            <a:off x="5867" y="4453"/>
                            <a:ext cx="135" cy="425"/>
                          </a:xfrm>
                          <a:prstGeom prst="rect">
                            <a:avLst/>
                          </a:prstGeom>
                          <a:noFill/>
                        </pic:spPr>
                      </pic:pic>
                      <wps:wsp xmlns:wps="http://schemas.microsoft.com/office/word/2010/wordprocessingShape">
                        <wps:cNvPr id="462" name="Line 43"/>
                        <wps:cNvCnPr>
                          <a:cxnSpLocks noChangeShapeType="1"/>
                        </wps:cNvCnPr>
                        <wps:spPr bwMode="auto">
                          <a:xfrm>
                            <a:off x="5935" y="4747"/>
                            <a:ext cx="0" cy="43"/>
                          </a:xfrm>
                          <a:prstGeom prst="line">
                            <a:avLst/>
                          </a:prstGeom>
                          <a:noFill/>
                          <a:ln w="10631">
                            <a:solidFill>
                              <a:srgbClr val="404040"/>
                            </a:solidFill>
                            <a:round/>
                          </a:ln>
                        </wps:spPr>
                        <wps:bodyPr/>
                      </wps:wsp>
                      <pic:pic xmlns:pic="http://schemas.openxmlformats.org/drawingml/2006/picture">
                        <pic:nvPicPr>
                          <pic:cNvPr id="463" name="Picture 44"/>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a:xfrm>
                            <a:off x="5885" y="6866"/>
                            <a:ext cx="118" cy="357"/>
                          </a:xfrm>
                          <a:prstGeom prst="rect">
                            <a:avLst/>
                          </a:prstGeom>
                          <a:noFill/>
                        </pic:spPr>
                      </pic:pic>
                      <wps:wsp xmlns:wps="http://schemas.microsoft.com/office/word/2010/wordprocessingShape">
                        <wps:cNvPr id="464" name="Rectangle 45"/>
                        <wps:cNvSpPr>
                          <a:spLocks noChangeArrowheads="1"/>
                        </wps:cNvSpPr>
                        <wps:spPr bwMode="auto">
                          <a:xfrm>
                            <a:off x="5365" y="9186"/>
                            <a:ext cx="1187" cy="473"/>
                          </a:xfrm>
                          <a:prstGeom prst="rect">
                            <a:avLst/>
                          </a:prstGeom>
                          <a:solidFill>
                            <a:srgbClr val="CDCDCD">
                              <a:alpha val="49803"/>
                            </a:srgbClr>
                          </a:solidFill>
                          <a:ln>
                            <a:noFill/>
                          </a:ln>
                        </wps:spPr>
                        <wps:bodyPr rot="0" vert="horz" wrap="square" lIns="91440" tIns="45720" rIns="91440" bIns="45720" anchor="t" anchorCtr="0" upright="1"/>
                      </wps:wsp>
                      <pic:pic xmlns:pic="http://schemas.openxmlformats.org/drawingml/2006/picture">
                        <pic:nvPicPr>
                          <pic:cNvPr id="465" name="Picture 46"/>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5341" y="9162"/>
                            <a:ext cx="1187" cy="473"/>
                          </a:xfrm>
                          <a:prstGeom prst="rect">
                            <a:avLst/>
                          </a:prstGeom>
                          <a:noFill/>
                        </pic:spPr>
                      </pic:pic>
                      <pic:pic xmlns:pic="http://schemas.openxmlformats.org/drawingml/2006/picture">
                        <pic:nvPicPr>
                          <pic:cNvPr id="466" name="Picture 47"/>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a:xfrm>
                            <a:off x="5875" y="8874"/>
                            <a:ext cx="118" cy="289"/>
                          </a:xfrm>
                          <a:prstGeom prst="rect">
                            <a:avLst/>
                          </a:prstGeom>
                          <a:noFill/>
                        </pic:spPr>
                      </pic:pic>
                      <wps:wsp xmlns:wps="http://schemas.microsoft.com/office/word/2010/wordprocessingShape">
                        <wps:cNvPr id="467" name="Rectangle 48"/>
                        <wps:cNvSpPr>
                          <a:spLocks noChangeArrowheads="1"/>
                        </wps:cNvSpPr>
                        <wps:spPr bwMode="auto">
                          <a:xfrm>
                            <a:off x="5365" y="9949"/>
                            <a:ext cx="1187" cy="473"/>
                          </a:xfrm>
                          <a:prstGeom prst="rect">
                            <a:avLst/>
                          </a:prstGeom>
                          <a:solidFill>
                            <a:srgbClr val="CDCDCD">
                              <a:alpha val="49803"/>
                            </a:srgbClr>
                          </a:solidFill>
                          <a:ln>
                            <a:noFill/>
                          </a:ln>
                        </wps:spPr>
                        <wps:bodyPr rot="0" vert="horz" wrap="square" lIns="91440" tIns="45720" rIns="91440" bIns="45720" anchor="t" anchorCtr="0" upright="1"/>
                      </wps:wsp>
                      <pic:pic xmlns:pic="http://schemas.openxmlformats.org/drawingml/2006/picture">
                        <pic:nvPicPr>
                          <pic:cNvPr id="468" name="Picture 49"/>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5341" y="9925"/>
                            <a:ext cx="1187" cy="473"/>
                          </a:xfrm>
                          <a:prstGeom prst="rect">
                            <a:avLst/>
                          </a:prstGeom>
                          <a:noFill/>
                        </pic:spPr>
                      </pic:pic>
                      <pic:pic xmlns:pic="http://schemas.openxmlformats.org/drawingml/2006/picture">
                        <pic:nvPicPr>
                          <pic:cNvPr id="469" name="Picture 50"/>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a:xfrm>
                            <a:off x="5875" y="9635"/>
                            <a:ext cx="118" cy="291"/>
                          </a:xfrm>
                          <a:prstGeom prst="rect">
                            <a:avLst/>
                          </a:prstGeom>
                          <a:noFill/>
                        </pic:spPr>
                      </pic:pic>
                      <wps:wsp xmlns:wps="http://schemas.microsoft.com/office/word/2010/wordprocessingShape">
                        <wps:cNvPr id="470" name="AutoShape 51"/>
                        <wps:cNvSpPr/>
                        <wps:spPr bwMode="auto">
                          <a:xfrm>
                            <a:off x="6517" y="7575"/>
                            <a:ext cx="726" cy="2"/>
                          </a:xfrm>
                          <a:custGeom>
                            <a:avLst/>
                            <a:gdLst>
                              <a:gd name="T0" fmla="*/ 475 w 726"/>
                              <a:gd name="T1" fmla="*/ 0 h 2"/>
                              <a:gd name="T2" fmla="*/ 726 w 726"/>
                              <a:gd name="T3" fmla="*/ 0 h 2"/>
                              <a:gd name="T4" fmla="*/ 0 w 726"/>
                              <a:gd name="T5" fmla="*/ 0 h 2"/>
                              <a:gd name="T6" fmla="*/ 341 w 726"/>
                              <a:gd name="T7" fmla="*/ 0 h 2"/>
                              <a:gd name="T8" fmla="*/ 0 60000 65536"/>
                              <a:gd name="T9" fmla="*/ 0 60000 65536"/>
                              <a:gd name="T10" fmla="*/ 0 60000 65536"/>
                              <a:gd name="T11" fmla="*/ 0 60000 65536"/>
                            </a:gdLst>
                            <a:cxnLst>
                              <a:cxn ang="T8">
                                <a:pos x="T0" y="T1"/>
                              </a:cxn>
                              <a:cxn ang="T9">
                                <a:pos x="T2" y="T3"/>
                              </a:cxn>
                              <a:cxn ang="T10">
                                <a:pos x="T4" y="T5"/>
                              </a:cxn>
                              <a:cxn ang="T11">
                                <a:pos x="T6" y="T7"/>
                              </a:cxn>
                            </a:cxnLst>
                            <a:rect l="0" t="0" r="r" b="b"/>
                            <a:pathLst>
                              <a:path fill="norm" h="2" w="726" stroke="1">
                                <a:moveTo>
                                  <a:pt x="475" y="0"/>
                                </a:moveTo>
                                <a:lnTo>
                                  <a:pt x="726" y="0"/>
                                </a:lnTo>
                                <a:moveTo>
                                  <a:pt x="0" y="0"/>
                                </a:moveTo>
                                <a:lnTo>
                                  <a:pt x="341" y="0"/>
                                </a:lnTo>
                              </a:path>
                            </a:pathLst>
                          </a:custGeom>
                          <a:noFill/>
                          <a:ln w="11549">
                            <a:solidFill>
                              <a:srgbClr val="404040"/>
                            </a:solidFill>
                            <a:round/>
                          </a:ln>
                        </wps:spPr>
                        <wps:bodyPr rot="0" vert="horz" wrap="square" lIns="91440" tIns="45720" rIns="91440" bIns="45720" anchor="t" anchorCtr="0" upright="1"/>
                      </wps:wsp>
                      <pic:pic xmlns:pic="http://schemas.openxmlformats.org/drawingml/2006/picture">
                        <pic:nvPicPr>
                          <pic:cNvPr id="471" name="Picture 52"/>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a:xfrm>
                            <a:off x="7206" y="7517"/>
                            <a:ext cx="118" cy="118"/>
                          </a:xfrm>
                          <a:prstGeom prst="rect">
                            <a:avLst/>
                          </a:prstGeom>
                          <a:noFill/>
                        </pic:spPr>
                      </pic:pic>
                      <wps:wsp xmlns:wps="http://schemas.microsoft.com/office/word/2010/wordprocessingShape">
                        <wps:cNvPr id="472" name="Line 53"/>
                        <wps:cNvCnPr>
                          <a:cxnSpLocks noChangeShapeType="1"/>
                        </wps:cNvCnPr>
                        <wps:spPr bwMode="auto">
                          <a:xfrm>
                            <a:off x="6925" y="7496"/>
                            <a:ext cx="0" cy="160"/>
                          </a:xfrm>
                          <a:prstGeom prst="line">
                            <a:avLst/>
                          </a:prstGeom>
                          <a:noFill/>
                          <a:ln w="85383">
                            <a:solidFill>
                              <a:srgbClr val="FFFFFF"/>
                            </a:solidFill>
                            <a:round/>
                          </a:ln>
                        </wps:spPr>
                        <wps:bodyPr/>
                      </wps:wsp>
                      <pic:pic xmlns:pic="http://schemas.openxmlformats.org/drawingml/2006/picture">
                        <pic:nvPicPr>
                          <pic:cNvPr id="473" name="Picture 54"/>
                          <pic:cNvPicPr>
                            <a:picLocks noChangeAspect="1" noChangeArrowheads="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a:xfrm>
                            <a:off x="7864" y="6874"/>
                            <a:ext cx="118" cy="475"/>
                          </a:xfrm>
                          <a:prstGeom prst="rect">
                            <a:avLst/>
                          </a:prstGeom>
                          <a:noFill/>
                        </pic:spPr>
                      </pic:pic>
                      <wps:wsp xmlns:wps="http://schemas.microsoft.com/office/word/2010/wordprocessingShape">
                        <wps:cNvPr id="474" name="Freeform 55"/>
                        <wps:cNvSpPr/>
                        <wps:spPr bwMode="auto">
                          <a:xfrm>
                            <a:off x="5954" y="6313"/>
                            <a:ext cx="1286" cy="326"/>
                          </a:xfrm>
                          <a:custGeom>
                            <a:avLst/>
                            <a:gdLst>
                              <a:gd name="T0" fmla="*/ 1285 w 1286"/>
                              <a:gd name="T1" fmla="*/ 6638 h 326"/>
                              <a:gd name="T2" fmla="*/ 1196 w 1286"/>
                              <a:gd name="T3" fmla="*/ 6638 h 326"/>
                              <a:gd name="T4" fmla="*/ 1196 w 1286"/>
                              <a:gd name="T5" fmla="*/ 6313 h 326"/>
                              <a:gd name="T6" fmla="*/ 0 w 1286"/>
                              <a:gd name="T7" fmla="*/ 6313 h 326"/>
                              <a:gd name="T8" fmla="*/ 0 w 1286"/>
                              <a:gd name="T9" fmla="*/ 6402 h 326"/>
                              <a:gd name="T10" fmla="*/ 0 60000 65536"/>
                              <a:gd name="T11" fmla="*/ 0 60000 65536"/>
                              <a:gd name="T12" fmla="*/ 0 60000 65536"/>
                              <a:gd name="T13" fmla="*/ 0 60000 65536"/>
                              <a:gd name="T14" fmla="*/ 0 60000 65536"/>
                            </a:gdLst>
                            <a:cxnLst>
                              <a:cxn ang="T10">
                                <a:pos x="T0" y="T1"/>
                              </a:cxn>
                              <a:cxn ang="T11">
                                <a:pos x="T2" y="T3"/>
                              </a:cxn>
                              <a:cxn ang="T12">
                                <a:pos x="T4" y="T5"/>
                              </a:cxn>
                              <a:cxn ang="T13">
                                <a:pos x="T6" y="T7"/>
                              </a:cxn>
                              <a:cxn ang="T14">
                                <a:pos x="T8" y="T9"/>
                              </a:cxn>
                            </a:cxnLst>
                            <a:rect l="0" t="0" r="r" b="b"/>
                            <a:pathLst>
                              <a:path fill="norm" h="326" w="1286" stroke="1">
                                <a:moveTo>
                                  <a:pt x="1285" y="325"/>
                                </a:moveTo>
                                <a:lnTo>
                                  <a:pt x="1196" y="325"/>
                                </a:lnTo>
                                <a:lnTo>
                                  <a:pt x="1196" y="0"/>
                                </a:lnTo>
                                <a:lnTo>
                                  <a:pt x="0" y="0"/>
                                </a:lnTo>
                                <a:lnTo>
                                  <a:pt x="0" y="89"/>
                                </a:lnTo>
                              </a:path>
                            </a:pathLst>
                          </a:custGeom>
                          <a:noFill/>
                          <a:ln w="10598">
                            <a:solidFill>
                              <a:srgbClr val="404040"/>
                            </a:solidFill>
                            <a:round/>
                          </a:ln>
                        </wps:spPr>
                        <wps:bodyPr rot="0" vert="horz" wrap="square" lIns="91440" tIns="45720" rIns="91440" bIns="45720" anchor="t" anchorCtr="0" upright="1"/>
                      </wps:wsp>
                      <pic:pic xmlns:pic="http://schemas.openxmlformats.org/drawingml/2006/picture">
                        <pic:nvPicPr>
                          <pic:cNvPr id="475" name="Picture 56"/>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a:xfrm>
                            <a:off x="5895" y="6284"/>
                            <a:ext cx="118" cy="118"/>
                          </a:xfrm>
                          <a:prstGeom prst="rect">
                            <a:avLst/>
                          </a:prstGeom>
                          <a:noFill/>
                        </pic:spPr>
                      </pic:pic>
                      <wps:wsp xmlns:wps="http://schemas.microsoft.com/office/word/2010/wordprocessingShape">
                        <wps:cNvPr id="476" name="Line 57"/>
                        <wps:cNvCnPr>
                          <a:cxnSpLocks noChangeShapeType="1"/>
                        </wps:cNvCnPr>
                        <wps:spPr bwMode="auto">
                          <a:xfrm>
                            <a:off x="5341" y="7573"/>
                            <a:ext cx="0" cy="0"/>
                          </a:xfrm>
                          <a:prstGeom prst="line">
                            <a:avLst/>
                          </a:prstGeom>
                          <a:noFill/>
                          <a:ln w="10596">
                            <a:solidFill>
                              <a:srgbClr val="404040"/>
                            </a:solidFill>
                            <a:round/>
                          </a:ln>
                        </wps:spPr>
                        <wps:bodyPr/>
                      </wps:wsp>
                      <pic:pic xmlns:pic="http://schemas.openxmlformats.org/drawingml/2006/picture">
                        <pic:nvPicPr>
                          <pic:cNvPr id="477" name="Picture 58"/>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a:xfrm>
                            <a:off x="4629" y="7514"/>
                            <a:ext cx="118" cy="118"/>
                          </a:xfrm>
                          <a:prstGeom prst="rect">
                            <a:avLst/>
                          </a:prstGeom>
                          <a:noFill/>
                        </pic:spPr>
                      </pic:pic>
                      <wps:wsp xmlns:wps="http://schemas.microsoft.com/office/word/2010/wordprocessingShape">
                        <wps:cNvPr id="479" name="Line 59"/>
                        <wps:cNvCnPr>
                          <a:cxnSpLocks noChangeShapeType="1"/>
                        </wps:cNvCnPr>
                        <wps:spPr bwMode="auto">
                          <a:xfrm>
                            <a:off x="5341" y="4099"/>
                            <a:ext cx="0" cy="0"/>
                          </a:xfrm>
                          <a:prstGeom prst="line">
                            <a:avLst/>
                          </a:prstGeom>
                          <a:noFill/>
                          <a:ln w="10596">
                            <a:solidFill>
                              <a:srgbClr val="404040"/>
                            </a:solidFill>
                            <a:round/>
                          </a:ln>
                        </wps:spPr>
                        <wps:bodyPr/>
                      </wps:wsp>
                      <pic:pic xmlns:pic="http://schemas.openxmlformats.org/drawingml/2006/picture">
                        <pic:nvPicPr>
                          <pic:cNvPr id="64" name="Picture 60"/>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a:xfrm>
                            <a:off x="4629" y="4040"/>
                            <a:ext cx="118" cy="118"/>
                          </a:xfrm>
                          <a:prstGeom prst="rect">
                            <a:avLst/>
                          </a:prstGeom>
                          <a:noFill/>
                        </pic:spPr>
                      </pic:pic>
                      <wps:wsp xmlns:wps="http://schemas.microsoft.com/office/word/2010/wordprocessingShape">
                        <wps:cNvPr id="65" name="Rectangle 61"/>
                        <wps:cNvSpPr>
                          <a:spLocks noChangeArrowheads="1"/>
                        </wps:cNvSpPr>
                        <wps:spPr bwMode="auto">
                          <a:xfrm>
                            <a:off x="7263" y="3886"/>
                            <a:ext cx="1187" cy="473"/>
                          </a:xfrm>
                          <a:prstGeom prst="rect">
                            <a:avLst/>
                          </a:prstGeom>
                          <a:solidFill>
                            <a:srgbClr val="CDCDCD">
                              <a:alpha val="49803"/>
                            </a:srgbClr>
                          </a:solidFill>
                          <a:ln>
                            <a:noFill/>
                          </a:ln>
                        </wps:spPr>
                        <wps:bodyPr rot="0" vert="horz" wrap="square" lIns="91440" tIns="45720" rIns="91440" bIns="45720" anchor="t" anchorCtr="0" upright="1"/>
                      </wps:wsp>
                      <wps:wsp xmlns:wps="http://schemas.microsoft.com/office/word/2010/wordprocessingShape">
                        <wps:cNvPr id="66" name="Freeform 62"/>
                        <wps:cNvSpPr/>
                        <wps:spPr bwMode="auto">
                          <a:xfrm>
                            <a:off x="7263" y="3886"/>
                            <a:ext cx="1187" cy="474"/>
                          </a:xfrm>
                          <a:custGeom>
                            <a:avLst/>
                            <a:gdLst>
                              <a:gd name="T0" fmla="*/ 1186 w 1187"/>
                              <a:gd name="T1" fmla="*/ 3887 h 474"/>
                              <a:gd name="T2" fmla="*/ 0 w 1187"/>
                              <a:gd name="T3" fmla="*/ 3887 h 474"/>
                              <a:gd name="T4" fmla="*/ 0 w 1187"/>
                              <a:gd name="T5" fmla="*/ 4360 h 474"/>
                              <a:gd name="T6" fmla="*/ 0 60000 65536"/>
                              <a:gd name="T7" fmla="*/ 0 60000 65536"/>
                              <a:gd name="T8" fmla="*/ 0 60000 65536"/>
                            </a:gdLst>
                            <a:cxnLst>
                              <a:cxn ang="T6">
                                <a:pos x="T0" y="T1"/>
                              </a:cxn>
                              <a:cxn ang="T7">
                                <a:pos x="T2" y="T3"/>
                              </a:cxn>
                              <a:cxn ang="T8">
                                <a:pos x="T4" y="T5"/>
                              </a:cxn>
                            </a:cxnLst>
                            <a:rect l="0" t="0" r="r" b="b"/>
                            <a:pathLst>
                              <a:path fill="norm" h="474" w="1187" stroke="1">
                                <a:moveTo>
                                  <a:pt x="1186" y="0"/>
                                </a:moveTo>
                                <a:lnTo>
                                  <a:pt x="0" y="0"/>
                                </a:lnTo>
                                <a:lnTo>
                                  <a:pt x="0" y="473"/>
                                </a:lnTo>
                              </a:path>
                            </a:pathLst>
                          </a:custGeom>
                          <a:noFill/>
                          <a:ln w="2650">
                            <a:solidFill>
                              <a:srgbClr val="CDCDCD"/>
                            </a:solidFill>
                            <a:round/>
                          </a:ln>
                        </wps:spPr>
                        <wps:bodyPr rot="0" vert="horz" wrap="square" lIns="91440" tIns="45720" rIns="91440" bIns="45720" anchor="t" anchorCtr="0" upright="1"/>
                      </wps:wsp>
                      <pic:pic xmlns:pic="http://schemas.openxmlformats.org/drawingml/2006/picture">
                        <pic:nvPicPr>
                          <pic:cNvPr id="67" name="Picture 63"/>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7239" y="3862"/>
                            <a:ext cx="1187" cy="473"/>
                          </a:xfrm>
                          <a:prstGeom prst="rect">
                            <a:avLst/>
                          </a:prstGeom>
                          <a:noFill/>
                        </pic:spPr>
                      </pic:pic>
                      <wps:wsp xmlns:wps="http://schemas.microsoft.com/office/word/2010/wordprocessingShape">
                        <wps:cNvPr id="68" name="Rectangle 64"/>
                        <wps:cNvSpPr>
                          <a:spLocks noChangeArrowheads="1"/>
                        </wps:cNvSpPr>
                        <wps:spPr bwMode="auto">
                          <a:xfrm>
                            <a:off x="7263" y="2928"/>
                            <a:ext cx="1187" cy="473"/>
                          </a:xfrm>
                          <a:prstGeom prst="rect">
                            <a:avLst/>
                          </a:prstGeom>
                          <a:solidFill>
                            <a:srgbClr val="CDCDCD">
                              <a:alpha val="49803"/>
                            </a:srgbClr>
                          </a:solidFill>
                          <a:ln>
                            <a:noFill/>
                          </a:ln>
                        </wps:spPr>
                        <wps:bodyPr rot="0" vert="horz" wrap="square" lIns="91440" tIns="45720" rIns="91440" bIns="45720" anchor="t" anchorCtr="0" upright="1"/>
                      </wps:wsp>
                      <wps:wsp xmlns:wps="http://schemas.microsoft.com/office/word/2010/wordprocessingShape">
                        <wps:cNvPr id="69" name="Freeform 65"/>
                        <wps:cNvSpPr/>
                        <wps:spPr bwMode="auto">
                          <a:xfrm>
                            <a:off x="7263" y="2928"/>
                            <a:ext cx="1187" cy="474"/>
                          </a:xfrm>
                          <a:custGeom>
                            <a:avLst/>
                            <a:gdLst>
                              <a:gd name="T0" fmla="*/ 1186 w 1187"/>
                              <a:gd name="T1" fmla="*/ 2928 h 474"/>
                              <a:gd name="T2" fmla="*/ 0 w 1187"/>
                              <a:gd name="T3" fmla="*/ 2928 h 474"/>
                              <a:gd name="T4" fmla="*/ 0 w 1187"/>
                              <a:gd name="T5" fmla="*/ 3401 h 474"/>
                              <a:gd name="T6" fmla="*/ 0 60000 65536"/>
                              <a:gd name="T7" fmla="*/ 0 60000 65536"/>
                              <a:gd name="T8" fmla="*/ 0 60000 65536"/>
                            </a:gdLst>
                            <a:cxnLst>
                              <a:cxn ang="T6">
                                <a:pos x="T0" y="T1"/>
                              </a:cxn>
                              <a:cxn ang="T7">
                                <a:pos x="T2" y="T3"/>
                              </a:cxn>
                              <a:cxn ang="T8">
                                <a:pos x="T4" y="T5"/>
                              </a:cxn>
                            </a:cxnLst>
                            <a:rect l="0" t="0" r="r" b="b"/>
                            <a:pathLst>
                              <a:path fill="norm" h="474" w="1187" stroke="1">
                                <a:moveTo>
                                  <a:pt x="1186" y="0"/>
                                </a:moveTo>
                                <a:lnTo>
                                  <a:pt x="0" y="0"/>
                                </a:lnTo>
                                <a:lnTo>
                                  <a:pt x="0" y="473"/>
                                </a:lnTo>
                              </a:path>
                            </a:pathLst>
                          </a:custGeom>
                          <a:noFill/>
                          <a:ln w="2650">
                            <a:solidFill>
                              <a:srgbClr val="CDCDCD"/>
                            </a:solidFill>
                            <a:round/>
                          </a:ln>
                        </wps:spPr>
                        <wps:bodyPr rot="0" vert="horz" wrap="square" lIns="91440" tIns="45720" rIns="91440" bIns="45720" anchor="t" anchorCtr="0" upright="1"/>
                      </wps:wsp>
                      <pic:pic xmlns:pic="http://schemas.openxmlformats.org/drawingml/2006/picture">
                        <pic:nvPicPr>
                          <pic:cNvPr id="70" name="Picture 66"/>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7239" y="2904"/>
                            <a:ext cx="1187" cy="473"/>
                          </a:xfrm>
                          <a:prstGeom prst="rect">
                            <a:avLst/>
                          </a:prstGeom>
                          <a:noFill/>
                        </pic:spPr>
                      </pic:pic>
                      <wps:wsp xmlns:wps="http://schemas.microsoft.com/office/word/2010/wordprocessingShape">
                        <wps:cNvPr id="71" name="AutoShape 67"/>
                        <wps:cNvSpPr/>
                        <wps:spPr bwMode="auto">
                          <a:xfrm>
                            <a:off x="6527" y="4099"/>
                            <a:ext cx="623" cy="2"/>
                          </a:xfrm>
                          <a:custGeom>
                            <a:avLst/>
                            <a:gdLst>
                              <a:gd name="T0" fmla="*/ 423 w 623"/>
                              <a:gd name="T1" fmla="*/ 0 h 2"/>
                              <a:gd name="T2" fmla="*/ 623 w 623"/>
                              <a:gd name="T3" fmla="*/ 0 h 2"/>
                              <a:gd name="T4" fmla="*/ 0 w 623"/>
                              <a:gd name="T5" fmla="*/ 0 h 2"/>
                              <a:gd name="T6" fmla="*/ 289 w 623"/>
                              <a:gd name="T7" fmla="*/ 0 h 2"/>
                              <a:gd name="T8" fmla="*/ 0 60000 65536"/>
                              <a:gd name="T9" fmla="*/ 0 60000 65536"/>
                              <a:gd name="T10" fmla="*/ 0 60000 65536"/>
                              <a:gd name="T11" fmla="*/ 0 60000 65536"/>
                            </a:gdLst>
                            <a:cxnLst>
                              <a:cxn ang="T8">
                                <a:pos x="T0" y="T1"/>
                              </a:cxn>
                              <a:cxn ang="T9">
                                <a:pos x="T2" y="T3"/>
                              </a:cxn>
                              <a:cxn ang="T10">
                                <a:pos x="T4" y="T5"/>
                              </a:cxn>
                              <a:cxn ang="T11">
                                <a:pos x="T6" y="T7"/>
                              </a:cxn>
                            </a:cxnLst>
                            <a:rect l="0" t="0" r="r" b="b"/>
                            <a:pathLst>
                              <a:path fill="norm" h="2" w="623" stroke="1">
                                <a:moveTo>
                                  <a:pt x="423" y="0"/>
                                </a:moveTo>
                                <a:lnTo>
                                  <a:pt x="623" y="0"/>
                                </a:lnTo>
                                <a:moveTo>
                                  <a:pt x="0" y="0"/>
                                </a:moveTo>
                                <a:lnTo>
                                  <a:pt x="289" y="0"/>
                                </a:lnTo>
                              </a:path>
                            </a:pathLst>
                          </a:custGeom>
                          <a:noFill/>
                          <a:ln w="10596">
                            <a:solidFill>
                              <a:srgbClr val="404040"/>
                            </a:solidFill>
                            <a:round/>
                          </a:ln>
                        </wps:spPr>
                        <wps:bodyPr rot="0" vert="horz" wrap="square" lIns="91440" tIns="45720" rIns="91440" bIns="45720" anchor="t" anchorCtr="0" upright="1"/>
                      </wps:wsp>
                      <pic:pic xmlns:pic="http://schemas.openxmlformats.org/drawingml/2006/picture">
                        <pic:nvPicPr>
                          <pic:cNvPr id="72" name="Picture 68"/>
                          <pic:cNvPicPr>
                            <a:picLocks noChangeAspect="1" noChangeArrowheads="1"/>
                          </pic:cNvPicPr>
                        </pic:nvPicPr>
                        <pic:blipFill>
                          <a:blip xmlns:r="http://schemas.openxmlformats.org/officeDocument/2006/relationships" r:embed="rId46">
                            <a:extLst>
                              <a:ext xmlns:a="http://schemas.openxmlformats.org/drawingml/2006/main" uri="{28A0092B-C50C-407E-A947-70E740481C1C}">
                                <a14:useLocalDpi xmlns:a14="http://schemas.microsoft.com/office/drawing/2010/main" val="0"/>
                              </a:ext>
                            </a:extLst>
                          </a:blip>
                          <a:stretch>
                            <a:fillRect/>
                          </a:stretch>
                        </pic:blipFill>
                        <pic:spPr>
                          <a:xfrm>
                            <a:off x="7121" y="4040"/>
                            <a:ext cx="118" cy="118"/>
                          </a:xfrm>
                          <a:prstGeom prst="rect">
                            <a:avLst/>
                          </a:prstGeom>
                          <a:noFill/>
                        </pic:spPr>
                      </pic:pic>
                      <wps:wsp xmlns:wps="http://schemas.microsoft.com/office/word/2010/wordprocessingShape">
                        <wps:cNvPr id="73" name="Line 69"/>
                        <wps:cNvCnPr>
                          <a:cxnSpLocks noChangeShapeType="1"/>
                        </wps:cNvCnPr>
                        <wps:spPr bwMode="auto">
                          <a:xfrm>
                            <a:off x="6884" y="4019"/>
                            <a:ext cx="0" cy="160"/>
                          </a:xfrm>
                          <a:prstGeom prst="line">
                            <a:avLst/>
                          </a:prstGeom>
                          <a:noFill/>
                          <a:ln w="85383">
                            <a:solidFill>
                              <a:srgbClr val="FFFFFF"/>
                            </a:solidFill>
                            <a:round/>
                          </a:ln>
                        </wps:spPr>
                        <wps:bodyPr/>
                      </wps:wsp>
                      <pic:pic xmlns:pic="http://schemas.openxmlformats.org/drawingml/2006/picture">
                        <pic:nvPicPr>
                          <pic:cNvPr id="74" name="Picture 70"/>
                          <pic:cNvPicPr>
                            <a:picLocks noChangeAspect="1" noChangeArrowheads="1"/>
                          </pic:cNvPicPr>
                        </pic:nvPicPr>
                        <pic:blipFill>
                          <a:blip xmlns:r="http://schemas.openxmlformats.org/officeDocument/2006/relationships" r:embed="rId47">
                            <a:extLst>
                              <a:ext xmlns:a="http://schemas.openxmlformats.org/drawingml/2006/main" uri="{28A0092B-C50C-407E-A947-70E740481C1C}">
                                <a14:useLocalDpi xmlns:a14="http://schemas.microsoft.com/office/drawing/2010/main" val="0"/>
                              </a:ext>
                            </a:extLst>
                          </a:blip>
                          <a:stretch>
                            <a:fillRect/>
                          </a:stretch>
                        </pic:blipFill>
                        <pic:spPr>
                          <a:xfrm>
                            <a:off x="7774" y="3377"/>
                            <a:ext cx="118" cy="486"/>
                          </a:xfrm>
                          <a:prstGeom prst="rect">
                            <a:avLst/>
                          </a:prstGeom>
                          <a:noFill/>
                        </pic:spPr>
                      </pic:pic>
                      <wps:wsp xmlns:wps="http://schemas.microsoft.com/office/word/2010/wordprocessingShape">
                        <wps:cNvPr id="75" name="Line 71"/>
                        <wps:cNvCnPr>
                          <a:cxnSpLocks noChangeShapeType="1"/>
                        </wps:cNvCnPr>
                        <wps:spPr bwMode="auto">
                          <a:xfrm>
                            <a:off x="6528" y="3141"/>
                            <a:ext cx="623" cy="0"/>
                          </a:xfrm>
                          <a:prstGeom prst="line">
                            <a:avLst/>
                          </a:prstGeom>
                          <a:noFill/>
                          <a:ln w="10596">
                            <a:solidFill>
                              <a:srgbClr val="404040"/>
                            </a:solidFill>
                            <a:round/>
                          </a:ln>
                        </wps:spPr>
                        <wps:bodyPr/>
                      </wps:wsp>
                      <pic:pic xmlns:pic="http://schemas.openxmlformats.org/drawingml/2006/picture">
                        <pic:nvPicPr>
                          <pic:cNvPr id="76" name="Picture 72"/>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a:xfrm>
                            <a:off x="7121" y="3081"/>
                            <a:ext cx="118" cy="118"/>
                          </a:xfrm>
                          <a:prstGeom prst="rect">
                            <a:avLst/>
                          </a:prstGeom>
                          <a:noFill/>
                        </pic:spPr>
                      </pic:pic>
                      <wps:wsp xmlns:wps="http://schemas.microsoft.com/office/word/2010/wordprocessingShape">
                        <wps:cNvPr id="77" name="AutoShape 73"/>
                        <wps:cNvSpPr/>
                        <wps:spPr bwMode="auto">
                          <a:xfrm>
                            <a:off x="5934" y="7928"/>
                            <a:ext cx="2" cy="393"/>
                          </a:xfrm>
                          <a:custGeom>
                            <a:avLst/>
                            <a:gdLst>
                              <a:gd name="T0" fmla="*/ 0 w 2"/>
                              <a:gd name="T1" fmla="*/ 7928 h 393"/>
                              <a:gd name="T2" fmla="*/ 0 w 2"/>
                              <a:gd name="T3" fmla="*/ 8085 h 393"/>
                              <a:gd name="T4" fmla="*/ 0 w 2"/>
                              <a:gd name="T5" fmla="*/ 8245 h 393"/>
                              <a:gd name="T6" fmla="*/ 0 w 2"/>
                              <a:gd name="T7" fmla="*/ 8320 h 393"/>
                              <a:gd name="T8" fmla="*/ 0 60000 65536"/>
                              <a:gd name="T9" fmla="*/ 0 60000 65536"/>
                              <a:gd name="T10" fmla="*/ 0 60000 65536"/>
                              <a:gd name="T11" fmla="*/ 0 60000 65536"/>
                            </a:gdLst>
                            <a:cxnLst>
                              <a:cxn ang="T8">
                                <a:pos x="T0" y="T1"/>
                              </a:cxn>
                              <a:cxn ang="T9">
                                <a:pos x="T2" y="T3"/>
                              </a:cxn>
                              <a:cxn ang="T10">
                                <a:pos x="T4" y="T5"/>
                              </a:cxn>
                              <a:cxn ang="T11">
                                <a:pos x="T6" y="T7"/>
                              </a:cxn>
                            </a:cxnLst>
                            <a:rect l="0" t="0" r="r" b="b"/>
                            <a:pathLst>
                              <a:path fill="norm" h="393" w="2" stroke="1">
                                <a:moveTo>
                                  <a:pt x="0" y="0"/>
                                </a:moveTo>
                                <a:lnTo>
                                  <a:pt x="0" y="157"/>
                                </a:lnTo>
                                <a:moveTo>
                                  <a:pt x="0" y="317"/>
                                </a:moveTo>
                                <a:lnTo>
                                  <a:pt x="0" y="392"/>
                                </a:lnTo>
                              </a:path>
                            </a:pathLst>
                          </a:custGeom>
                          <a:noFill/>
                          <a:ln w="2658">
                            <a:solidFill>
                              <a:srgbClr val="000000"/>
                            </a:solidFill>
                            <a:round/>
                          </a:ln>
                        </wps:spPr>
                        <wps:bodyPr rot="0" vert="horz" wrap="square" lIns="91440" tIns="45720" rIns="91440" bIns="45720" anchor="t" anchorCtr="0" upright="1"/>
                      </wps:wsp>
                      <wps:wsp xmlns:wps="http://schemas.microsoft.com/office/word/2010/wordprocessingShape">
                        <wps:cNvPr id="78" name="Freeform 74"/>
                        <wps:cNvSpPr/>
                        <wps:spPr bwMode="auto">
                          <a:xfrm>
                            <a:off x="5888" y="8308"/>
                            <a:ext cx="93" cy="93"/>
                          </a:xfrm>
                          <a:custGeom>
                            <a:avLst/>
                            <a:gdLst>
                              <a:gd name="T0" fmla="*/ 93 w 93"/>
                              <a:gd name="T1" fmla="*/ 8309 h 93"/>
                              <a:gd name="T2" fmla="*/ 0 w 93"/>
                              <a:gd name="T3" fmla="*/ 8309 h 93"/>
                              <a:gd name="T4" fmla="*/ 47 w 93"/>
                              <a:gd name="T5" fmla="*/ 8401 h 93"/>
                              <a:gd name="T6" fmla="*/ 93 w 93"/>
                              <a:gd name="T7" fmla="*/ 8309 h 93"/>
                              <a:gd name="T8" fmla="*/ 0 60000 65536"/>
                              <a:gd name="T9" fmla="*/ 0 60000 65536"/>
                              <a:gd name="T10" fmla="*/ 0 60000 65536"/>
                              <a:gd name="T11" fmla="*/ 0 60000 65536"/>
                            </a:gdLst>
                            <a:cxnLst>
                              <a:cxn ang="T8">
                                <a:pos x="T0" y="T1"/>
                              </a:cxn>
                              <a:cxn ang="T9">
                                <a:pos x="T2" y="T3"/>
                              </a:cxn>
                              <a:cxn ang="T10">
                                <a:pos x="T4" y="T5"/>
                              </a:cxn>
                              <a:cxn ang="T11">
                                <a:pos x="T6" y="T7"/>
                              </a:cxn>
                            </a:cxnLst>
                            <a:rect l="0" t="0" r="r" b="b"/>
                            <a:pathLst>
                              <a:path fill="norm" h="93" w="93" stroke="1">
                                <a:moveTo>
                                  <a:pt x="93" y="0"/>
                                </a:moveTo>
                                <a:lnTo>
                                  <a:pt x="0" y="0"/>
                                </a:lnTo>
                                <a:lnTo>
                                  <a:pt x="47" y="92"/>
                                </a:lnTo>
                                <a:lnTo>
                                  <a:pt x="93" y="0"/>
                                </a:lnTo>
                                <a:close/>
                              </a:path>
                            </a:pathLst>
                          </a:custGeom>
                          <a:solidFill>
                            <a:srgbClr val="000000"/>
                          </a:solidFill>
                          <a:ln>
                            <a:noFill/>
                          </a:ln>
                        </wps:spPr>
                        <wps:bodyPr rot="0" vert="horz" wrap="square" lIns="91440" tIns="45720" rIns="91440" bIns="45720" anchor="t" anchorCtr="0" upright="1"/>
                      </wps:wsp>
                      <wps:wsp xmlns:wps="http://schemas.microsoft.com/office/word/2010/wordprocessingShape">
                        <wps:cNvPr id="79" name="Line 75"/>
                        <wps:cNvCnPr>
                          <a:cxnSpLocks noChangeShapeType="1"/>
                        </wps:cNvCnPr>
                        <wps:spPr bwMode="auto">
                          <a:xfrm>
                            <a:off x="5935" y="8085"/>
                            <a:ext cx="0" cy="160"/>
                          </a:xfrm>
                          <a:prstGeom prst="line">
                            <a:avLst/>
                          </a:prstGeom>
                          <a:noFill/>
                          <a:ln w="85383">
                            <a:solidFill>
                              <a:srgbClr val="FFFFFF"/>
                            </a:solidFill>
                            <a:round/>
                          </a:ln>
                        </wps:spPr>
                        <wps:bodyPr/>
                      </wps:wsp>
                      <wps:wsp xmlns:wps="http://schemas.microsoft.com/office/word/2010/wordprocessingShape">
                        <wps:cNvPr id="80" name="Rectangle 76"/>
                        <wps:cNvSpPr>
                          <a:spLocks noChangeArrowheads="1"/>
                        </wps:cNvSpPr>
                        <wps:spPr bwMode="auto">
                          <a:xfrm>
                            <a:off x="5136" y="5668"/>
                            <a:ext cx="1662" cy="473"/>
                          </a:xfrm>
                          <a:prstGeom prst="rect">
                            <a:avLst/>
                          </a:prstGeom>
                          <a:solidFill>
                            <a:srgbClr val="CDCDCD">
                              <a:alpha val="49803"/>
                            </a:srgbClr>
                          </a:solidFill>
                          <a:ln>
                            <a:noFill/>
                          </a:ln>
                        </wps:spPr>
                        <wps:bodyPr rot="0" vert="horz" wrap="square" lIns="91440" tIns="45720" rIns="91440" bIns="45720" anchor="t" anchorCtr="0" upright="1"/>
                      </wps:wsp>
                      <pic:pic xmlns:pic="http://schemas.openxmlformats.org/drawingml/2006/picture">
                        <pic:nvPicPr>
                          <pic:cNvPr id="81" name="Picture 77"/>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a:xfrm>
                            <a:off x="5112" y="5644"/>
                            <a:ext cx="1662" cy="473"/>
                          </a:xfrm>
                          <a:prstGeom prst="rect">
                            <a:avLst/>
                          </a:prstGeom>
                          <a:noFill/>
                        </pic:spPr>
                      </pic:pic>
                      <pic:pic xmlns:pic="http://schemas.openxmlformats.org/drawingml/2006/picture">
                        <pic:nvPicPr>
                          <pic:cNvPr id="82" name="Picture 78"/>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a:xfrm>
                            <a:off x="5881" y="5343"/>
                            <a:ext cx="118" cy="301"/>
                          </a:xfrm>
                          <a:prstGeom prst="rect">
                            <a:avLst/>
                          </a:prstGeom>
                          <a:noFill/>
                        </pic:spPr>
                      </pic:pic>
                      <pic:pic xmlns:pic="http://schemas.openxmlformats.org/drawingml/2006/picture">
                        <pic:nvPicPr>
                          <pic:cNvPr id="83" name="Picture 79"/>
                          <pic:cNvPicPr>
                            <a:picLocks noChangeAspect="1" noChangeArrowheads="1"/>
                          </pic:cNvPicPr>
                        </pic:nvPicPr>
                        <pic:blipFill>
                          <a:blip xmlns:r="http://schemas.openxmlformats.org/officeDocument/2006/relationships" r:embed="rId50">
                            <a:extLst>
                              <a:ext xmlns:a="http://schemas.openxmlformats.org/drawingml/2006/main" uri="{28A0092B-C50C-407E-A947-70E740481C1C}">
                                <a14:useLocalDpi xmlns:a14="http://schemas.microsoft.com/office/drawing/2010/main" val="0"/>
                              </a:ext>
                            </a:extLst>
                          </a:blip>
                          <a:stretch>
                            <a:fillRect/>
                          </a:stretch>
                        </pic:blipFill>
                        <pic:spPr>
                          <a:xfrm>
                            <a:off x="5891" y="6108"/>
                            <a:ext cx="118" cy="293"/>
                          </a:xfrm>
                          <a:prstGeom prst="rect">
                            <a:avLst/>
                          </a:prstGeom>
                          <a:noFill/>
                        </pic:spPr>
                      </pic:pic>
                      <wps:wsp xmlns:wps="http://schemas.microsoft.com/office/word/2010/wordprocessingShape">
                        <wps:cNvPr id="84" name="Text Box 81"/>
                        <wps:cNvSpPr txBox="1">
                          <a:spLocks noChangeArrowheads="1"/>
                        </wps:cNvSpPr>
                        <wps:spPr bwMode="auto">
                          <a:xfrm>
                            <a:off x="5335" y="2159"/>
                            <a:ext cx="1230" cy="201"/>
                          </a:xfrm>
                          <a:prstGeom prst="rect">
                            <a:avLst/>
                          </a:prstGeom>
                          <a:noFill/>
                          <a:ln>
                            <a:noFill/>
                          </a:ln>
                        </wps:spPr>
                        <wps:txbx>
                          <w:txbxContent>
                            <w:p w:rsidR="008A2024" w14:textId="77777777">
                              <w:pPr>
                                <w:spacing w:line="200" w:lineRule="exact"/>
                                <w:rPr>
                                  <w:sz w:val="20"/>
                                </w:rPr>
                              </w:pPr>
                              <w:r>
                                <w:rPr>
                                  <w:sz w:val="20"/>
                                </w:rPr>
                                <w:t>数据安全事件</w:t>
                              </w:r>
                            </w:p>
                          </w:txbxContent>
                        </wps:txbx>
                        <wps:bodyPr rot="0" vert="horz" wrap="square" lIns="0" tIns="0" rIns="0" bIns="0" anchor="t" anchorCtr="0" upright="1"/>
                      </wps:wsp>
                      <wps:wsp xmlns:wps="http://schemas.microsoft.com/office/word/2010/wordprocessingShape">
                        <wps:cNvPr id="85" name="Text Box 82"/>
                        <wps:cNvSpPr txBox="1">
                          <a:spLocks noChangeArrowheads="1"/>
                        </wps:cNvSpPr>
                        <wps:spPr bwMode="auto">
                          <a:xfrm>
                            <a:off x="5531" y="3987"/>
                            <a:ext cx="826" cy="201"/>
                          </a:xfrm>
                          <a:prstGeom prst="rect">
                            <a:avLst/>
                          </a:prstGeom>
                          <a:noFill/>
                          <a:ln>
                            <a:noFill/>
                          </a:ln>
                        </wps:spPr>
                        <wps:txbx>
                          <w:txbxContent>
                            <w:p w:rsidR="008A2024" w14:textId="77777777">
                              <w:pPr>
                                <w:spacing w:line="200" w:lineRule="exact"/>
                                <w:rPr>
                                  <w:sz w:val="20"/>
                                </w:rPr>
                              </w:pPr>
                              <w:r>
                                <w:rPr>
                                  <w:sz w:val="20"/>
                                </w:rPr>
                                <w:t>情况判断</w:t>
                              </w:r>
                            </w:p>
                          </w:txbxContent>
                        </wps:txbx>
                        <wps:bodyPr rot="0" vert="horz" wrap="square" lIns="0" tIns="0" rIns="0" bIns="0" anchor="t" anchorCtr="0" upright="1"/>
                      </wps:wsp>
                      <wps:wsp xmlns:wps="http://schemas.microsoft.com/office/word/2010/wordprocessingShape">
                        <wps:cNvPr id="86" name="Text Box 83"/>
                        <wps:cNvSpPr txBox="1">
                          <a:spLocks noChangeArrowheads="1"/>
                        </wps:cNvSpPr>
                        <wps:spPr bwMode="auto">
                          <a:xfrm>
                            <a:off x="6816" y="4024"/>
                            <a:ext cx="154" cy="134"/>
                          </a:xfrm>
                          <a:prstGeom prst="rect">
                            <a:avLst/>
                          </a:prstGeom>
                          <a:noFill/>
                          <a:ln>
                            <a:noFill/>
                          </a:ln>
                        </wps:spPr>
                        <wps:txbx>
                          <w:txbxContent>
                            <w:p w:rsidR="008A2024" w14:textId="77777777">
                              <w:pPr>
                                <w:spacing w:line="133" w:lineRule="exact"/>
                                <w:rPr>
                                  <w:sz w:val="13"/>
                                </w:rPr>
                              </w:pPr>
                              <w:r>
                                <w:rPr>
                                  <w:w w:val="103"/>
                                  <w:sz w:val="13"/>
                                </w:rPr>
                                <w:t>否</w:t>
                              </w:r>
                            </w:p>
                          </w:txbxContent>
                        </wps:txbx>
                        <wps:bodyPr rot="0" vert="horz" wrap="square" lIns="0" tIns="0" rIns="0" bIns="0" anchor="t" anchorCtr="0" upright="1"/>
                      </wps:wsp>
                      <wps:wsp xmlns:wps="http://schemas.microsoft.com/office/word/2010/wordprocessingShape">
                        <wps:cNvPr id="87" name="Text Box 84"/>
                        <wps:cNvSpPr txBox="1">
                          <a:spLocks noChangeArrowheads="1"/>
                        </wps:cNvSpPr>
                        <wps:spPr bwMode="auto">
                          <a:xfrm>
                            <a:off x="5867" y="4591"/>
                            <a:ext cx="154" cy="134"/>
                          </a:xfrm>
                          <a:prstGeom prst="rect">
                            <a:avLst/>
                          </a:prstGeom>
                          <a:noFill/>
                          <a:ln>
                            <a:noFill/>
                          </a:ln>
                        </wps:spPr>
                        <wps:txbx>
                          <w:txbxContent>
                            <w:p w:rsidR="008A2024" w14:textId="77777777">
                              <w:pPr>
                                <w:spacing w:line="133" w:lineRule="exact"/>
                                <w:rPr>
                                  <w:sz w:val="13"/>
                                </w:rPr>
                              </w:pPr>
                              <w:r>
                                <w:rPr>
                                  <w:w w:val="103"/>
                                  <w:sz w:val="13"/>
                                </w:rPr>
                                <w:t>是</w:t>
                              </w:r>
                            </w:p>
                          </w:txbxContent>
                        </wps:txbx>
                        <wps:bodyPr rot="0" vert="horz" wrap="square" lIns="0" tIns="0" rIns="0" bIns="0" anchor="t" anchorCtr="0" upright="1"/>
                      </wps:wsp>
                      <wps:wsp xmlns:wps="http://schemas.microsoft.com/office/word/2010/wordprocessingShape">
                        <wps:cNvPr id="88" name="Text Box 85"/>
                        <wps:cNvSpPr txBox="1">
                          <a:spLocks noChangeArrowheads="1"/>
                        </wps:cNvSpPr>
                        <wps:spPr bwMode="auto">
                          <a:xfrm>
                            <a:off x="5349" y="6526"/>
                            <a:ext cx="1230" cy="201"/>
                          </a:xfrm>
                          <a:prstGeom prst="rect">
                            <a:avLst/>
                          </a:prstGeom>
                          <a:noFill/>
                          <a:ln>
                            <a:noFill/>
                          </a:ln>
                        </wps:spPr>
                        <wps:txbx>
                          <w:txbxContent>
                            <w:p w:rsidR="008A2024" w14:textId="77777777">
                              <w:pPr>
                                <w:spacing w:line="200" w:lineRule="exact"/>
                                <w:rPr>
                                  <w:sz w:val="20"/>
                                </w:rPr>
                              </w:pPr>
                              <w:r>
                                <w:rPr>
                                  <w:sz w:val="20"/>
                                </w:rPr>
                                <w:t>应急响应处置</w:t>
                              </w:r>
                            </w:p>
                          </w:txbxContent>
                        </wps:txbx>
                        <wps:bodyPr rot="0" vert="horz" wrap="square" lIns="0" tIns="0" rIns="0" bIns="0" anchor="t" anchorCtr="0" upright="1"/>
                      </wps:wsp>
                      <wps:wsp xmlns:wps="http://schemas.microsoft.com/office/word/2010/wordprocessingShape">
                        <wps:cNvPr id="89" name="Text Box 86"/>
                        <wps:cNvSpPr txBox="1">
                          <a:spLocks noChangeArrowheads="1"/>
                        </wps:cNvSpPr>
                        <wps:spPr bwMode="auto">
                          <a:xfrm>
                            <a:off x="5531" y="7461"/>
                            <a:ext cx="826" cy="201"/>
                          </a:xfrm>
                          <a:prstGeom prst="rect">
                            <a:avLst/>
                          </a:prstGeom>
                          <a:noFill/>
                          <a:ln>
                            <a:noFill/>
                          </a:ln>
                        </wps:spPr>
                        <wps:txbx>
                          <w:txbxContent>
                            <w:p w:rsidR="008A2024" w14:textId="77777777">
                              <w:pPr>
                                <w:spacing w:line="200" w:lineRule="exact"/>
                                <w:rPr>
                                  <w:sz w:val="20"/>
                                </w:rPr>
                              </w:pPr>
                              <w:r>
                                <w:rPr>
                                  <w:sz w:val="20"/>
                                </w:rPr>
                                <w:t>事态控制</w:t>
                              </w:r>
                            </w:p>
                          </w:txbxContent>
                        </wps:txbx>
                        <wps:bodyPr rot="0" vert="horz" wrap="square" lIns="0" tIns="0" rIns="0" bIns="0" anchor="t" anchorCtr="0" upright="1"/>
                      </wps:wsp>
                      <wps:wsp xmlns:wps="http://schemas.microsoft.com/office/word/2010/wordprocessingShape">
                        <wps:cNvPr id="90" name="Text Box 87"/>
                        <wps:cNvSpPr txBox="1">
                          <a:spLocks noChangeArrowheads="1"/>
                        </wps:cNvSpPr>
                        <wps:spPr bwMode="auto">
                          <a:xfrm>
                            <a:off x="6857" y="7500"/>
                            <a:ext cx="154" cy="134"/>
                          </a:xfrm>
                          <a:prstGeom prst="rect">
                            <a:avLst/>
                          </a:prstGeom>
                          <a:noFill/>
                          <a:ln>
                            <a:noFill/>
                          </a:ln>
                        </wps:spPr>
                        <wps:txbx>
                          <w:txbxContent>
                            <w:p w:rsidR="008A2024" w14:textId="77777777">
                              <w:pPr>
                                <w:spacing w:line="133" w:lineRule="exact"/>
                                <w:rPr>
                                  <w:sz w:val="13"/>
                                </w:rPr>
                              </w:pPr>
                              <w:r>
                                <w:rPr>
                                  <w:w w:val="103"/>
                                  <w:sz w:val="13"/>
                                </w:rPr>
                                <w:t>否</w:t>
                              </w:r>
                            </w:p>
                          </w:txbxContent>
                        </wps:txbx>
                        <wps:bodyPr rot="0" vert="horz" wrap="square" lIns="0" tIns="0" rIns="0" bIns="0" anchor="t" anchorCtr="0" upright="1"/>
                      </wps:wsp>
                      <wps:wsp xmlns:wps="http://schemas.microsoft.com/office/word/2010/wordprocessingShape">
                        <wps:cNvPr id="91" name="Text Box 88"/>
                        <wps:cNvSpPr txBox="1">
                          <a:spLocks noChangeArrowheads="1"/>
                        </wps:cNvSpPr>
                        <wps:spPr bwMode="auto">
                          <a:xfrm>
                            <a:off x="5867" y="8090"/>
                            <a:ext cx="154" cy="134"/>
                          </a:xfrm>
                          <a:prstGeom prst="rect">
                            <a:avLst/>
                          </a:prstGeom>
                          <a:noFill/>
                          <a:ln>
                            <a:noFill/>
                          </a:ln>
                        </wps:spPr>
                        <wps:txbx>
                          <w:txbxContent>
                            <w:p w:rsidR="008A2024" w14:textId="77777777">
                              <w:pPr>
                                <w:spacing w:line="133" w:lineRule="exact"/>
                                <w:rPr>
                                  <w:sz w:val="13"/>
                                </w:rPr>
                              </w:pPr>
                              <w:r>
                                <w:rPr>
                                  <w:w w:val="103"/>
                                  <w:sz w:val="13"/>
                                </w:rPr>
                                <w:t>是</w:t>
                              </w:r>
                            </w:p>
                          </w:txbxContent>
                        </wps:txbx>
                        <wps:bodyPr rot="0" vert="horz" wrap="square" lIns="0" tIns="0" rIns="0" bIns="0" anchor="t" anchorCtr="0" upright="1"/>
                      </wps:wsp>
                      <wps:wsp xmlns:wps="http://schemas.microsoft.com/office/word/2010/wordprocessingShape">
                        <wps:cNvPr id="92" name="Text Box 89"/>
                        <wps:cNvSpPr txBox="1">
                          <a:spLocks noChangeArrowheads="1"/>
                        </wps:cNvSpPr>
                        <wps:spPr bwMode="auto">
                          <a:xfrm>
                            <a:off x="7239" y="6401"/>
                            <a:ext cx="1368" cy="473"/>
                          </a:xfrm>
                          <a:prstGeom prst="rect">
                            <a:avLst/>
                          </a:prstGeom>
                          <a:noFill/>
                          <a:ln w="2650">
                            <a:solidFill>
                              <a:srgbClr val="404040"/>
                            </a:solidFill>
                            <a:miter lim="800000"/>
                          </a:ln>
                        </wps:spPr>
                        <wps:txbx>
                          <w:txbxContent>
                            <w:p w:rsidR="008A2024" w14:textId="77777777">
                              <w:pPr>
                                <w:spacing w:before="94"/>
                                <w:ind w:left="76"/>
                                <w:rPr>
                                  <w:sz w:val="20"/>
                                </w:rPr>
                              </w:pPr>
                              <w:r>
                                <w:rPr>
                                  <w:sz w:val="20"/>
                                </w:rPr>
                                <w:t>事件级别调整</w:t>
                              </w:r>
                            </w:p>
                          </w:txbxContent>
                        </wps:txbx>
                        <wps:bodyPr rot="0" vert="horz" wrap="square" lIns="0" tIns="0" rIns="0" bIns="0" anchor="t" anchorCtr="0" upright="1"/>
                      </wps:wsp>
                      <wps:wsp xmlns:wps="http://schemas.microsoft.com/office/word/2010/wordprocessingShape">
                        <wps:cNvPr id="93" name="Text Box 90"/>
                        <wps:cNvSpPr txBox="1">
                          <a:spLocks noChangeArrowheads="1"/>
                        </wps:cNvSpPr>
                        <wps:spPr bwMode="auto">
                          <a:xfrm>
                            <a:off x="5341" y="2904"/>
                            <a:ext cx="1187" cy="473"/>
                          </a:xfrm>
                          <a:prstGeom prst="rect">
                            <a:avLst/>
                          </a:prstGeom>
                          <a:noFill/>
                          <a:ln w="2650">
                            <a:solidFill>
                              <a:srgbClr val="404040"/>
                            </a:solidFill>
                            <a:miter lim="800000"/>
                          </a:ln>
                        </wps:spPr>
                        <wps:txbx>
                          <w:txbxContent>
                            <w:p w:rsidR="008A2024" w14:textId="77777777">
                              <w:pPr>
                                <w:spacing w:before="94"/>
                                <w:ind w:left="187"/>
                                <w:rPr>
                                  <w:sz w:val="20"/>
                                </w:rPr>
                              </w:pPr>
                              <w:r>
                                <w:rPr>
                                  <w:sz w:val="20"/>
                                </w:rPr>
                                <w:t>事件监测</w:t>
                              </w:r>
                            </w:p>
                          </w:txbxContent>
                        </wps:txbx>
                        <wps:bodyPr rot="0" vert="horz" wrap="square" lIns="0" tIns="0" rIns="0" bIns="0" anchor="t" anchorCtr="0" upright="1"/>
                      </wps:wsp>
                      <wps:wsp xmlns:wps="http://schemas.microsoft.com/office/word/2010/wordprocessingShape">
                        <wps:cNvPr id="94" name="Text Box 91"/>
                        <wps:cNvSpPr txBox="1">
                          <a:spLocks noChangeArrowheads="1"/>
                        </wps:cNvSpPr>
                        <wps:spPr bwMode="auto">
                          <a:xfrm>
                            <a:off x="5341" y="9925"/>
                            <a:ext cx="1187" cy="473"/>
                          </a:xfrm>
                          <a:prstGeom prst="rect">
                            <a:avLst/>
                          </a:prstGeom>
                          <a:noFill/>
                          <a:ln w="2650">
                            <a:solidFill>
                              <a:srgbClr val="404040"/>
                            </a:solidFill>
                            <a:miter lim="800000"/>
                          </a:ln>
                        </wps:spPr>
                        <wps:txbx>
                          <w:txbxContent>
                            <w:p w:rsidR="008A2024" w14:textId="77777777">
                              <w:pPr>
                                <w:spacing w:before="94"/>
                                <w:ind w:left="187"/>
                                <w:rPr>
                                  <w:sz w:val="20"/>
                                </w:rPr>
                              </w:pPr>
                              <w:r>
                                <w:rPr>
                                  <w:sz w:val="20"/>
                                </w:rPr>
                                <w:t>后续处置</w:t>
                              </w:r>
                            </w:p>
                          </w:txbxContent>
                        </wps:txbx>
                        <wps:bodyPr rot="0" vert="horz" wrap="square" lIns="0" tIns="0" rIns="0" bIns="0" anchor="t" anchorCtr="0" upright="1"/>
                      </wps:wsp>
                      <wps:wsp xmlns:wps="http://schemas.microsoft.com/office/word/2010/wordprocessingShape">
                        <wps:cNvPr id="480" name="Text Box 92"/>
                        <wps:cNvSpPr txBox="1">
                          <a:spLocks noChangeArrowheads="1"/>
                        </wps:cNvSpPr>
                        <wps:spPr bwMode="auto">
                          <a:xfrm>
                            <a:off x="5341" y="9162"/>
                            <a:ext cx="1187" cy="473"/>
                          </a:xfrm>
                          <a:prstGeom prst="rect">
                            <a:avLst/>
                          </a:prstGeom>
                          <a:noFill/>
                          <a:ln w="2650">
                            <a:solidFill>
                              <a:srgbClr val="404040"/>
                            </a:solidFill>
                            <a:miter lim="800000"/>
                          </a:ln>
                        </wps:spPr>
                        <wps:txbx>
                          <w:txbxContent>
                            <w:p w:rsidR="008A2024" w14:textId="77777777">
                              <w:pPr>
                                <w:spacing w:before="94"/>
                                <w:ind w:left="187"/>
                                <w:rPr>
                                  <w:sz w:val="20"/>
                                </w:rPr>
                              </w:pPr>
                              <w:r>
                                <w:rPr>
                                  <w:sz w:val="20"/>
                                </w:rPr>
                                <w:t>结束响应</w:t>
                              </w:r>
                            </w:p>
                          </w:txbxContent>
                        </wps:txbx>
                        <wps:bodyPr rot="0" vert="horz" wrap="square" lIns="0" tIns="0" rIns="0" bIns="0" anchor="t" anchorCtr="0" upright="1"/>
                      </wps:wsp>
                      <wps:wsp xmlns:wps="http://schemas.microsoft.com/office/word/2010/wordprocessingShape">
                        <wps:cNvPr id="481" name="Text Box 93"/>
                        <wps:cNvSpPr txBox="1">
                          <a:spLocks noChangeArrowheads="1"/>
                        </wps:cNvSpPr>
                        <wps:spPr bwMode="auto">
                          <a:xfrm>
                            <a:off x="5341" y="8401"/>
                            <a:ext cx="1187" cy="473"/>
                          </a:xfrm>
                          <a:prstGeom prst="rect">
                            <a:avLst/>
                          </a:prstGeom>
                          <a:noFill/>
                          <a:ln w="2650">
                            <a:solidFill>
                              <a:srgbClr val="404040"/>
                            </a:solidFill>
                            <a:miter lim="800000"/>
                          </a:ln>
                        </wps:spPr>
                        <wps:txbx>
                          <w:txbxContent>
                            <w:p w:rsidR="008A2024" w14:textId="77777777">
                              <w:pPr>
                                <w:spacing w:before="94"/>
                                <w:ind w:left="187"/>
                                <w:rPr>
                                  <w:sz w:val="20"/>
                                </w:rPr>
                              </w:pPr>
                              <w:r>
                                <w:rPr>
                                  <w:sz w:val="20"/>
                                </w:rPr>
                                <w:t>应急恢复</w:t>
                              </w:r>
                            </w:p>
                          </w:txbxContent>
                        </wps:txbx>
                        <wps:bodyPr rot="0" vert="horz" wrap="square" lIns="0" tIns="0" rIns="0" bIns="0" anchor="t" anchorCtr="0" upright="1"/>
                      </wps:wsp>
                      <wps:wsp xmlns:wps="http://schemas.microsoft.com/office/word/2010/wordprocessingShape">
                        <wps:cNvPr id="482" name="Text Box 94"/>
                        <wps:cNvSpPr txBox="1">
                          <a:spLocks noChangeArrowheads="1"/>
                        </wps:cNvSpPr>
                        <wps:spPr bwMode="auto">
                          <a:xfrm>
                            <a:off x="7324" y="7341"/>
                            <a:ext cx="1187" cy="473"/>
                          </a:xfrm>
                          <a:prstGeom prst="rect">
                            <a:avLst/>
                          </a:prstGeom>
                          <a:noFill/>
                          <a:ln w="2650">
                            <a:solidFill>
                              <a:srgbClr val="404040"/>
                            </a:solidFill>
                            <a:miter lim="800000"/>
                          </a:ln>
                        </wps:spPr>
                        <wps:txbx>
                          <w:txbxContent>
                            <w:p w:rsidR="008A2024" w14:textId="77777777">
                              <w:pPr>
                                <w:spacing w:before="94"/>
                                <w:ind w:left="187"/>
                                <w:rPr>
                                  <w:sz w:val="20"/>
                                </w:rPr>
                              </w:pPr>
                              <w:r>
                                <w:rPr>
                                  <w:sz w:val="20"/>
                                </w:rPr>
                                <w:t>事件评估</w:t>
                              </w:r>
                            </w:p>
                          </w:txbxContent>
                        </wps:txbx>
                        <wps:bodyPr rot="0" vert="horz" wrap="square" lIns="0" tIns="0" rIns="0" bIns="0" anchor="t" anchorCtr="0" upright="1"/>
                      </wps:wsp>
                      <wps:wsp xmlns:wps="http://schemas.microsoft.com/office/word/2010/wordprocessingShape">
                        <wps:cNvPr id="483" name="Text Box 95"/>
                        <wps:cNvSpPr txBox="1">
                          <a:spLocks noChangeArrowheads="1"/>
                        </wps:cNvSpPr>
                        <wps:spPr bwMode="auto">
                          <a:xfrm>
                            <a:off x="3443" y="7337"/>
                            <a:ext cx="1187" cy="473"/>
                          </a:xfrm>
                          <a:prstGeom prst="rect">
                            <a:avLst/>
                          </a:prstGeom>
                          <a:noFill/>
                          <a:ln w="2650">
                            <a:solidFill>
                              <a:srgbClr val="404040"/>
                            </a:solidFill>
                            <a:miter lim="800000"/>
                          </a:ln>
                        </wps:spPr>
                        <wps:txbx>
                          <w:txbxContent>
                            <w:p w:rsidR="008A2024" w14:textId="77777777">
                              <w:pPr>
                                <w:spacing w:before="94"/>
                                <w:ind w:left="187"/>
                                <w:rPr>
                                  <w:sz w:val="20"/>
                                </w:rPr>
                              </w:pPr>
                              <w:r>
                                <w:rPr>
                                  <w:sz w:val="20"/>
                                </w:rPr>
                                <w:t>媒体沟通</w:t>
                              </w:r>
                            </w:p>
                          </w:txbxContent>
                        </wps:txbx>
                        <wps:bodyPr rot="0" vert="horz" wrap="square" lIns="0" tIns="0" rIns="0" bIns="0" anchor="t" anchorCtr="0" upright="1"/>
                      </wps:wsp>
                      <wps:wsp xmlns:wps="http://schemas.microsoft.com/office/word/2010/wordprocessingShape">
                        <wps:cNvPr id="484" name="Text Box 96"/>
                        <wps:cNvSpPr txBox="1">
                          <a:spLocks noChangeArrowheads="1"/>
                        </wps:cNvSpPr>
                        <wps:spPr bwMode="auto">
                          <a:xfrm>
                            <a:off x="5112" y="5644"/>
                            <a:ext cx="1662" cy="473"/>
                          </a:xfrm>
                          <a:prstGeom prst="rect">
                            <a:avLst/>
                          </a:prstGeom>
                          <a:noFill/>
                          <a:ln w="2650">
                            <a:solidFill>
                              <a:srgbClr val="404040"/>
                            </a:solidFill>
                            <a:miter lim="800000"/>
                          </a:ln>
                        </wps:spPr>
                        <wps:txbx>
                          <w:txbxContent>
                            <w:p w:rsidR="008A2024" w14:textId="77777777">
                              <w:pPr>
                                <w:spacing w:before="94"/>
                                <w:ind w:left="223"/>
                                <w:rPr>
                                  <w:sz w:val="20"/>
                                </w:rPr>
                              </w:pPr>
                              <w:r>
                                <w:rPr>
                                  <w:sz w:val="20"/>
                                </w:rPr>
                                <w:t>启动应急预案</w:t>
                              </w:r>
                            </w:p>
                          </w:txbxContent>
                        </wps:txbx>
                        <wps:bodyPr rot="0" vert="horz" wrap="square" lIns="0" tIns="0" rIns="0" bIns="0" anchor="t" anchorCtr="0" upright="1"/>
                      </wps:wsp>
                      <wps:wsp xmlns:wps="http://schemas.microsoft.com/office/word/2010/wordprocessingShape">
                        <wps:cNvPr id="485" name="Text Box 97"/>
                        <wps:cNvSpPr txBox="1">
                          <a:spLocks noChangeArrowheads="1"/>
                        </wps:cNvSpPr>
                        <wps:spPr bwMode="auto">
                          <a:xfrm>
                            <a:off x="5104" y="4878"/>
                            <a:ext cx="1662" cy="473"/>
                          </a:xfrm>
                          <a:prstGeom prst="rect">
                            <a:avLst/>
                          </a:prstGeom>
                          <a:noFill/>
                          <a:ln w="2650">
                            <a:solidFill>
                              <a:srgbClr val="404040"/>
                            </a:solidFill>
                            <a:miter lim="800000"/>
                          </a:ln>
                        </wps:spPr>
                        <wps:txbx>
                          <w:txbxContent>
                            <w:p w:rsidR="008A2024" w14:textId="77777777">
                              <w:pPr>
                                <w:spacing w:before="94"/>
                                <w:ind w:left="425"/>
                                <w:rPr>
                                  <w:sz w:val="20"/>
                                </w:rPr>
                              </w:pPr>
                              <w:r>
                                <w:rPr>
                                  <w:sz w:val="20"/>
                                </w:rPr>
                                <w:t>预警分级</w:t>
                              </w:r>
                            </w:p>
                          </w:txbxContent>
                        </wps:txbx>
                        <wps:bodyPr rot="0" vert="horz" wrap="square" lIns="0" tIns="0" rIns="0" bIns="0" anchor="t" anchorCtr="0" upright="1"/>
                      </wps:wsp>
                      <wps:wsp xmlns:wps="http://schemas.microsoft.com/office/word/2010/wordprocessingShape">
                        <wps:cNvPr id="486" name="Text Box 98"/>
                        <wps:cNvSpPr txBox="1">
                          <a:spLocks noChangeArrowheads="1"/>
                        </wps:cNvSpPr>
                        <wps:spPr bwMode="auto">
                          <a:xfrm>
                            <a:off x="7239" y="3862"/>
                            <a:ext cx="1187" cy="473"/>
                          </a:xfrm>
                          <a:prstGeom prst="rect">
                            <a:avLst/>
                          </a:prstGeom>
                          <a:noFill/>
                          <a:ln w="2650">
                            <a:solidFill>
                              <a:srgbClr val="404040"/>
                            </a:solidFill>
                            <a:miter lim="800000"/>
                          </a:ln>
                        </wps:spPr>
                        <wps:txbx>
                          <w:txbxContent>
                            <w:p w:rsidR="008A2024" w14:textId="77777777">
                              <w:pPr>
                                <w:spacing w:before="94"/>
                                <w:ind w:left="389"/>
                                <w:rPr>
                                  <w:sz w:val="20"/>
                                </w:rPr>
                              </w:pPr>
                              <w:r>
                                <w:rPr>
                                  <w:sz w:val="20"/>
                                </w:rPr>
                                <w:t>驳回</w:t>
                              </w:r>
                            </w:p>
                          </w:txbxContent>
                        </wps:txbx>
                        <wps:bodyPr rot="0" vert="horz" wrap="square" lIns="0" tIns="0" rIns="0" bIns="0" anchor="t" anchorCtr="0" upright="1"/>
                      </wps:wsp>
                      <wps:wsp xmlns:wps="http://schemas.microsoft.com/office/word/2010/wordprocessingShape">
                        <wps:cNvPr id="487" name="Text Box 99"/>
                        <wps:cNvSpPr txBox="1">
                          <a:spLocks noChangeArrowheads="1"/>
                        </wps:cNvSpPr>
                        <wps:spPr bwMode="auto">
                          <a:xfrm>
                            <a:off x="3253" y="3862"/>
                            <a:ext cx="1376" cy="473"/>
                          </a:xfrm>
                          <a:prstGeom prst="rect">
                            <a:avLst/>
                          </a:prstGeom>
                          <a:noFill/>
                          <a:ln w="2650">
                            <a:solidFill>
                              <a:srgbClr val="404040"/>
                            </a:solidFill>
                            <a:miter lim="800000"/>
                          </a:ln>
                        </wps:spPr>
                        <wps:txbx>
                          <w:txbxContent>
                            <w:p w:rsidR="008A2024" w14:textId="77777777">
                              <w:pPr>
                                <w:spacing w:before="94"/>
                                <w:ind w:left="181"/>
                                <w:rPr>
                                  <w:sz w:val="20"/>
                                </w:rPr>
                              </w:pPr>
                              <w:r>
                                <w:rPr>
                                  <w:sz w:val="20"/>
                                </w:rPr>
                                <w:t>告警与通告</w:t>
                              </w:r>
                            </w:p>
                          </w:txbxContent>
                        </wps:txbx>
                        <wps:bodyPr rot="0" vert="horz" wrap="square" lIns="0" tIns="0" rIns="0" bIns="0" anchor="t" anchorCtr="0" upright="1"/>
                      </wps:wsp>
                      <wps:wsp xmlns:wps="http://schemas.microsoft.com/office/word/2010/wordprocessingShape">
                        <wps:cNvPr id="488" name="Text Box 100"/>
                        <wps:cNvSpPr txBox="1">
                          <a:spLocks noChangeArrowheads="1"/>
                        </wps:cNvSpPr>
                        <wps:spPr bwMode="auto">
                          <a:xfrm>
                            <a:off x="7239" y="2904"/>
                            <a:ext cx="1187" cy="473"/>
                          </a:xfrm>
                          <a:prstGeom prst="rect">
                            <a:avLst/>
                          </a:prstGeom>
                          <a:noFill/>
                          <a:ln w="2650">
                            <a:solidFill>
                              <a:srgbClr val="404040"/>
                            </a:solidFill>
                            <a:miter lim="800000"/>
                          </a:ln>
                        </wps:spPr>
                        <wps:txbx>
                          <w:txbxContent>
                            <w:p w:rsidR="008A2024" w14:textId="77777777">
                              <w:pPr>
                                <w:spacing w:before="94"/>
                                <w:ind w:left="187"/>
                                <w:rPr>
                                  <w:sz w:val="20"/>
                                </w:rPr>
                              </w:pPr>
                              <w:r>
                                <w:rPr>
                                  <w:sz w:val="20"/>
                                </w:rPr>
                                <w:t>信息反馈</w:t>
                              </w:r>
                            </w:p>
                          </w:txbxContent>
                        </wps:txbx>
                        <wps:bodyPr rot="0" vert="horz" wrap="square" lIns="0" tIns="0" rIns="0" bIns="0" anchor="t" anchorCtr="0" upright="1"/>
                      </wps:wsp>
                    </wpg:wgp>
                  </a:graphicData>
                </a:graphic>
              </wp:inline>
            </w:drawing>
          </mc:Choice>
          <mc:Fallback>
            <w:pict>
              <v:group id="组合 1" o:spid="_x0000_i1025" style="width:377.6pt;height:451.05pt;mso-wrap-distance-bottom:0;mso-wrap-distance-left:0;mso-wrap-distance-right:0;mso-wrap-distance-top:0" coordorigin="6226,3368"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1600;height:18093;left:6227;position:absolute;top:3368" filled="f">
                  <v:imagedata r:id="rId26" o:title=""/>
                </v:shape>
                <v:shape id="_x0000_s1027" type="#_x0000_t75" style="width:20956;height:17568;left:6547;position:absolute;top:3630" filled="f">
                  <v:imagedata r:id="rId27" o:title=""/>
                </v:shape>
                <v:shape id="_x0000_s1028" style="width:5057;height:1133;left:14530;position:absolute;top:4933;v-text-anchor:top" coordsize="21600,21600" path="m18705,l2908,l2908,l1991,548l1991,548l1197,2101l1197,2101l562,4430l562,4430l159,7398l159,7398l,10823l,10823l159,14202l159,14202l562,17170l562,17170l1197,19499l1197,19499l1991,21052l1991,21052l2908,21600l2908,21600l18705,21600l18705,21600l19621,21052l19621,21052l20415,19499l20415,19499l21050,17170l21050,17170l21453,14202l21453,14202l21600,10823l21600,10823l21453,7398l21453,7398l21050,4430l21050,4430l20415,2101l20415,2101l19621,548l19621,548l18705,xe" fillcolor="#cdcdcd" stroked="f">
                  <v:fill opacity="32639f"/>
                </v:shape>
                <v:shape id="_x0000_s1029" style="width:4362;height:474;left:14547;position:absolute;top:4933;v-text-anchor:top" coordsize="21600,21600" path="m21586,l3272,l3272,l2210,1309l2210,1309l1289,5018l1289,5018l552,10582l552,10582l85,17673l85,17673l,21600e" filled="f" fillcolor="this" stroked="t" strokecolor="#cdcdcd" strokeweight="0.21pt">
                  <v:stroke joinstyle="round"/>
                </v:shape>
                <v:shape id="_x0000_s1030" type="#_x0000_t75" style="width:692;height:577;left:18900;position:absolute;top:4928" filled="f">
                  <v:imagedata r:id="rId28" o:title=""/>
                </v:shape>
                <v:shape id="_x0000_s1031" type="#_x0000_t75" style="width:5057;height:1133;left:14461;position:absolute;top:4875" filled="f">
                  <v:imagedata r:id="rId29" o:title=""/>
                </v:shape>
                <v:shape id="_x0000_s1032" style="width:5057;height:1133;left:14461;position:absolute;top:4875;v-text-anchor:top" coordsize="21600,21600" path="m2908,21600l18705,21600l18705,21600l19621,21052l19621,21052l20415,19499l20415,19499l21038,17170l21038,17170l21453,14202l21453,14202l21600,10823l21600,10823l21453,7398l21453,7398l21038,4430l21038,4430l20415,2101l20415,2101l19621,548l19621,548l18705,l18705,l2908,l2908,l1991,548l1991,548l1185,2101l1185,2101l562,4430l562,4430l147,7398l147,7398l,10823l,10823l147,14202l147,14202l562,17170l562,17170l1185,19499l1185,19499l1991,21052l1991,21052l2908,21600xe" filled="f" fillcolor="this" stroked="t" strokecolor="#404040" strokeweight="0.21pt">
                  <v:stroke joinstyle="round"/>
                </v:shape>
                <v:rect id="_x0000_s1033" style="width:3395;height:1133;left:15345;position:absolute;top:7015;v-text-anchor:top" fillcolor="#cdcdcd" stroked="f">
                  <v:fill opacity="32639f"/>
                </v:rect>
                <v:shape id="_x0000_s1034" type="#_x0000_t75" style="width:3395;height:1133;left:15276;position:absolute;top:6957" filled="f">
                  <v:imagedata r:id="rId30" o:title=""/>
                </v:shape>
                <v:shape id="_x0000_s1035" style="width:3395;height:1701;left:15345;position:absolute;top:9027;v-text-anchor:top" coordsize="21600,21600" path="m10791,l,10800l,10800l10791,21600l10791,21600l21582,10800l21582,10800l10791,xe" fillcolor="#cdcdcd" stroked="f">
                  <v:fill opacity="32639f"/>
                </v:shape>
                <v:shape id="_x0000_s1036" style="width:4056;height:1021;left:7445;position:absolute;top:12930;v-text-anchor:top" coordsize="21600,21600" path="m42088,-64648l51121,-82648m42088,-64648l42088,-64648m51121,-82648l60154,-64648e" filled="f" fillcolor="this" stroked="t" strokecolor="#cdcdcd" strokeweight="0.21pt">
                  <v:stroke joinstyle="round"/>
                </v:shape>
                <v:shape id="_x0000_s1037" type="#_x0000_t75" style="width:3395;height:1701;left:15276;position:absolute;top:8970" filled="f">
                  <v:imagedata r:id="rId31" o:title=""/>
                </v:shape>
                <v:shape id="_x0000_s1038" style="width:3395;height:1701;left:15276;position:absolute;top:8970;v-text-anchor:top" coordsize="21600,21600" path="m,10800l10809,l10809,l21600,10800l21600,10800l10809,21600l10809,21600l,10800xe" filled="f" fillcolor="this" stroked="t" strokecolor="#404040" strokeweight="0.21pt">
                  <v:stroke joinstyle="round"/>
                </v:shape>
                <v:rect id="_x0000_s1039" style="width:4754;height:1133;left:14667;position:absolute;top:11744;v-text-anchor:top" fillcolor="#cdcdcd" stroked="f">
                  <v:fill opacity="32639f"/>
                </v:rect>
                <v:shape id="_x0000_s1040" type="#_x0000_t75" style="width:4754;height:1133;left:14598;position:absolute;top:11686" filled="f">
                  <v:imagedata r:id="rId32" o:title=""/>
                </v:shape>
                <v:rect id="_x0000_s1041" style="width:4691;height:1133;left:14753;position:absolute;top:15393;v-text-anchor:top" fillcolor="#cdcdcd" stroked="f">
                  <v:fill opacity="32639f"/>
                </v:rect>
                <v:line id="_x0000_s1042" style="position:absolute;v-text-anchor:top" from="19443,15395" to="19443,15395" fillcolor="this" stroked="t" strokecolor="#cdcdcd" strokeweight="0.21pt">
                  <v:stroke joinstyle="round"/>
                </v:line>
                <v:shape id="_x0000_s1043" type="#_x0000_t75" style="width:4691;height:1133;left:14684;position:absolute;top:15335" filled="f">
                  <v:imagedata r:id="rId33" o:title=""/>
                </v:shape>
                <v:rect id="_x0000_s1044" style="width:4691;height:1133;left:14684;position:absolute;top:15335;v-text-anchor:top" filled="f" fillcolor="this" stroked="t" strokecolor="#404040" strokeweight="0.21pt"/>
                <v:rect id="_x0000_s1045" style="width:3936;height:1133;left:9373;position:absolute;top:9310;v-text-anchor:top" fillcolor="#cdcdcd" stroked="f">
                  <v:fill opacity="32639f"/>
                </v:rect>
                <v:shape id="_x0000_s1046" style="width:3936;height:1136;left:9373;position:absolute;top:9310;v-text-anchor:top" coordsize="21600,21600" path="m21600,l,l,l,21554e" filled="f" fillcolor="this" stroked="t" strokecolor="#cdcdcd" strokeweight="0.21pt">
                  <v:stroke joinstyle="round"/>
                </v:shape>
                <v:shape id="_x0000_s1047" type="#_x0000_t75" style="width:3936;height:1133;left:9304;position:absolute;top:9252" filled="f">
                  <v:imagedata r:id="rId34" o:title=""/>
                </v:shape>
                <v:shape id="_x0000_s1048" style="width:3395;height:1701;left:15345;position:absolute;top:17350;v-text-anchor:top" coordsize="21600,21600" path="m10791,l,10800l,10800l10791,21570l10791,21570l21582,10800l21582,10800l10791,xe" fillcolor="#cdcdcd" stroked="f">
                  <v:fill opacity="32639f"/>
                </v:shape>
                <v:shape id="_x0000_s1049" style="width:4056;height:1021;left:7445;position:absolute;top:22908;v-text-anchor:top" coordsize="21600,21600" path="m42088,-99583l51121,-117583m42088,-99583l42088,-99583m51121,-117583l60154,-99583e" filled="f" fillcolor="this" stroked="t" strokecolor="#cdcdcd" strokeweight="0.21pt">
                  <v:stroke joinstyle="round"/>
                </v:shape>
                <v:shape id="_x0000_s1050" type="#_x0000_t75" style="width:3395;height:1701;left:15276;position:absolute;top:17292" filled="f">
                  <v:imagedata r:id="rId31" o:title=""/>
                </v:shape>
                <v:shape id="_x0000_s1051" style="width:3395;height:1701;left:15276;position:absolute;top:17292;v-text-anchor:top" coordsize="21600,21600" path="m,10770l10809,l10809,l21600,10770l21600,10770l10809,21570l10809,21570l,10770xe" filled="f" fillcolor="this" stroked="t" strokecolor="#404040" strokeweight="0.21pt">
                  <v:stroke joinstyle="round"/>
                </v:shape>
                <v:rect id="_x0000_s1052" style="width:3395;height:1133;left:9916;position:absolute;top:17635;v-text-anchor:top" fillcolor="#cdcdcd" stroked="f">
                  <v:fill opacity="32639f"/>
                </v:rect>
                <v:shape id="_x0000_s1053" type="#_x0000_t75" style="width:3395;height:1133;left:9848;position:absolute;top:17578" filled="f">
                  <v:imagedata r:id="rId30" o:title=""/>
                </v:shape>
                <v:rect id="_x0000_s1054" style="width:3395;height:1133;left:15345;position:absolute;top:20184;v-text-anchor:top" fillcolor="#cdcdcd" stroked="f">
                  <v:fill opacity="32639f"/>
                </v:rect>
                <v:shape id="_x0000_s1055" type="#_x0000_t75" style="width:3395;height:1133;left:15276;position:absolute;top:20127" filled="f">
                  <v:imagedata r:id="rId30" o:title=""/>
                </v:shape>
                <v:rect id="_x0000_s1056" style="width:3395;height:1133;left:21017;position:absolute;top:17645;v-text-anchor:top" fillcolor="#cdcdcd" stroked="f">
                  <v:fill opacity="32639f"/>
                </v:rect>
                <v:shape id="_x0000_s1057" style="width:3395;height:1136;left:21017;position:absolute;top:17645;v-text-anchor:top" coordsize="21600,21600" path="m21600,l,l,l,21554e" filled="f" fillcolor="this" stroked="t" strokecolor="#cdcdcd" strokeweight="0.21pt">
                  <v:stroke joinstyle="round"/>
                </v:shape>
                <v:shape id="_x0000_s1058" type="#_x0000_t75" style="width:3395;height:1133;left:20948;position:absolute;top:17587" filled="f">
                  <v:imagedata r:id="rId30" o:title=""/>
                </v:shape>
                <v:rect id="_x0000_s1059" style="width:3913;height:1133;left:20773;position:absolute;top:15393;v-text-anchor:top" fillcolor="#cdcdcd" stroked="f">
                  <v:fill opacity="32639f"/>
                </v:rect>
                <v:shape id="_x0000_s1060" style="width:3913;height:1136;left:20773;position:absolute;top:15393;v-text-anchor:top" coordsize="21600,21600" path="m21584,l,l,l,21554e" filled="f" fillcolor="this" stroked="t" strokecolor="#cdcdcd" strokeweight="0.21pt">
                  <v:stroke joinstyle="round"/>
                </v:shape>
                <v:shape id="_x0000_s1061" type="#_x0000_t75" style="width:3913;height:1133;left:20705;position:absolute;top:15335" filled="f">
                  <v:imagedata r:id="rId34" o:title=""/>
                </v:shape>
                <v:shape id="_x0000_s1062" type="#_x0000_t75" style="width:338;height:970;left:16812;position:absolute;top:5987" filled="f">
                  <v:imagedata r:id="rId35" o:title=""/>
                </v:shape>
                <v:shape id="_x0000_s1063" type="#_x0000_t75" style="width:338;height:882;left:16803;position:absolute;top:8090" filled="f">
                  <v:imagedata r:id="rId36" o:title=""/>
                </v:shape>
                <v:shape id="_x0000_s1064" type="#_x0000_t75" style="width:386;height:1018;left:16781;position:absolute;top:10668" filled="f">
                  <v:imagedata r:id="rId37" o:title=""/>
                </v:shape>
                <v:line id="_x0000_s1065" style="position:absolute;v-text-anchor:top" from="16975,11373" to="16975,11476" fillcolor="this" stroked="t" strokecolor="#404040" strokeweight="0.84pt">
                  <v:stroke joinstyle="round"/>
                </v:line>
                <v:shape id="_x0000_s1066" type="#_x0000_t75" style="width:338;height:855;left:16832;position:absolute;top:16449" filled="f">
                  <v:imagedata r:id="rId38" o:title=""/>
                </v:shape>
                <v:rect id="_x0000_s1067" style="width:3395;height:1133;left:15345;position:absolute;top:22007;v-text-anchor:top" fillcolor="#cdcdcd" stroked="f">
                  <v:fill opacity="32639f"/>
                </v:rect>
                <v:shape id="_x0000_s1068" type="#_x0000_t75" style="width:3395;height:1133;left:15276;position:absolute;top:21950" filled="f">
                  <v:imagedata r:id="rId30" o:title=""/>
                </v:shape>
                <v:shape id="_x0000_s1069" type="#_x0000_t75" style="width:338;height:692;left:16803;position:absolute;top:21260" filled="f">
                  <v:imagedata r:id="rId39" o:title=""/>
                </v:shape>
                <v:rect id="_x0000_s1070" style="width:3395;height:1133;left:15345;position:absolute;top:23835;v-text-anchor:top" fillcolor="#cdcdcd" stroked="f">
                  <v:fill opacity="32639f"/>
                </v:rect>
                <v:shape id="_x0000_s1071" type="#_x0000_t75" style="width:3395;height:1133;left:15276;position:absolute;top:23778" filled="f">
                  <v:imagedata r:id="rId30" o:title=""/>
                </v:shape>
                <v:shape id="_x0000_s1072" type="#_x0000_t75" style="width:338;height:697;left:16803;position:absolute;top:23083" filled="f">
                  <v:imagedata r:id="rId40" o:title=""/>
                </v:shape>
                <v:shape id="_x0000_s1073" style="width:2076;height:5;left:18640;position:absolute;top:18148;v-text-anchor:top" coordsize="21600,21600" path="m14132,l21600,m,l10145,e" filled="f" fillcolor="this" stroked="t" strokecolor="#404040" strokeweight="0.91pt">
                  <v:stroke joinstyle="round"/>
                </v:shape>
                <v:shape id="_x0000_s1074" type="#_x0000_t75" style="width:338;height:283;left:20610;position:absolute;top:18009" filled="f">
                  <v:imagedata r:id="rId41" o:title=""/>
                </v:shape>
                <v:line id="_x0000_s1075" style="position:absolute;v-text-anchor:top" from="19807,17958" to="19807,18342" fillcolor="this" stroked="t" strokecolor="white" strokeweight="6.72pt">
                  <v:stroke joinstyle="round"/>
                </v:line>
                <v:shape id="_x0000_s1076" type="#_x0000_t75" style="width:338;height:1138;left:22492;position:absolute;top:16468" filled="f">
                  <v:imagedata r:id="rId42" o:title=""/>
                </v:shape>
                <v:shape id="_x0000_s1077" style="width:3678;height:781;left:17029;position:absolute;top:15124;v-text-anchor:top" coordsize="21600,21600" path="m21583,21534l20088,21534l20088,21534l20088,l20088,l,l,l,5897e" filled="f" fillcolor="this" stroked="t" strokecolor="#404040" strokeweight="0.83pt">
                  <v:stroke joinstyle="round"/>
                </v:shape>
                <v:shape id="_x0000_s1078" type="#_x0000_t75" style="width:338;height:283;left:16861;position:absolute;top:15055" filled="f">
                  <v:imagedata r:id="rId43" o:title=""/>
                </v:shape>
                <v:line id="_x0000_s1079" style="position:absolute;v-text-anchor:top" from="15276,18143" to="15276,18143" fillcolor="this" stroked="t" strokecolor="#404040" strokeweight="0.83pt">
                  <v:stroke joinstyle="round"/>
                </v:line>
                <v:shape id="_x0000_s1080" type="#_x0000_t75" style="width:338;height:283;left:13240;position:absolute;top:18002" filled="f">
                  <v:imagedata r:id="rId44" o:title=""/>
                </v:shape>
                <v:line id="_x0000_s1081" style="position:absolute;v-text-anchor:top" from="15276,9820" to="15276,9820" fillcolor="this" stroked="t" strokecolor="#404040" strokeweight="0.83pt">
                  <v:stroke joinstyle="round"/>
                </v:line>
                <v:shape id="_x0000_s1082" type="#_x0000_t75" style="width:338;height:283;left:13240;position:absolute;top:9679" filled="f">
                  <v:imagedata r:id="rId45" o:title=""/>
                </v:shape>
                <v:rect id="_x0000_s1083" style="width:3395;height:1133;left:20773;position:absolute;top:9310;v-text-anchor:top" fillcolor="#cdcdcd" stroked="f">
                  <v:fill opacity="32639f"/>
                </v:rect>
                <v:shape id="_x0000_s1084" style="width:3395;height:1136;left:20773;position:absolute;top:9310;v-text-anchor:top" coordsize="21600,21600" path="m21582,l,l,l,21554e" filled="f" fillcolor="this" stroked="t" strokecolor="#cdcdcd" strokeweight="0.21pt">
                  <v:stroke joinstyle="round"/>
                </v:shape>
                <v:shape id="_x0000_s1085" type="#_x0000_t75" style="width:3395;height:1133;left:20705;position:absolute;top:9252" filled="f">
                  <v:imagedata r:id="rId30" o:title=""/>
                </v:shape>
                <v:rect id="_x0000_s1086" style="width:3395;height:1133;left:20773;position:absolute;top:7015;v-text-anchor:top" fillcolor="#cdcdcd" stroked="f">
                  <v:fill opacity="32639f"/>
                </v:rect>
                <v:shape id="_x0000_s1087" style="width:3395;height:1136;left:20773;position:absolute;top:7015;v-text-anchor:top" coordsize="21600,21600" path="m21582,l,l,l,21554e" filled="f" fillcolor="this" stroked="t" strokecolor="#cdcdcd" strokeweight="0.21pt">
                  <v:stroke joinstyle="round"/>
                </v:shape>
                <v:shape id="_x0000_s1088" type="#_x0000_t75" style="width:3395;height:1133;left:20705;position:absolute;top:6957" filled="f">
                  <v:imagedata r:id="rId30" o:title=""/>
                </v:shape>
                <v:shape id="_x0000_s1089" style="width:1782;height:5;left:18668;position:absolute;top:9820;v-text-anchor:top" coordsize="21600,21600" path="m14666,l21600,m,l10020,e" filled="f" fillcolor="this" stroked="t" strokecolor="#404040" strokeweight="0.83pt">
                  <v:stroke joinstyle="round"/>
                </v:shape>
                <v:shape id="_x0000_s1090" type="#_x0000_t75" style="width:338;height:283;left:20367;position:absolute;top:9679" filled="f">
                  <v:imagedata r:id="rId46" o:title=""/>
                </v:shape>
                <v:line id="_x0000_s1091" style="position:absolute;v-text-anchor:top" from="19689,9628" to="19689,10012" fillcolor="this" stroked="t" strokecolor="white" strokeweight="6.72pt">
                  <v:stroke joinstyle="round"/>
                </v:line>
                <v:shape id="_x0000_s1092" type="#_x0000_t75" style="width:338;height:1164;left:22235;position:absolute;top:8090" filled="f">
                  <v:imagedata r:id="rId47" o:title=""/>
                </v:shape>
                <v:line id="_x0000_s1093" style="position:absolute;v-text-anchor:top" from="18671,7525" to="20453,7525" fillcolor="this" stroked="t" strokecolor="#404040" strokeweight="0.83pt">
                  <v:stroke joinstyle="round"/>
                </v:line>
                <v:shape id="_x0000_s1094" type="#_x0000_t75" style="width:338;height:283;left:20367;position:absolute;top:7381" filled="f">
                  <v:imagedata r:id="rId48" o:title=""/>
                </v:shape>
                <v:shape id="_x0000_s1095" style="width:6;height:942;left:16972;position:absolute;top:18993;v-text-anchor:top" coordsize="21600,21600" path="m,l,8629m,17423l,21545e" filled="f" fillcolor="this" stroked="t" strokecolor="black" strokeweight="0.21pt">
                  <v:stroke joinstyle="round"/>
                </v:shape>
                <v:shape id="_x0000_s1096" style="width:266;height:223;left:16841;position:absolute;top:19904;v-text-anchor:top" coordsize="21600,21600" path="m21600,l,l,l10916,21368l10916,21368l21600,xe" fillcolor="black" stroked="f"/>
                <v:line id="_x0000_s1097" style="position:absolute;v-text-anchor:top" from="16975,19370" to="16975,19753" fillcolor="this" stroked="t" strokecolor="white" strokeweight="6.72pt">
                  <v:stroke joinstyle="round"/>
                </v:line>
                <v:rect id="_x0000_s1098" style="width:4754;height:1133;left:14690;position:absolute;top:13579;v-text-anchor:top" fillcolor="#cdcdcd" stroked="f">
                  <v:fill opacity="32639f"/>
                </v:rect>
                <v:shape id="_x0000_s1099" type="#_x0000_t75" style="width:4754;height:1133;left:14621;position:absolute;top:13522" filled="f">
                  <v:imagedata r:id="rId32" o:title=""/>
                </v:shape>
                <v:shape id="_x0000_s1100" type="#_x0000_t75" style="width:338;height:721;left:16821;position:absolute;top:12800" filled="f">
                  <v:imagedata r:id="rId49" o:title=""/>
                </v:shape>
                <v:shape id="_x0000_s1101" type="#_x0000_t75" style="width:338;height:702;left:16849;position:absolute;top:14633" filled="f">
                  <v:imagedata r:id="rId50" o:title=""/>
                </v:shape>
                <v:shapetype id="_x0000_t202" coordsize="21600,21600" o:spt="202" path="m,l,21600r21600,l21600,xe">
                  <v:stroke joinstyle="miter"/>
                  <v:path gradientshapeok="t" o:connecttype="rect"/>
                </v:shapetype>
                <v:shape id="_x0000_s1102" type="#_x0000_t202" style="width:3518;height:482;left:15259;position:absolute;top:5172;v-text-anchor:top" filled="f" fillcolor="this" stroked="f">
                  <v:textbox inset="0,0,0,0">
                    <w:txbxContent>
                      <w:p w:rsidR="008A2024" w14:paraId="014AC3BA" w14:textId="77777777">
                        <w:pPr>
                          <w:spacing w:line="200" w:lineRule="exact"/>
                          <w:rPr>
                            <w:sz w:val="20"/>
                          </w:rPr>
                        </w:pPr>
                        <w:r>
                          <w:rPr>
                            <w:sz w:val="20"/>
                          </w:rPr>
                          <w:t>数据安全事件</w:t>
                        </w:r>
                      </w:p>
                    </w:txbxContent>
                  </v:textbox>
                </v:shape>
                <v:shape id="_x0000_s1103" type="#_x0000_t202" style="width:2362;height:482;left:15820;position:absolute;top:9552;v-text-anchor:top" filled="f" fillcolor="this" stroked="f">
                  <v:textbox inset="0,0,0,0">
                    <w:txbxContent>
                      <w:p w:rsidR="008A2024" w14:paraId="2E7C603C" w14:textId="77777777">
                        <w:pPr>
                          <w:spacing w:line="200" w:lineRule="exact"/>
                          <w:rPr>
                            <w:sz w:val="20"/>
                          </w:rPr>
                        </w:pPr>
                        <w:r>
                          <w:rPr>
                            <w:sz w:val="20"/>
                          </w:rPr>
                          <w:t>情况判断</w:t>
                        </w:r>
                      </w:p>
                    </w:txbxContent>
                  </v:textbox>
                </v:shape>
                <v:shape id="_x0000_s1104" type="#_x0000_t202" style="width:440;height:321;left:19495;position:absolute;top:9640;v-text-anchor:top" filled="f" fillcolor="this" stroked="f">
                  <v:textbox inset="0,0,0,0">
                    <w:txbxContent>
                      <w:p w:rsidR="008A2024" w14:paraId="22BAE77F" w14:textId="77777777">
                        <w:pPr>
                          <w:spacing w:line="133" w:lineRule="exact"/>
                          <w:rPr>
                            <w:sz w:val="13"/>
                          </w:rPr>
                        </w:pPr>
                        <w:r>
                          <w:rPr>
                            <w:w w:val="103"/>
                            <w:sz w:val="13"/>
                          </w:rPr>
                          <w:t>否</w:t>
                        </w:r>
                      </w:p>
                    </w:txbxContent>
                  </v:textbox>
                </v:shape>
                <v:shape id="_x0000_s1105" type="#_x0000_t202" style="width:440;height:321;left:16781;position:absolute;top:10999;v-text-anchor:top" filled="f" fillcolor="this" stroked="f">
                  <v:textbox inset="0,0,0,0">
                    <w:txbxContent>
                      <w:p w:rsidR="008A2024" w14:paraId="489D4557" w14:textId="77777777">
                        <w:pPr>
                          <w:spacing w:line="133" w:lineRule="exact"/>
                          <w:rPr>
                            <w:sz w:val="13"/>
                          </w:rPr>
                        </w:pPr>
                        <w:r>
                          <w:rPr>
                            <w:w w:val="103"/>
                            <w:sz w:val="13"/>
                          </w:rPr>
                          <w:t>是</w:t>
                        </w:r>
                      </w:p>
                    </w:txbxContent>
                  </v:textbox>
                </v:shape>
                <v:shape id="_x0000_s1106" type="#_x0000_t202" style="width:3518;height:482;left:15299;position:absolute;top:15635;v-text-anchor:top" filled="f" fillcolor="this" stroked="f">
                  <v:textbox inset="0,0,0,0">
                    <w:txbxContent>
                      <w:p w:rsidR="008A2024" w14:paraId="6735F8FA" w14:textId="77777777">
                        <w:pPr>
                          <w:spacing w:line="200" w:lineRule="exact"/>
                          <w:rPr>
                            <w:sz w:val="20"/>
                          </w:rPr>
                        </w:pPr>
                        <w:r>
                          <w:rPr>
                            <w:sz w:val="20"/>
                          </w:rPr>
                          <w:t>应急响应处置</w:t>
                        </w:r>
                      </w:p>
                    </w:txbxContent>
                  </v:textbox>
                </v:shape>
                <v:shape id="_x0000_s1107" type="#_x0000_t202" style="width:2362;height:482;left:15820;position:absolute;top:17875;v-text-anchor:top" filled="f" fillcolor="this" stroked="f">
                  <v:textbox inset="0,0,0,0">
                    <w:txbxContent>
                      <w:p w:rsidR="008A2024" w14:paraId="6339EE36" w14:textId="77777777">
                        <w:pPr>
                          <w:spacing w:line="200" w:lineRule="exact"/>
                          <w:rPr>
                            <w:sz w:val="20"/>
                          </w:rPr>
                        </w:pPr>
                        <w:r>
                          <w:rPr>
                            <w:sz w:val="20"/>
                          </w:rPr>
                          <w:t>事态控制</w:t>
                        </w:r>
                      </w:p>
                    </w:txbxContent>
                  </v:textbox>
                </v:shape>
                <v:shape id="_x0000_s1108" type="#_x0000_t202" style="width:440;height:321;left:19612;position:absolute;top:17968;v-text-anchor:top" filled="f" fillcolor="this" stroked="f">
                  <v:textbox inset="0,0,0,0">
                    <w:txbxContent>
                      <w:p w:rsidR="008A2024" w14:paraId="512F9172" w14:textId="77777777">
                        <w:pPr>
                          <w:spacing w:line="133" w:lineRule="exact"/>
                          <w:rPr>
                            <w:sz w:val="13"/>
                          </w:rPr>
                        </w:pPr>
                        <w:r>
                          <w:rPr>
                            <w:w w:val="103"/>
                            <w:sz w:val="13"/>
                          </w:rPr>
                          <w:t>否</w:t>
                        </w:r>
                      </w:p>
                    </w:txbxContent>
                  </v:textbox>
                </v:shape>
                <v:shape id="_x0000_s1109" type="#_x0000_t202" style="width:440;height:321;left:16781;position:absolute;top:19382;v-text-anchor:top" filled="f" fillcolor="this" stroked="f">
                  <v:textbox inset="0,0,0,0">
                    <w:txbxContent>
                      <w:p w:rsidR="008A2024" w14:paraId="71F2F9FD" w14:textId="77777777">
                        <w:pPr>
                          <w:spacing w:line="133" w:lineRule="exact"/>
                          <w:rPr>
                            <w:sz w:val="13"/>
                          </w:rPr>
                        </w:pPr>
                        <w:r>
                          <w:rPr>
                            <w:w w:val="103"/>
                            <w:sz w:val="13"/>
                          </w:rPr>
                          <w:t>是</w:t>
                        </w:r>
                      </w:p>
                    </w:txbxContent>
                  </v:textbox>
                </v:shape>
                <v:shape id="_x0000_s1110" type="#_x0000_t202" style="width:3913;height:1133;left:20705;position:absolute;top:15335;v-text-anchor:top" filled="f" fillcolor="this" stroked="t" strokecolor="#404040" strokeweight="0.21pt">
                  <v:textbox inset="0,0,0,0">
                    <w:txbxContent>
                      <w:p w:rsidR="008A2024" w14:paraId="2B6832F9" w14:textId="77777777">
                        <w:pPr>
                          <w:spacing w:before="94"/>
                          <w:ind w:left="76"/>
                          <w:rPr>
                            <w:sz w:val="20"/>
                          </w:rPr>
                        </w:pPr>
                        <w:r>
                          <w:rPr>
                            <w:sz w:val="20"/>
                          </w:rPr>
                          <w:t>事件级别调整</w:t>
                        </w:r>
                      </w:p>
                    </w:txbxContent>
                  </v:textbox>
                </v:shape>
                <v:shape id="_x0000_s1111" type="#_x0000_t202" style="width:3395;height:1133;left:15276;position:absolute;top:6957;v-text-anchor:top" filled="f" fillcolor="this" stroked="t" strokecolor="#404040" strokeweight="0.21pt">
                  <v:textbox inset="0,0,0,0">
                    <w:txbxContent>
                      <w:p w:rsidR="008A2024" w14:paraId="3DAE6023" w14:textId="77777777">
                        <w:pPr>
                          <w:spacing w:before="94"/>
                          <w:ind w:left="187"/>
                          <w:rPr>
                            <w:sz w:val="20"/>
                          </w:rPr>
                        </w:pPr>
                        <w:r>
                          <w:rPr>
                            <w:sz w:val="20"/>
                          </w:rPr>
                          <w:t>事件监测</w:t>
                        </w:r>
                      </w:p>
                    </w:txbxContent>
                  </v:textbox>
                </v:shape>
                <v:shape id="_x0000_s1112" type="#_x0000_t202" style="width:3395;height:1133;left:15276;position:absolute;top:23778;v-text-anchor:top" filled="f" fillcolor="this" stroked="t" strokecolor="#404040" strokeweight="0.21pt">
                  <v:textbox inset="0,0,0,0">
                    <w:txbxContent>
                      <w:p w:rsidR="008A2024" w14:paraId="6939A656" w14:textId="77777777">
                        <w:pPr>
                          <w:spacing w:before="94"/>
                          <w:ind w:left="187"/>
                          <w:rPr>
                            <w:sz w:val="20"/>
                          </w:rPr>
                        </w:pPr>
                        <w:r>
                          <w:rPr>
                            <w:sz w:val="20"/>
                          </w:rPr>
                          <w:t>后续处置</w:t>
                        </w:r>
                      </w:p>
                    </w:txbxContent>
                  </v:textbox>
                </v:shape>
                <v:shape id="_x0000_s1113" type="#_x0000_t202" style="width:3395;height:1133;left:15276;position:absolute;top:21950;v-text-anchor:top" filled="f" fillcolor="this" stroked="t" strokecolor="#404040" strokeweight="0.21pt">
                  <v:textbox inset="0,0,0,0">
                    <w:txbxContent>
                      <w:p w:rsidR="008A2024" w14:paraId="5025F552" w14:textId="77777777">
                        <w:pPr>
                          <w:spacing w:before="94"/>
                          <w:ind w:left="187"/>
                          <w:rPr>
                            <w:sz w:val="20"/>
                          </w:rPr>
                        </w:pPr>
                        <w:r>
                          <w:rPr>
                            <w:sz w:val="20"/>
                          </w:rPr>
                          <w:t>结束响应</w:t>
                        </w:r>
                      </w:p>
                    </w:txbxContent>
                  </v:textbox>
                </v:shape>
                <v:shape id="_x0000_s1114" type="#_x0000_t202" style="width:3395;height:1133;left:15276;position:absolute;top:20127;v-text-anchor:top" filled="f" fillcolor="this" stroked="t" strokecolor="#404040" strokeweight="0.21pt">
                  <v:textbox inset="0,0,0,0">
                    <w:txbxContent>
                      <w:p w:rsidR="008A2024" w14:paraId="7093BEB7" w14:textId="77777777">
                        <w:pPr>
                          <w:spacing w:before="94"/>
                          <w:ind w:left="187"/>
                          <w:rPr>
                            <w:sz w:val="20"/>
                          </w:rPr>
                        </w:pPr>
                        <w:r>
                          <w:rPr>
                            <w:sz w:val="20"/>
                          </w:rPr>
                          <w:t>应急恢复</w:t>
                        </w:r>
                      </w:p>
                    </w:txbxContent>
                  </v:textbox>
                </v:shape>
                <v:shape id="_x0000_s1115" type="#_x0000_t202" style="width:3395;height:1133;left:20948;position:absolute;top:17587;v-text-anchor:top" filled="f" fillcolor="this" stroked="t" strokecolor="#404040" strokeweight="0.21pt">
                  <v:textbox inset="0,0,0,0">
                    <w:txbxContent>
                      <w:p w:rsidR="008A2024" w14:paraId="2DAF48BD" w14:textId="77777777">
                        <w:pPr>
                          <w:spacing w:before="94"/>
                          <w:ind w:left="187"/>
                          <w:rPr>
                            <w:sz w:val="20"/>
                          </w:rPr>
                        </w:pPr>
                        <w:r>
                          <w:rPr>
                            <w:sz w:val="20"/>
                          </w:rPr>
                          <w:t>事件评估</w:t>
                        </w:r>
                      </w:p>
                    </w:txbxContent>
                  </v:textbox>
                </v:shape>
                <v:shape id="_x0000_s1116" type="#_x0000_t202" style="width:3395;height:1133;left:9848;position:absolute;top:17578;v-text-anchor:top" filled="f" fillcolor="this" stroked="t" strokecolor="#404040" strokeweight="0.21pt">
                  <v:textbox inset="0,0,0,0">
                    <w:txbxContent>
                      <w:p w:rsidR="008A2024" w14:paraId="1464842D" w14:textId="77777777">
                        <w:pPr>
                          <w:spacing w:before="94"/>
                          <w:ind w:left="187"/>
                          <w:rPr>
                            <w:sz w:val="20"/>
                          </w:rPr>
                        </w:pPr>
                        <w:r>
                          <w:rPr>
                            <w:sz w:val="20"/>
                          </w:rPr>
                          <w:t>媒体沟通</w:t>
                        </w:r>
                      </w:p>
                    </w:txbxContent>
                  </v:textbox>
                </v:shape>
                <v:shape id="_x0000_s1117" type="#_x0000_t202" style="width:4754;height:1133;left:14621;position:absolute;top:13522;v-text-anchor:top" filled="f" fillcolor="this" stroked="t" strokecolor="#404040" strokeweight="0.21pt">
                  <v:textbox inset="0,0,0,0">
                    <w:txbxContent>
                      <w:p w:rsidR="008A2024" w14:paraId="0850E21B" w14:textId="77777777">
                        <w:pPr>
                          <w:spacing w:before="94"/>
                          <w:ind w:left="223"/>
                          <w:rPr>
                            <w:sz w:val="20"/>
                          </w:rPr>
                        </w:pPr>
                        <w:r>
                          <w:rPr>
                            <w:sz w:val="20"/>
                          </w:rPr>
                          <w:t>启动应急预案</w:t>
                        </w:r>
                      </w:p>
                    </w:txbxContent>
                  </v:textbox>
                </v:shape>
                <v:shape id="_x0000_s1118" type="#_x0000_t202" style="width:4754;height:1133;left:14598;position:absolute;top:11686;v-text-anchor:top" filled="f" fillcolor="this" stroked="t" strokecolor="#404040" strokeweight="0.21pt">
                  <v:textbox inset="0,0,0,0">
                    <w:txbxContent>
                      <w:p w:rsidR="008A2024" w14:paraId="46C62F81" w14:textId="77777777">
                        <w:pPr>
                          <w:spacing w:before="94"/>
                          <w:ind w:left="425"/>
                          <w:rPr>
                            <w:sz w:val="20"/>
                          </w:rPr>
                        </w:pPr>
                        <w:r>
                          <w:rPr>
                            <w:sz w:val="20"/>
                          </w:rPr>
                          <w:t>预警分级</w:t>
                        </w:r>
                      </w:p>
                    </w:txbxContent>
                  </v:textbox>
                </v:shape>
                <v:shape id="_x0000_s1119" type="#_x0000_t202" style="width:3395;height:1133;left:20705;position:absolute;top:9252;v-text-anchor:top" filled="f" fillcolor="this" stroked="t" strokecolor="#404040" strokeweight="0.21pt">
                  <v:textbox inset="0,0,0,0">
                    <w:txbxContent>
                      <w:p w:rsidR="008A2024" w14:paraId="31089BE8" w14:textId="77777777">
                        <w:pPr>
                          <w:spacing w:before="94"/>
                          <w:ind w:left="389"/>
                          <w:rPr>
                            <w:sz w:val="20"/>
                          </w:rPr>
                        </w:pPr>
                        <w:r>
                          <w:rPr>
                            <w:sz w:val="20"/>
                          </w:rPr>
                          <w:t>驳回</w:t>
                        </w:r>
                      </w:p>
                    </w:txbxContent>
                  </v:textbox>
                </v:shape>
                <v:shape id="_x0000_s1120" type="#_x0000_t202" style="width:3936;height:1133;left:9304;position:absolute;top:9252;v-text-anchor:top" filled="f" fillcolor="this" stroked="t" strokecolor="#404040" strokeweight="0.21pt">
                  <v:textbox inset="0,0,0,0">
                    <w:txbxContent>
                      <w:p w:rsidR="008A2024" w14:paraId="0B61972E" w14:textId="77777777">
                        <w:pPr>
                          <w:spacing w:before="94"/>
                          <w:ind w:left="181"/>
                          <w:rPr>
                            <w:sz w:val="20"/>
                          </w:rPr>
                        </w:pPr>
                        <w:r>
                          <w:rPr>
                            <w:sz w:val="20"/>
                          </w:rPr>
                          <w:t>告警与通告</w:t>
                        </w:r>
                      </w:p>
                    </w:txbxContent>
                  </v:textbox>
                </v:shape>
                <v:shape id="_x0000_s1121" type="#_x0000_t202" style="width:3395;height:1133;left:20705;position:absolute;top:6957;v-text-anchor:top" filled="f" fillcolor="this" stroked="t" strokecolor="#404040" strokeweight="0.21pt">
                  <v:textbox inset="0,0,0,0">
                    <w:txbxContent>
                      <w:p w:rsidR="008A2024" w14:paraId="7EE289D9" w14:textId="77777777">
                        <w:pPr>
                          <w:spacing w:before="94"/>
                          <w:ind w:left="187"/>
                          <w:rPr>
                            <w:sz w:val="20"/>
                          </w:rPr>
                        </w:pPr>
                        <w:r>
                          <w:rPr>
                            <w:sz w:val="20"/>
                          </w:rPr>
                          <w:t>信息反馈</w:t>
                        </w:r>
                      </w:p>
                    </w:txbxContent>
                  </v:textbox>
                </v:shape>
              </v:group>
            </w:pict>
          </mc:Fallback>
        </mc:AlternateContent>
      </w:r>
    </w:p>
    <w:p w:rsidR="008A2024" w14:paraId="0B1FCEF2" w14:textId="77777777">
      <w:pPr>
        <w:spacing w:line="360" w:lineRule="auto"/>
        <w:ind w:firstLine="480" w:firstLineChars="200"/>
        <w:jc w:val="center"/>
        <w:rPr>
          <w:rFonts w:ascii="仿宋_GB2312" w:eastAsia="仿宋_GB2312" w:hAnsi="Arial"/>
          <w:sz w:val="24"/>
        </w:rPr>
      </w:pPr>
      <w:r>
        <w:rPr>
          <w:rFonts w:ascii="仿宋_GB2312" w:eastAsia="仿宋_GB2312" w:hAnsi="Arial" w:hint="eastAsia"/>
          <w:sz w:val="24"/>
        </w:rPr>
        <w:t>图6-1应急响应实施流程</w:t>
      </w:r>
    </w:p>
    <w:p w:rsidR="008A2024" w14:paraId="5E52E1EB" w14:textId="77777777">
      <w:pPr>
        <w:spacing w:line="360" w:lineRule="auto"/>
        <w:ind w:firstLine="600" w:firstLineChars="200"/>
        <w:jc w:val="center"/>
        <w:rPr>
          <w:rFonts w:ascii="仿宋_GB2312" w:eastAsia="仿宋_GB2312" w:hAnsi="Arial"/>
          <w:sz w:val="30"/>
          <w:szCs w:val="30"/>
        </w:rPr>
      </w:pPr>
    </w:p>
    <w:p w:rsidR="008A2024" w14:paraId="2CB1E391" w14:textId="77777777">
      <w:pPr>
        <w:pStyle w:val="Heading2"/>
        <w:numPr>
          <w:ilvl w:val="0"/>
          <w:numId w:val="0"/>
        </w:numPr>
        <w:spacing w:before="0" w:after="0" w:line="560" w:lineRule="exact"/>
        <w:rPr>
          <w:rFonts w:ascii="楷体_GB2312" w:eastAsia="楷体_GB2312"/>
          <w:b w:val="0"/>
          <w:bCs w:val="0"/>
        </w:rPr>
      </w:pPr>
      <w:bookmarkStart w:id="62" w:name="_Toc18941459"/>
      <w:r>
        <w:rPr>
          <w:rFonts w:ascii="楷体_GB2312" w:eastAsia="楷体_GB2312" w:hint="eastAsia"/>
          <w:b w:val="0"/>
          <w:bCs w:val="0"/>
        </w:rPr>
        <w:t>6.1日常监测</w:t>
      </w:r>
      <w:bookmarkEnd w:id="62"/>
    </w:p>
    <w:p w:rsidR="008A2024" w14:paraId="3F73FA6E"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信息安全管理部统筹考虑，建立必要的数据安全保障平台，逐步实现对本单位数据业务相关平台系统运行和数据业务运营的安全监控和防护。</w:t>
      </w:r>
    </w:p>
    <w:p w:rsidR="008A2024" w14:paraId="5F5B361C" w14:textId="77777777">
      <w:pPr>
        <w:spacing w:line="560" w:lineRule="exact"/>
        <w:ind w:firstLine="600" w:firstLineChars="200"/>
        <w:rPr>
          <w:rFonts w:ascii="仿宋_GB2312" w:eastAsia="仿宋_GB2312" w:hAnsi="Arial"/>
          <w:sz w:val="30"/>
          <w:szCs w:val="30"/>
        </w:rPr>
        <w:sectPr>
          <w:headerReference w:type="default" r:id="rId51"/>
          <w:type w:val="nextPage"/>
          <w:pgSz w:w="11906" w:h="16838"/>
          <w:pgMar w:top="1440" w:right="1558" w:bottom="1440" w:left="1800" w:header="851" w:footer="992" w:gutter="0"/>
          <w:pgNumType w:start="20"/>
          <w:cols w:space="425"/>
          <w:titlePg w:val="0"/>
          <w:docGrid w:type="lines" w:linePitch="312"/>
        </w:sectPr>
      </w:pPr>
      <w:r>
        <w:rPr>
          <w:rFonts w:ascii="仿宋_GB2312" w:eastAsia="仿宋_GB2312" w:hAnsi="Arial" w:hint="eastAsia"/>
          <w:sz w:val="30"/>
          <w:szCs w:val="30"/>
        </w:rPr>
        <w:t>各级信息安全管理人员应认真落实数据安全日常监测机制，对可能引发数据安全事件的行为进行预警，并及时向数据安全管</w:t>
      </w:r>
    </w:p>
    <w:p w:rsidR="008A2024"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理责任部门上报。</w:t>
      </w:r>
    </w:p>
    <w:p w:rsidR="008A2024" w14:paraId="4937BC71" w14:textId="77777777">
      <w:pPr>
        <w:pStyle w:val="Heading2"/>
        <w:numPr>
          <w:ilvl w:val="0"/>
          <w:numId w:val="0"/>
        </w:numPr>
        <w:spacing w:before="0" w:after="0" w:line="560" w:lineRule="exact"/>
        <w:rPr>
          <w:rFonts w:ascii="楷体_GB2312" w:eastAsia="楷体_GB2312"/>
          <w:b w:val="0"/>
          <w:bCs w:val="0"/>
        </w:rPr>
      </w:pPr>
      <w:bookmarkStart w:id="63" w:name="_Toc18941460"/>
      <w:r>
        <w:rPr>
          <w:rFonts w:ascii="楷体_GB2312" w:eastAsia="楷体_GB2312" w:hint="eastAsia"/>
          <w:b w:val="0"/>
          <w:bCs w:val="0"/>
        </w:rPr>
        <w:t>6.2事件监测</w:t>
      </w:r>
      <w:bookmarkEnd w:id="63"/>
    </w:p>
    <w:p w:rsidR="008A2024" w14:paraId="7A4526F2" w14:textId="77777777">
      <w:pPr>
        <w:pStyle w:val="Heading3"/>
        <w:numPr>
          <w:ilvl w:val="0"/>
          <w:numId w:val="0"/>
        </w:numPr>
        <w:spacing w:before="0" w:after="0" w:line="560" w:lineRule="exact"/>
        <w:rPr>
          <w:rFonts w:ascii="仿宋_GB2312" w:eastAsia="仿宋_GB2312"/>
        </w:rPr>
      </w:pPr>
      <w:bookmarkStart w:id="64" w:name="_Toc18941461"/>
      <w:r>
        <w:rPr>
          <w:rFonts w:ascii="仿宋_GB2312" w:eastAsia="仿宋_GB2312" w:hint="eastAsia"/>
        </w:rPr>
        <w:t>6.2.1信息通报</w:t>
      </w:r>
      <w:bookmarkEnd w:id="64"/>
    </w:p>
    <w:p w:rsidR="008A2024" w14:paraId="49F40155"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在数据安全事件发生后，应通知省公司相关部门/中心及地市分公司，使其能够确定事态的严重程度和下一步将要采取的行动。在损害评估完成后，应通知应急保障领导办公室。可以通过各种方法完成通知，包括固定电话、XXX电话和电子邮件等。由于电子邮件无法确定能否得到有效回复，所以建议谨慎使用电子邮件发送通知。</w:t>
      </w:r>
    </w:p>
    <w:p w:rsidR="008A2024" w14:paraId="30E3F79E"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数据安全事件发生后，应将相关信息及时通报给受到负面影响的外部机构、互联的单位系统以及重要用户，同时根据应急响应的需要，应将相关信息准确通报给相关设备设施及服务提供商（包括电力等），以获得适当的应急响应支持。对外信息通报应符合组织的对外信息发布策略。</w:t>
      </w:r>
    </w:p>
    <w:p w:rsidR="008A2024" w14:paraId="349F24CB" w14:textId="77777777">
      <w:pPr>
        <w:pStyle w:val="Heading3"/>
        <w:numPr>
          <w:ilvl w:val="0"/>
          <w:numId w:val="0"/>
        </w:numPr>
        <w:spacing w:before="0" w:after="0" w:line="560" w:lineRule="exact"/>
        <w:rPr>
          <w:rFonts w:ascii="仿宋_GB2312" w:eastAsia="仿宋_GB2312"/>
        </w:rPr>
      </w:pPr>
      <w:bookmarkStart w:id="65" w:name="_Toc18941462"/>
      <w:r>
        <w:rPr>
          <w:rFonts w:ascii="仿宋_GB2312" w:eastAsia="仿宋_GB2312" w:hint="eastAsia"/>
        </w:rPr>
        <w:t>6.2.2信息上报</w:t>
      </w:r>
      <w:bookmarkEnd w:id="65"/>
    </w:p>
    <w:p w:rsidR="008A2024" w14:paraId="585342A8"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数据安全事件发生后，应按照相关规定和要求，由应急保障领导办公室及时将情况上报相关主管或监管单位／部门。特别重大、重大数据安全事件，应立即报送上级有关单位或部门。</w:t>
      </w:r>
    </w:p>
    <w:p w:rsidR="008A2024" w14:paraId="0D3108BE" w14:textId="77777777">
      <w:pPr>
        <w:pStyle w:val="Heading3"/>
        <w:numPr>
          <w:ilvl w:val="0"/>
          <w:numId w:val="0"/>
        </w:numPr>
        <w:spacing w:before="0" w:after="0" w:line="560" w:lineRule="exact"/>
        <w:rPr>
          <w:rFonts w:ascii="仿宋_GB2312" w:eastAsia="仿宋_GB2312"/>
        </w:rPr>
      </w:pPr>
      <w:bookmarkStart w:id="66" w:name="_Toc18941463"/>
      <w:r>
        <w:rPr>
          <w:rFonts w:ascii="仿宋_GB2312" w:eastAsia="仿宋_GB2312" w:hint="eastAsia"/>
        </w:rPr>
        <w:t>6.2.3信息披露</w:t>
      </w:r>
      <w:bookmarkEnd w:id="66"/>
    </w:p>
    <w:p w:rsidR="008A2024" w14:paraId="2D290F1B" w14:textId="77777777">
      <w:pPr>
        <w:spacing w:line="560" w:lineRule="exact"/>
        <w:ind w:firstLine="600" w:firstLineChars="200"/>
        <w:rPr>
          <w:rFonts w:ascii="仿宋_GB2312" w:eastAsia="仿宋_GB2312" w:hAnsi="Arial"/>
          <w:sz w:val="30"/>
          <w:szCs w:val="30"/>
        </w:rPr>
        <w:sectPr>
          <w:headerReference w:type="default" r:id="rId52"/>
          <w:type w:val="nextPage"/>
          <w:pgSz w:w="11906" w:h="16838"/>
          <w:pgMar w:top="1440" w:right="1558" w:bottom="1440" w:left="1800" w:header="851" w:footer="992" w:gutter="0"/>
          <w:pgNumType w:start="21"/>
          <w:cols w:space="425"/>
          <w:titlePg w:val="0"/>
          <w:docGrid w:type="lines" w:linePitch="312"/>
        </w:sectPr>
      </w:pPr>
      <w:r>
        <w:rPr>
          <w:rFonts w:ascii="仿宋_GB2312" w:eastAsia="仿宋_GB2312" w:hAnsi="Arial" w:hint="eastAsia"/>
          <w:sz w:val="30"/>
          <w:szCs w:val="30"/>
        </w:rPr>
        <w:t>数据安全事件发生后，根据事件的严重程度，由应急保障领导办公室及时向新闻媒体发布相关信息，应急保障领导办公室应严格按照公司相关规定和要求对外发布信息，同时公司内其他部门或者个人不得随意接受新闻媒体采访或对外发表自己的看法。</w:t>
      </w:r>
    </w:p>
    <w:p w:rsidR="008A2024" w14:paraId="1B354D7C" w14:textId="77777777">
      <w:pPr>
        <w:pStyle w:val="Heading2"/>
        <w:numPr>
          <w:ilvl w:val="0"/>
          <w:numId w:val="0"/>
        </w:numPr>
        <w:spacing w:before="0" w:after="0" w:line="560" w:lineRule="exact"/>
        <w:rPr>
          <w:rFonts w:ascii="楷体_GB2312" w:eastAsia="楷体_GB2312"/>
          <w:b w:val="0"/>
          <w:bCs w:val="0"/>
        </w:rPr>
      </w:pPr>
      <w:bookmarkStart w:id="67" w:name="_Toc18941464"/>
      <w:r>
        <w:rPr>
          <w:rFonts w:ascii="楷体_GB2312" w:eastAsia="楷体_GB2312" w:hint="eastAsia"/>
          <w:b w:val="0"/>
          <w:bCs w:val="0"/>
        </w:rPr>
        <w:t>6.3预警分级</w:t>
      </w:r>
      <w:bookmarkEnd w:id="67"/>
    </w:p>
    <w:p w:rsidR="008A2024" w14:paraId="66EA5D3E"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建立数据安全突发事件预警制度，数据安全事件发生后，应急响应实施小组对数据安全事件进行评估，按照紧急程度、发展态势和可能造成的危害程度，将数据安全事件预警等级分为四级：由高到低依次用红色、橙色、黄色和蓝色标示，分别对应可能发生特别重大、重大、较大和一般数据安全事件。</w:t>
      </w:r>
    </w:p>
    <w:p w:rsidR="008A2024" w14:paraId="48081380" w14:textId="77777777">
      <w:pPr>
        <w:pStyle w:val="Heading2"/>
        <w:numPr>
          <w:ilvl w:val="0"/>
          <w:numId w:val="0"/>
        </w:numPr>
        <w:spacing w:before="0" w:after="0" w:line="560" w:lineRule="exact"/>
        <w:rPr>
          <w:rFonts w:ascii="楷体_GB2312" w:eastAsia="楷体_GB2312"/>
          <w:b w:val="0"/>
          <w:bCs w:val="0"/>
        </w:rPr>
      </w:pPr>
      <w:bookmarkStart w:id="68" w:name="_Toc18941465"/>
      <w:r>
        <w:rPr>
          <w:rFonts w:ascii="楷体_GB2312" w:eastAsia="楷体_GB2312" w:hint="eastAsia"/>
          <w:b w:val="0"/>
          <w:bCs w:val="0"/>
        </w:rPr>
        <w:t>6.4应急启动</w:t>
      </w:r>
      <w:bookmarkEnd w:id="68"/>
    </w:p>
    <w:p w:rsidR="008A2024" w14:paraId="78E0F8A1"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应急启动具体操作遵循如下规则：</w:t>
      </w:r>
    </w:p>
    <w:p w:rsidR="008A2024" w14:paraId="69AF1E3D"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1.启动原则--数据安全事件应急工作应在响应时限要求内快速、有序启动。响应时限指的是数据安全事件单从提交到“处理中”经过的时间，不同优先级的事件具有不同的响应时限要求，应该优先处理优先级较高的事件：</w:t>
      </w:r>
    </w:p>
    <w:tbl>
      <w:tblPr>
        <w:tblStyle w:val="TableNormal00"/>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519"/>
        <w:gridCol w:w="4779"/>
      </w:tblGrid>
      <w:tr w14:paraId="2118DB6A" w14:textId="77777777">
        <w:tblPrEx>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67"/>
        </w:trPr>
        <w:tc>
          <w:tcPr>
            <w:tcW w:w="3519" w:type="dxa"/>
            <w:shd w:val="clear" w:color="auto" w:fill="F1F1F1"/>
            <w:vAlign w:val="center"/>
          </w:tcPr>
          <w:p w:rsidR="008A2024" w14:paraId="7E27FDC5" w14:textId="77777777">
            <w:pPr>
              <w:pStyle w:val="TableParagraph"/>
              <w:spacing w:before="171" w:line="277" w:lineRule="exact"/>
              <w:ind w:right="860"/>
              <w:jc w:val="center"/>
              <w:rPr>
                <w:rFonts w:ascii="仿宋_GB2312" w:eastAsia="仿宋_GB2312"/>
                <w:sz w:val="24"/>
                <w:szCs w:val="24"/>
              </w:rPr>
            </w:pPr>
            <w:r>
              <w:rPr>
                <w:rFonts w:ascii="仿宋_GB2312" w:eastAsia="仿宋_GB2312" w:hint="eastAsia"/>
                <w:sz w:val="24"/>
                <w:szCs w:val="24"/>
              </w:rPr>
              <w:t>安全事件级别</w:t>
            </w:r>
          </w:p>
        </w:tc>
        <w:tc>
          <w:tcPr>
            <w:tcW w:w="4779" w:type="dxa"/>
            <w:shd w:val="clear" w:color="auto" w:fill="F1F1F1"/>
            <w:vAlign w:val="center"/>
          </w:tcPr>
          <w:p w:rsidR="008A2024" w14:paraId="5F3F792F" w14:textId="77777777">
            <w:pPr>
              <w:pStyle w:val="TableParagraph"/>
              <w:spacing w:before="171" w:line="277" w:lineRule="exact"/>
              <w:ind w:right="1488"/>
              <w:jc w:val="center"/>
              <w:rPr>
                <w:rFonts w:ascii="仿宋_GB2312" w:eastAsia="仿宋_GB2312"/>
                <w:sz w:val="24"/>
                <w:szCs w:val="24"/>
              </w:rPr>
            </w:pPr>
            <w:r>
              <w:rPr>
                <w:rFonts w:ascii="仿宋_GB2312" w:eastAsia="仿宋_GB2312" w:hint="eastAsia"/>
                <w:sz w:val="24"/>
                <w:szCs w:val="24"/>
              </w:rPr>
              <w:t>响应时限要求</w:t>
            </w:r>
          </w:p>
        </w:tc>
      </w:tr>
      <w:tr w14:paraId="3BBC913A" w14:textId="77777777">
        <w:tblPrEx>
          <w:tblW w:w="0" w:type="auto"/>
          <w:tblInd w:w="125" w:type="dxa"/>
          <w:tblLayout w:type="fixed"/>
          <w:tblLook w:val="04A0"/>
        </w:tblPrEx>
        <w:trPr>
          <w:trHeight w:val="467"/>
        </w:trPr>
        <w:tc>
          <w:tcPr>
            <w:tcW w:w="3519" w:type="dxa"/>
            <w:vAlign w:val="center"/>
          </w:tcPr>
          <w:p w:rsidR="008A2024" w14:paraId="51A63518" w14:textId="77777777">
            <w:pPr>
              <w:pStyle w:val="TableParagraph"/>
              <w:spacing w:before="171" w:line="277" w:lineRule="exact"/>
              <w:ind w:right="857"/>
              <w:jc w:val="center"/>
              <w:rPr>
                <w:rFonts w:ascii="仿宋_GB2312" w:eastAsia="仿宋_GB2312"/>
                <w:sz w:val="24"/>
                <w:szCs w:val="24"/>
              </w:rPr>
            </w:pPr>
            <w:r>
              <w:rPr>
                <w:rFonts w:ascii="仿宋_GB2312" w:eastAsia="仿宋_GB2312" w:hint="eastAsia"/>
                <w:sz w:val="24"/>
                <w:szCs w:val="24"/>
              </w:rPr>
              <w:t>一级</w:t>
            </w:r>
          </w:p>
        </w:tc>
        <w:tc>
          <w:tcPr>
            <w:tcW w:w="4779" w:type="dxa"/>
            <w:vAlign w:val="center"/>
          </w:tcPr>
          <w:p w:rsidR="008A2024" w14:paraId="704FAD69" w14:textId="77777777">
            <w:pPr>
              <w:pStyle w:val="TableParagraph"/>
              <w:spacing w:before="171" w:line="277" w:lineRule="exact"/>
              <w:ind w:right="1488"/>
              <w:jc w:val="center"/>
              <w:rPr>
                <w:rFonts w:ascii="仿宋_GB2312" w:eastAsia="仿宋_GB2312"/>
                <w:sz w:val="24"/>
                <w:szCs w:val="24"/>
              </w:rPr>
            </w:pPr>
            <w:r>
              <w:rPr>
                <w:rFonts w:ascii="仿宋_GB2312" w:eastAsia="仿宋_GB2312" w:hint="eastAsia"/>
                <w:sz w:val="24"/>
                <w:szCs w:val="24"/>
              </w:rPr>
              <w:t>15分钟</w:t>
            </w:r>
          </w:p>
        </w:tc>
      </w:tr>
      <w:tr w14:paraId="647F732F" w14:textId="77777777">
        <w:tblPrEx>
          <w:tblW w:w="0" w:type="auto"/>
          <w:tblInd w:w="125" w:type="dxa"/>
          <w:tblLayout w:type="fixed"/>
          <w:tblLook w:val="04A0"/>
        </w:tblPrEx>
        <w:trPr>
          <w:trHeight w:val="467"/>
        </w:trPr>
        <w:tc>
          <w:tcPr>
            <w:tcW w:w="3519" w:type="dxa"/>
            <w:vAlign w:val="center"/>
          </w:tcPr>
          <w:p w:rsidR="008A2024" w14:paraId="4C1C301E" w14:textId="77777777">
            <w:pPr>
              <w:pStyle w:val="TableParagraph"/>
              <w:spacing w:before="171" w:line="277" w:lineRule="exact"/>
              <w:ind w:right="857"/>
              <w:jc w:val="center"/>
              <w:rPr>
                <w:rFonts w:ascii="仿宋_GB2312" w:eastAsia="仿宋_GB2312"/>
                <w:sz w:val="24"/>
                <w:szCs w:val="24"/>
              </w:rPr>
            </w:pPr>
            <w:r>
              <w:rPr>
                <w:rFonts w:ascii="仿宋_GB2312" w:eastAsia="仿宋_GB2312" w:hint="eastAsia"/>
                <w:sz w:val="24"/>
                <w:szCs w:val="24"/>
              </w:rPr>
              <w:t>二级</w:t>
            </w:r>
          </w:p>
        </w:tc>
        <w:tc>
          <w:tcPr>
            <w:tcW w:w="4779" w:type="dxa"/>
            <w:vAlign w:val="center"/>
          </w:tcPr>
          <w:p w:rsidR="008A2024" w14:paraId="706EC4C3" w14:textId="77777777">
            <w:pPr>
              <w:pStyle w:val="TableParagraph"/>
              <w:spacing w:before="171" w:line="277" w:lineRule="exact"/>
              <w:ind w:right="1488"/>
              <w:jc w:val="center"/>
              <w:rPr>
                <w:rFonts w:ascii="仿宋_GB2312" w:eastAsia="仿宋_GB2312"/>
                <w:sz w:val="24"/>
                <w:szCs w:val="24"/>
              </w:rPr>
            </w:pPr>
            <w:r>
              <w:rPr>
                <w:rFonts w:ascii="仿宋_GB2312" w:eastAsia="仿宋_GB2312" w:hint="eastAsia"/>
                <w:sz w:val="24"/>
                <w:szCs w:val="24"/>
              </w:rPr>
              <w:t>20分钟</w:t>
            </w:r>
          </w:p>
        </w:tc>
      </w:tr>
      <w:tr w14:paraId="3AA40F55" w14:textId="77777777">
        <w:tblPrEx>
          <w:tblW w:w="0" w:type="auto"/>
          <w:tblInd w:w="125" w:type="dxa"/>
          <w:tblLayout w:type="fixed"/>
          <w:tblLook w:val="04A0"/>
        </w:tblPrEx>
        <w:trPr>
          <w:trHeight w:val="470"/>
        </w:trPr>
        <w:tc>
          <w:tcPr>
            <w:tcW w:w="3519" w:type="dxa"/>
            <w:vAlign w:val="center"/>
          </w:tcPr>
          <w:p w:rsidR="008A2024" w14:paraId="0872C624" w14:textId="77777777">
            <w:pPr>
              <w:pStyle w:val="TableParagraph"/>
              <w:spacing w:before="173" w:line="277" w:lineRule="exact"/>
              <w:ind w:right="857"/>
              <w:jc w:val="center"/>
              <w:rPr>
                <w:rFonts w:ascii="仿宋_GB2312" w:eastAsia="仿宋_GB2312"/>
                <w:sz w:val="24"/>
                <w:szCs w:val="24"/>
              </w:rPr>
            </w:pPr>
            <w:r>
              <w:rPr>
                <w:rFonts w:ascii="仿宋_GB2312" w:eastAsia="仿宋_GB2312" w:hint="eastAsia"/>
                <w:sz w:val="24"/>
                <w:szCs w:val="24"/>
              </w:rPr>
              <w:t>三级</w:t>
            </w:r>
          </w:p>
        </w:tc>
        <w:tc>
          <w:tcPr>
            <w:tcW w:w="4779" w:type="dxa"/>
            <w:vAlign w:val="center"/>
          </w:tcPr>
          <w:p w:rsidR="008A2024" w14:paraId="3628146B" w14:textId="77777777">
            <w:pPr>
              <w:pStyle w:val="TableParagraph"/>
              <w:spacing w:before="173" w:line="277" w:lineRule="exact"/>
              <w:ind w:right="1488"/>
              <w:jc w:val="center"/>
              <w:rPr>
                <w:rFonts w:ascii="仿宋_GB2312" w:eastAsia="仿宋_GB2312"/>
                <w:sz w:val="24"/>
                <w:szCs w:val="24"/>
              </w:rPr>
            </w:pPr>
            <w:r>
              <w:rPr>
                <w:rFonts w:ascii="仿宋_GB2312" w:eastAsia="仿宋_GB2312" w:hint="eastAsia"/>
                <w:sz w:val="24"/>
                <w:szCs w:val="24"/>
              </w:rPr>
              <w:t>30分钟</w:t>
            </w:r>
          </w:p>
        </w:tc>
      </w:tr>
      <w:tr w14:paraId="24A06DE5" w14:textId="77777777">
        <w:tblPrEx>
          <w:tblW w:w="0" w:type="auto"/>
          <w:tblInd w:w="125" w:type="dxa"/>
          <w:tblLayout w:type="fixed"/>
          <w:tblLook w:val="04A0"/>
        </w:tblPrEx>
        <w:trPr>
          <w:trHeight w:val="467"/>
        </w:trPr>
        <w:tc>
          <w:tcPr>
            <w:tcW w:w="3519" w:type="dxa"/>
            <w:vAlign w:val="center"/>
          </w:tcPr>
          <w:p w:rsidR="008A2024" w14:paraId="42ED0E24" w14:textId="77777777">
            <w:pPr>
              <w:pStyle w:val="TableParagraph"/>
              <w:spacing w:before="171" w:line="277" w:lineRule="exact"/>
              <w:ind w:right="857"/>
              <w:jc w:val="center"/>
              <w:rPr>
                <w:rFonts w:ascii="仿宋_GB2312" w:eastAsia="仿宋_GB2312"/>
                <w:sz w:val="24"/>
                <w:szCs w:val="24"/>
              </w:rPr>
            </w:pPr>
            <w:r>
              <w:rPr>
                <w:rFonts w:ascii="仿宋_GB2312" w:eastAsia="仿宋_GB2312" w:hint="eastAsia"/>
                <w:sz w:val="24"/>
                <w:szCs w:val="24"/>
              </w:rPr>
              <w:t>四级</w:t>
            </w:r>
          </w:p>
        </w:tc>
        <w:tc>
          <w:tcPr>
            <w:tcW w:w="4779" w:type="dxa"/>
            <w:vAlign w:val="center"/>
          </w:tcPr>
          <w:p w:rsidR="008A2024" w14:paraId="1B4441E3" w14:textId="77777777">
            <w:pPr>
              <w:pStyle w:val="TableParagraph"/>
              <w:spacing w:before="171" w:line="277" w:lineRule="exact"/>
              <w:ind w:right="1488"/>
              <w:jc w:val="center"/>
              <w:rPr>
                <w:rFonts w:ascii="仿宋_GB2312" w:eastAsia="仿宋_GB2312"/>
                <w:sz w:val="24"/>
                <w:szCs w:val="24"/>
              </w:rPr>
            </w:pPr>
            <w:r>
              <w:rPr>
                <w:rFonts w:ascii="仿宋_GB2312" w:eastAsia="仿宋_GB2312" w:hint="eastAsia"/>
                <w:sz w:val="24"/>
                <w:szCs w:val="24"/>
              </w:rPr>
              <w:t>1小时</w:t>
            </w:r>
          </w:p>
        </w:tc>
      </w:tr>
    </w:tbl>
    <w:p w:rsidR="008A2024" w14:paraId="39A4A828"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2.启动依据--一般而言，对于导致大数据相关业务中断、重要数据损毁、丢失、泄露等重大数据安全突发事件的应立即启动应急。</w:t>
      </w:r>
    </w:p>
    <w:p w:rsidR="008A2024" w14:paraId="7CD3E8AF"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启动条件可以基于以下方面考虑：数据损毁/泄露的程度；数据的重要程度；数据业务相关平台系统损失的程度预期的中断持续时间等。只有当损害评估的结果显示一个或多个启动条件被满足时，应急预案才应被启动。</w:t>
      </w:r>
    </w:p>
    <w:p w:rsidR="008A2024" w14:paraId="68927FD4" w14:textId="77777777">
      <w:pPr>
        <w:spacing w:line="560" w:lineRule="exact"/>
        <w:ind w:firstLine="600" w:firstLineChars="200"/>
        <w:rPr>
          <w:rFonts w:ascii="仿宋_GB2312" w:eastAsia="仿宋_GB2312" w:hAnsi="Arial"/>
          <w:sz w:val="30"/>
          <w:szCs w:val="30"/>
        </w:rPr>
        <w:sectPr>
          <w:headerReference w:type="default" r:id="rId53"/>
          <w:type w:val="nextPage"/>
          <w:pgSz w:w="11906" w:h="16838"/>
          <w:pgMar w:top="1440" w:right="1558" w:bottom="1440" w:left="1800" w:header="851" w:footer="992" w:gutter="0"/>
          <w:pgNumType w:start="22"/>
          <w:cols w:space="425"/>
          <w:titlePg w:val="0"/>
          <w:docGrid w:type="lines" w:linePitch="312"/>
        </w:sectPr>
      </w:pPr>
      <w:r>
        <w:rPr>
          <w:rFonts w:ascii="仿宋_GB2312" w:eastAsia="仿宋_GB2312" w:hAnsi="Arial" w:hint="eastAsia"/>
          <w:sz w:val="30"/>
          <w:szCs w:val="30"/>
        </w:rPr>
        <w:t>3.启动方法——由应急保障领导小组发布应急响应启动令。</w:t>
      </w:r>
    </w:p>
    <w:p w:rsidR="008A2024" w14:paraId="573EC467"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应急响应启动后，应急保障领导小组要对人力、财力、物力等</w:t>
      </w:r>
      <w:r>
        <w:rPr>
          <w:rFonts w:ascii="仿宋_GB2312" w:eastAsia="仿宋_GB2312" w:hAnsi="Arial" w:hint="eastAsia"/>
          <w:sz w:val="30"/>
          <w:szCs w:val="30"/>
        </w:rPr>
        <w:t>的到位情况实施检查与督察，并记录实际发生的情况。</w:t>
      </w:r>
    </w:p>
    <w:p w:rsidR="008A2024" w14:paraId="1E017BD6" w14:textId="77777777">
      <w:pPr>
        <w:pStyle w:val="Heading2"/>
        <w:numPr>
          <w:ilvl w:val="0"/>
          <w:numId w:val="0"/>
        </w:numPr>
        <w:spacing w:before="0" w:after="0" w:line="560" w:lineRule="exact"/>
        <w:rPr>
          <w:rFonts w:ascii="楷体_GB2312" w:eastAsia="楷体_GB2312"/>
          <w:b w:val="0"/>
          <w:bCs w:val="0"/>
        </w:rPr>
      </w:pPr>
      <w:bookmarkStart w:id="69" w:name="_Toc18941466"/>
      <w:r>
        <w:rPr>
          <w:rFonts w:ascii="楷体_GB2312" w:eastAsia="楷体_GB2312" w:hint="eastAsia"/>
          <w:b w:val="0"/>
          <w:bCs w:val="0"/>
        </w:rPr>
        <w:t>6.5应急处置</w:t>
      </w:r>
      <w:bookmarkEnd w:id="69"/>
    </w:p>
    <w:p w:rsidR="008A2024" w14:paraId="39F8811B"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启动应急预案后，应急响应实施部门应立即采取相关措施抑制数据安全事件的影响，避免造成更大损失。应急处置包括应急响应和恢复操作。</w:t>
      </w:r>
    </w:p>
    <w:p w:rsidR="008A2024" w14:paraId="0D7DC3C6"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数据安全事件应急响应级别分为四级：一级、二级、三级、四级，分别对应已经发生的特别重大、重大、较大、一般数据安发事件。</w:t>
      </w:r>
    </w:p>
    <w:p w:rsidR="008A2024" w14:paraId="2CCC4A0A" w14:textId="77777777">
      <w:pPr>
        <w:pStyle w:val="Heading3"/>
        <w:numPr>
          <w:ilvl w:val="0"/>
          <w:numId w:val="0"/>
        </w:numPr>
        <w:spacing w:before="0" w:after="0" w:line="560" w:lineRule="exact"/>
        <w:rPr>
          <w:rFonts w:ascii="仿宋_GB2312" w:eastAsia="仿宋_GB2312"/>
        </w:rPr>
      </w:pPr>
      <w:bookmarkStart w:id="70" w:name="_Toc18941467"/>
      <w:r>
        <w:rPr>
          <w:rFonts w:ascii="仿宋_GB2312" w:eastAsia="仿宋_GB2312" w:hint="eastAsia"/>
        </w:rPr>
        <w:t>6.5.1一级应急响应</w:t>
      </w:r>
      <w:bookmarkEnd w:id="70"/>
    </w:p>
    <w:p w:rsidR="008A2024" w14:paraId="34412392"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属特别重大数据安全事件的，及时启动一级应急响应。应急保障领导小组履行应急处置工作的统一领导、指挥、协调职责。</w:t>
      </w:r>
    </w:p>
    <w:p w:rsidR="008A2024" w14:paraId="41FE6BE2"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（1）应急响应实施小组24小时值班。</w:t>
      </w:r>
    </w:p>
    <w:p w:rsidR="008A2024" w14:paraId="587DA0C1"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（2）应急响应实施小组进入应急状态，在应急保障领导办公室按照应急保障领导小组要求，统一领导、指挥、协调下，负责应急处置工作，24小时值班。应急响应技术保障部门负责支援保障工作。</w:t>
      </w:r>
    </w:p>
    <w:p w:rsidR="008A2024" w14:paraId="668CFC47"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3）应急响应实施小组跟踪事态发展，检查影响范围，及时将事态发展变化情况、处置进展情况报应急保障领导办公室。由应急保障领导办公室上报应急保障领导小组对决策部署，由应应急响应实施小组负责组织实施。</w:t>
      </w:r>
    </w:p>
    <w:p w:rsidR="008A2024" w14:paraId="49B72CC6" w14:textId="77777777">
      <w:pPr>
        <w:pStyle w:val="Heading3"/>
        <w:numPr>
          <w:ilvl w:val="0"/>
          <w:numId w:val="0"/>
        </w:numPr>
        <w:spacing w:before="0" w:after="0" w:line="560" w:lineRule="exact"/>
        <w:rPr>
          <w:rFonts w:ascii="仿宋_GB2312" w:eastAsia="仿宋_GB2312"/>
        </w:rPr>
      </w:pPr>
      <w:bookmarkStart w:id="71" w:name="_Toc18941468"/>
      <w:r>
        <w:rPr>
          <w:rFonts w:ascii="仿宋_GB2312" w:eastAsia="仿宋_GB2312" w:hint="eastAsia"/>
        </w:rPr>
        <w:t>6.5.2二级应急响应</w:t>
      </w:r>
      <w:bookmarkEnd w:id="71"/>
    </w:p>
    <w:p w:rsidR="008A2024" w14:paraId="133D80DF" w14:textId="77777777">
      <w:pPr>
        <w:spacing w:line="560" w:lineRule="exact"/>
        <w:ind w:firstLine="600" w:firstLineChars="200"/>
        <w:rPr>
          <w:rFonts w:ascii="仿宋_GB2312" w:eastAsia="仿宋_GB2312" w:hAnsi="Arial"/>
          <w:sz w:val="30"/>
          <w:szCs w:val="30"/>
        </w:rPr>
        <w:sectPr>
          <w:headerReference w:type="default" r:id="rId54"/>
          <w:type w:val="nextPage"/>
          <w:pgSz w:w="11906" w:h="16838"/>
          <w:pgMar w:top="1440" w:right="1558" w:bottom="1440" w:left="1800" w:header="851" w:footer="992" w:gutter="0"/>
          <w:pgNumType w:start="23"/>
          <w:cols w:space="425"/>
          <w:titlePg w:val="0"/>
          <w:docGrid w:type="lines" w:linePitch="312"/>
        </w:sectPr>
      </w:pPr>
      <w:r>
        <w:rPr>
          <w:rFonts w:ascii="仿宋_GB2312" w:eastAsia="仿宋_GB2312" w:hAnsi="Arial" w:hint="eastAsia"/>
          <w:sz w:val="30"/>
          <w:szCs w:val="30"/>
        </w:rPr>
        <w:t>属重大数据安全事件的，及时启动二级应急响应。应急保障领导小组履行应急处置工作的统一领导、指挥、协调职责。</w:t>
      </w:r>
    </w:p>
    <w:p w:rsidR="008A2024" w14:paraId="3985B5CA"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（1）应急响应实施小组进入应急状态，按照相关应急预案做</w:t>
      </w:r>
      <w:r>
        <w:rPr>
          <w:rFonts w:ascii="仿宋_GB2312" w:eastAsia="仿宋_GB2312" w:hAnsi="Arial" w:hint="eastAsia"/>
          <w:sz w:val="30"/>
          <w:szCs w:val="30"/>
        </w:rPr>
        <w:t>好应急处置工作。</w:t>
      </w:r>
    </w:p>
    <w:p w:rsidR="008A2024" w14:paraId="599BEADC"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（2）应急响应实施小组及时将事态发展变化情况报应急保障领导办公室。应急保障领导办公室将有关重大事项及时通报相关地区和部门。</w:t>
      </w:r>
    </w:p>
    <w:p w:rsidR="008A2024" w14:paraId="4D8DEA04"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（3）处置中需要其他有关集团部门、省公司配合和支持的，应急保障领导办公室积极协调集团、其他省公司数据安全事件应急响应技术支撑队伍进行支撑。</w:t>
      </w:r>
    </w:p>
    <w:p w:rsidR="008A2024" w14:paraId="58576B1A"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（4）根据应急保障领导办公室的通报，结合各自实际有针对性地加强防范，防止造成更大范围影响和损失。</w:t>
      </w:r>
    </w:p>
    <w:p w:rsidR="008A2024" w14:paraId="2CB4A182" w14:textId="77777777">
      <w:pPr>
        <w:pStyle w:val="Heading3"/>
        <w:numPr>
          <w:ilvl w:val="0"/>
          <w:numId w:val="0"/>
        </w:numPr>
        <w:spacing w:before="0" w:after="0" w:line="560" w:lineRule="exact"/>
        <w:rPr>
          <w:rFonts w:ascii="仿宋_GB2312" w:eastAsia="仿宋_GB2312"/>
        </w:rPr>
      </w:pPr>
      <w:bookmarkStart w:id="72" w:name="_Toc18941469"/>
      <w:r>
        <w:rPr>
          <w:rFonts w:ascii="仿宋_GB2312" w:eastAsia="仿宋_GB2312" w:hint="eastAsia"/>
        </w:rPr>
        <w:t>6.5.3三级、四级应急响应</w:t>
      </w:r>
      <w:bookmarkEnd w:id="72"/>
    </w:p>
    <w:p w:rsidR="008A2024" w14:paraId="28A4C2A2"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应急响应实施小组在应急保障领导办公室、应急响应技术保障部门的配合下，按相关预案进行应急响应。</w:t>
      </w:r>
    </w:p>
    <w:p w:rsidR="008A2024" w14:paraId="53CB827D"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在确定有效控制了数据安全事件的影响后，开始实施恢复操作。恢复阶段的行动集中于建立临时数据业务处理能力、修复数据等应急措施。</w:t>
      </w:r>
    </w:p>
    <w:p w:rsidR="008A2024" w14:paraId="4159D3BF"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为了进行恢复操作，应急预案应提供恢复平台业务能力、恢复数据的详细规程。规程中通常涉及到以下行动：</w:t>
      </w:r>
    </w:p>
    <w:p w:rsidR="008A2024" w14:paraId="2E1D142A"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1.获得访问受损设施或地理区域的授权；</w:t>
      </w:r>
    </w:p>
    <w:p w:rsidR="008A2024" w14:paraId="2C9B5791"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2.通知相关平台的内部和外部业务伙伴；</w:t>
      </w:r>
    </w:p>
    <w:p w:rsidR="008A2024" w14:paraId="5E7B1404"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3.获得装载数据备份介质；</w:t>
      </w:r>
    </w:p>
    <w:p w:rsidR="008A2024" w14:paraId="32BBBC17" w14:textId="77777777">
      <w:pPr>
        <w:spacing w:line="560" w:lineRule="exact"/>
        <w:ind w:firstLine="600" w:firstLineChars="200"/>
        <w:rPr>
          <w:rFonts w:ascii="仿宋_GB2312" w:eastAsia="仿宋_GB2312" w:hAnsi="Arial"/>
          <w:sz w:val="30"/>
          <w:szCs w:val="30"/>
        </w:rPr>
      </w:pPr>
      <w:r>
        <w:rPr>
          <w:rFonts w:ascii="仿宋_GB2312" w:eastAsia="仿宋_GB2312" w:hAnsi="Arial" w:hint="eastAsia"/>
          <w:sz w:val="30"/>
          <w:szCs w:val="30"/>
        </w:rPr>
        <w:t>4.恢复系统数据。</w:t>
      </w:r>
    </w:p>
    <w:p w:rsidR="008A2024" w14:paraId="672B81A4" w14:textId="77777777">
      <w:pPr>
        <w:spacing w:line="560" w:lineRule="exact"/>
        <w:ind w:firstLine="600" w:firstLineChars="200"/>
        <w:rPr>
          <w:rFonts w:ascii="仿宋_GB2312" w:eastAsia="仿宋_GB2312" w:hAnsi="Arial"/>
          <w:sz w:val="30"/>
          <w:szCs w:val="30"/>
        </w:rPr>
      </w:pPr>
      <w:r>
        <w:rPr>
          <w:rFonts w:ascii="仿宋_GB2312" w:eastAsia="仿宋_GB2312" w:hAnsi="Arial"/>
          <w:sz w:val="30"/>
          <w:szCs w:val="30"/>
        </w:rPr>
        <w:br/>
      </w:r>
      <w:r>
        <w:rPr>
          <w:rFonts w:ascii="仿宋_GB2312" w:eastAsia="仿宋_GB2312" w:hAnsi="Arial"/>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https://d.book118.com/478116010010006034</w:t>
        </w:r>
      </w:hyperlink>
    </w:p>
    <w:p w:rsidR="008A2024">
      <w:pPr>
        <w:spacing w:line="560" w:lineRule="exact"/>
        <w:ind w:firstLine="600" w:firstLineChars="200"/>
        <w:rPr>
          <w:rFonts w:ascii="仿宋_GB2312" w:eastAsia="仿宋_GB2312" w:hAnsi="Arial"/>
          <w:sz w:val="30"/>
          <w:szCs w:val="30"/>
        </w:rPr>
      </w:pPr>
    </w:p>
    <w:sectPr>
      <w:headerReference w:type="default" r:id="rId56"/>
      <w:type w:val="nextPage"/>
      <w:pgSz w:w="11906" w:h="16838"/>
      <w:pgMar w:top="1440" w:right="1558"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badi MT Condensed Light">
    <w:altName w:val="Segoe Print"/>
    <w:charset w:val="00"/>
    <w:family w:val="auto"/>
    <w:pitch w:val="default"/>
    <w:sig w:usb0="00000000" w:usb1="00000000" w:usb2="00000000" w:usb3="00000000" w:csb0="00000001" w:csb1="00000000"/>
  </w:font>
  <w:font w:name="华文楷体">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altName w:val="微软雅黑"/>
    <w:panose1 w:val="02010600040101010101"/>
    <w:charset w:val="86"/>
    <w:family w:val="auto"/>
    <w:pitch w:val="variable"/>
    <w:sig w:usb0="00000287" w:usb1="080F0000" w:usb2="00000010" w:usb3="00000000" w:csb0="0004009F" w:csb1="00000000"/>
  </w:font>
  <w:font w:name="Batang">
    <w:altName w:val="바탕"/>
    <w:panose1 w:val="02030600000101010101"/>
    <w:charset w:val="81"/>
    <w:family w:val="roman"/>
    <w:pitch w:val="variable"/>
    <w:sig w:usb0="B00002AF" w:usb1="69D77CFB" w:usb2="00000030" w:usb3="00000000" w:csb0="0008009F"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paraId="54FEE6E0" w14:textId="14602251">
    <w:pPr>
      <w:pStyle w:val="Header"/>
      <w:jc w:val="right"/>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A2024" w14:textId="14602251">
    <w:pPr>
      <w:pStyle w:val="Header"/>
      <w:jc w:val="right"/>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3B1E3DEE"/>
    <w:multiLevelType w:val="multilevel"/>
    <w:tmpl w:val="3B1E3DEE"/>
    <w:lvl w:ilvl="0">
      <w:start w:val="1"/>
      <w:numFmt w:val="decimal"/>
      <w:pStyle w:val="Heading1"/>
      <w:lvlText w:val="%1"/>
      <w:lvlJc w:val="left"/>
      <w:pPr>
        <w:ind w:left="0" w:firstLine="0"/>
      </w:pPr>
      <w:rPr>
        <w:rFonts w:hint="eastAsia"/>
      </w:rPr>
    </w:lvl>
    <w:lvl w:ilvl="1">
      <w:start w:val="1"/>
      <w:numFmt w:val="decimal"/>
      <w:pStyle w:val="Heading2"/>
      <w:lvlText w:val="%1.%2"/>
      <w:lvlJc w:val="left"/>
      <w:pPr>
        <w:ind w:left="0" w:firstLine="0"/>
      </w:pPr>
      <w:rPr>
        <w:rFonts w:hint="eastAsia"/>
      </w:rPr>
    </w:lvl>
    <w:lvl w:ilvl="2">
      <w:start w:val="1"/>
      <w:numFmt w:val="decimal"/>
      <w:pStyle w:val="Heading3"/>
      <w:lvlText w:val="%1.%2.%3"/>
      <w:lvlJc w:val="left"/>
      <w:pPr>
        <w:ind w:left="0" w:firstLine="0"/>
      </w:pPr>
      <w:rPr>
        <w:rFonts w:hint="eastAsia"/>
      </w:rPr>
    </w:lvl>
    <w:lvl w:ilvl="3">
      <w:start w:val="1"/>
      <w:numFmt w:val="decimal"/>
      <w:pStyle w:val="Heading4"/>
      <w:lvlText w:val="%1.%2.%3.%4"/>
      <w:lvlJc w:val="left"/>
      <w:pPr>
        <w:ind w:left="0" w:firstLine="0"/>
      </w:pPr>
      <w:rPr>
        <w:rFonts w:hint="eastAsia"/>
      </w:rPr>
    </w:lvl>
    <w:lvl w:ilvl="4">
      <w:start w:val="1"/>
      <w:numFmt w:val="decimal"/>
      <w:pStyle w:val="Heading5"/>
      <w:lvlText w:val="%1.%2.%3.%4.%5"/>
      <w:lvlJc w:val="left"/>
      <w:pPr>
        <w:ind w:left="0" w:firstLine="0"/>
      </w:pPr>
      <w:rPr>
        <w:rFonts w:hint="eastAsia"/>
      </w:rPr>
    </w:lvl>
    <w:lvl w:ilvl="5">
      <w:start w:val="1"/>
      <w:numFmt w:val="decimal"/>
      <w:pStyle w:val="Heading6"/>
      <w:lvlText w:val="%1.%2.%3.%4.%5.%6"/>
      <w:lvlJc w:val="left"/>
      <w:pPr>
        <w:ind w:left="0" w:firstLine="0"/>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7333086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632"/>
    <w:rsid w:val="0000117D"/>
    <w:rsid w:val="0000501F"/>
    <w:rsid w:val="000059A3"/>
    <w:rsid w:val="00022491"/>
    <w:rsid w:val="00022F16"/>
    <w:rsid w:val="00024773"/>
    <w:rsid w:val="00024A71"/>
    <w:rsid w:val="000313CE"/>
    <w:rsid w:val="000336BF"/>
    <w:rsid w:val="00042194"/>
    <w:rsid w:val="0004696D"/>
    <w:rsid w:val="00050F2E"/>
    <w:rsid w:val="000514A0"/>
    <w:rsid w:val="000571B9"/>
    <w:rsid w:val="000636B3"/>
    <w:rsid w:val="00065C93"/>
    <w:rsid w:val="00066523"/>
    <w:rsid w:val="00070C88"/>
    <w:rsid w:val="00070E38"/>
    <w:rsid w:val="00071230"/>
    <w:rsid w:val="0007139B"/>
    <w:rsid w:val="00071855"/>
    <w:rsid w:val="000825F3"/>
    <w:rsid w:val="00085B2E"/>
    <w:rsid w:val="000942F0"/>
    <w:rsid w:val="00096977"/>
    <w:rsid w:val="000A6CE3"/>
    <w:rsid w:val="000B28D8"/>
    <w:rsid w:val="000B5110"/>
    <w:rsid w:val="000C1F69"/>
    <w:rsid w:val="000C235B"/>
    <w:rsid w:val="000C72A1"/>
    <w:rsid w:val="000D4222"/>
    <w:rsid w:val="000D7C5A"/>
    <w:rsid w:val="000E1E98"/>
    <w:rsid w:val="000E29B5"/>
    <w:rsid w:val="000E4127"/>
    <w:rsid w:val="000F144D"/>
    <w:rsid w:val="00101700"/>
    <w:rsid w:val="0011314A"/>
    <w:rsid w:val="0012336E"/>
    <w:rsid w:val="00130DB5"/>
    <w:rsid w:val="00132246"/>
    <w:rsid w:val="001324EC"/>
    <w:rsid w:val="0013303C"/>
    <w:rsid w:val="001372EE"/>
    <w:rsid w:val="0014423F"/>
    <w:rsid w:val="00144917"/>
    <w:rsid w:val="00144D70"/>
    <w:rsid w:val="001458B5"/>
    <w:rsid w:val="00147019"/>
    <w:rsid w:val="001527F8"/>
    <w:rsid w:val="00152841"/>
    <w:rsid w:val="00156767"/>
    <w:rsid w:val="00157F7B"/>
    <w:rsid w:val="00163AC6"/>
    <w:rsid w:val="00164D91"/>
    <w:rsid w:val="00165D15"/>
    <w:rsid w:val="00166470"/>
    <w:rsid w:val="00166E07"/>
    <w:rsid w:val="0016786F"/>
    <w:rsid w:val="001734BB"/>
    <w:rsid w:val="001829D8"/>
    <w:rsid w:val="00187485"/>
    <w:rsid w:val="00187BF9"/>
    <w:rsid w:val="001910B0"/>
    <w:rsid w:val="00191AFD"/>
    <w:rsid w:val="00192891"/>
    <w:rsid w:val="00195CDB"/>
    <w:rsid w:val="001B0A27"/>
    <w:rsid w:val="001B0E9E"/>
    <w:rsid w:val="001B3DF3"/>
    <w:rsid w:val="001C18AC"/>
    <w:rsid w:val="001C22FC"/>
    <w:rsid w:val="001D0AEB"/>
    <w:rsid w:val="001D446C"/>
    <w:rsid w:val="001D4AB8"/>
    <w:rsid w:val="001E360F"/>
    <w:rsid w:val="001E5452"/>
    <w:rsid w:val="001F2C9D"/>
    <w:rsid w:val="0021059A"/>
    <w:rsid w:val="00216B04"/>
    <w:rsid w:val="002278A5"/>
    <w:rsid w:val="00233ACA"/>
    <w:rsid w:val="0024266A"/>
    <w:rsid w:val="002458C1"/>
    <w:rsid w:val="0025104C"/>
    <w:rsid w:val="00251C79"/>
    <w:rsid w:val="00251EA2"/>
    <w:rsid w:val="00261005"/>
    <w:rsid w:val="002640C9"/>
    <w:rsid w:val="002669F5"/>
    <w:rsid w:val="0027493C"/>
    <w:rsid w:val="00281904"/>
    <w:rsid w:val="002823CD"/>
    <w:rsid w:val="00284A63"/>
    <w:rsid w:val="00286D59"/>
    <w:rsid w:val="0029512D"/>
    <w:rsid w:val="00295655"/>
    <w:rsid w:val="002A3B78"/>
    <w:rsid w:val="002B0635"/>
    <w:rsid w:val="002B3D30"/>
    <w:rsid w:val="002B3E0F"/>
    <w:rsid w:val="002B3F32"/>
    <w:rsid w:val="002C0045"/>
    <w:rsid w:val="002C10E5"/>
    <w:rsid w:val="002C1D10"/>
    <w:rsid w:val="002C6F5B"/>
    <w:rsid w:val="002D0EA0"/>
    <w:rsid w:val="002D118F"/>
    <w:rsid w:val="002D3356"/>
    <w:rsid w:val="002E00B5"/>
    <w:rsid w:val="002E0821"/>
    <w:rsid w:val="002E5741"/>
    <w:rsid w:val="002E5DAA"/>
    <w:rsid w:val="002F061C"/>
    <w:rsid w:val="002F2B0C"/>
    <w:rsid w:val="002F2F49"/>
    <w:rsid w:val="002F333B"/>
    <w:rsid w:val="002F39CF"/>
    <w:rsid w:val="0030645C"/>
    <w:rsid w:val="00306F3A"/>
    <w:rsid w:val="00310CAD"/>
    <w:rsid w:val="00321F1F"/>
    <w:rsid w:val="003244F4"/>
    <w:rsid w:val="00326F4E"/>
    <w:rsid w:val="00330BBF"/>
    <w:rsid w:val="00331901"/>
    <w:rsid w:val="0033391C"/>
    <w:rsid w:val="003368D3"/>
    <w:rsid w:val="00336BC2"/>
    <w:rsid w:val="0034065A"/>
    <w:rsid w:val="00350FEA"/>
    <w:rsid w:val="00355D35"/>
    <w:rsid w:val="003603D7"/>
    <w:rsid w:val="00367DF0"/>
    <w:rsid w:val="00374484"/>
    <w:rsid w:val="003A0695"/>
    <w:rsid w:val="003A7318"/>
    <w:rsid w:val="003A781C"/>
    <w:rsid w:val="003B08E6"/>
    <w:rsid w:val="003B2A92"/>
    <w:rsid w:val="003B35BC"/>
    <w:rsid w:val="003B5E83"/>
    <w:rsid w:val="003C649C"/>
    <w:rsid w:val="003C7389"/>
    <w:rsid w:val="003D14B0"/>
    <w:rsid w:val="003E19E5"/>
    <w:rsid w:val="003E2515"/>
    <w:rsid w:val="003E3544"/>
    <w:rsid w:val="003E6042"/>
    <w:rsid w:val="003E799B"/>
    <w:rsid w:val="003F34A8"/>
    <w:rsid w:val="00405880"/>
    <w:rsid w:val="00422A61"/>
    <w:rsid w:val="00434E57"/>
    <w:rsid w:val="0043555A"/>
    <w:rsid w:val="0044158F"/>
    <w:rsid w:val="00442D7D"/>
    <w:rsid w:val="00444903"/>
    <w:rsid w:val="00444FFB"/>
    <w:rsid w:val="004634E5"/>
    <w:rsid w:val="00463A36"/>
    <w:rsid w:val="00465FBF"/>
    <w:rsid w:val="004671DD"/>
    <w:rsid w:val="004705F0"/>
    <w:rsid w:val="00492579"/>
    <w:rsid w:val="00496B55"/>
    <w:rsid w:val="00497034"/>
    <w:rsid w:val="004A0861"/>
    <w:rsid w:val="004A3160"/>
    <w:rsid w:val="004B2658"/>
    <w:rsid w:val="004B58F7"/>
    <w:rsid w:val="004B70F3"/>
    <w:rsid w:val="004C09F8"/>
    <w:rsid w:val="004C12C0"/>
    <w:rsid w:val="004C5C1A"/>
    <w:rsid w:val="004D2694"/>
    <w:rsid w:val="004D39BA"/>
    <w:rsid w:val="004D7438"/>
    <w:rsid w:val="004E34E2"/>
    <w:rsid w:val="004F0E85"/>
    <w:rsid w:val="004F522A"/>
    <w:rsid w:val="004F5718"/>
    <w:rsid w:val="004F711C"/>
    <w:rsid w:val="004F73BA"/>
    <w:rsid w:val="005014EF"/>
    <w:rsid w:val="00502C0E"/>
    <w:rsid w:val="00506B28"/>
    <w:rsid w:val="0051360F"/>
    <w:rsid w:val="00517A79"/>
    <w:rsid w:val="005206B5"/>
    <w:rsid w:val="0053139F"/>
    <w:rsid w:val="00534194"/>
    <w:rsid w:val="00534CA6"/>
    <w:rsid w:val="00544471"/>
    <w:rsid w:val="005534F8"/>
    <w:rsid w:val="005537FB"/>
    <w:rsid w:val="00562F90"/>
    <w:rsid w:val="00563BE5"/>
    <w:rsid w:val="00574822"/>
    <w:rsid w:val="00575F14"/>
    <w:rsid w:val="0058488D"/>
    <w:rsid w:val="00586099"/>
    <w:rsid w:val="0058652D"/>
    <w:rsid w:val="00587652"/>
    <w:rsid w:val="00591C4A"/>
    <w:rsid w:val="005A17CA"/>
    <w:rsid w:val="005A1EDD"/>
    <w:rsid w:val="005A2F54"/>
    <w:rsid w:val="005A421D"/>
    <w:rsid w:val="005B3A4C"/>
    <w:rsid w:val="005B4604"/>
    <w:rsid w:val="005B5F9A"/>
    <w:rsid w:val="005B6748"/>
    <w:rsid w:val="005D4757"/>
    <w:rsid w:val="005D577F"/>
    <w:rsid w:val="005E1D42"/>
    <w:rsid w:val="005E1F80"/>
    <w:rsid w:val="005E6102"/>
    <w:rsid w:val="005E7097"/>
    <w:rsid w:val="005E70D4"/>
    <w:rsid w:val="005F3266"/>
    <w:rsid w:val="005F56DA"/>
    <w:rsid w:val="005F67C2"/>
    <w:rsid w:val="00600A1E"/>
    <w:rsid w:val="006020B4"/>
    <w:rsid w:val="006053DF"/>
    <w:rsid w:val="0061636D"/>
    <w:rsid w:val="00630CFA"/>
    <w:rsid w:val="006346B5"/>
    <w:rsid w:val="006361B6"/>
    <w:rsid w:val="006375FF"/>
    <w:rsid w:val="0064347E"/>
    <w:rsid w:val="006449AF"/>
    <w:rsid w:val="00647871"/>
    <w:rsid w:val="0066114A"/>
    <w:rsid w:val="006674BF"/>
    <w:rsid w:val="006760DC"/>
    <w:rsid w:val="00680299"/>
    <w:rsid w:val="006806A4"/>
    <w:rsid w:val="006814A4"/>
    <w:rsid w:val="00681F8A"/>
    <w:rsid w:val="00682DD2"/>
    <w:rsid w:val="00690975"/>
    <w:rsid w:val="0069585A"/>
    <w:rsid w:val="006B5839"/>
    <w:rsid w:val="006C21FC"/>
    <w:rsid w:val="006C2A90"/>
    <w:rsid w:val="006C71E6"/>
    <w:rsid w:val="006C7B44"/>
    <w:rsid w:val="006D1953"/>
    <w:rsid w:val="006D25BE"/>
    <w:rsid w:val="006D5E95"/>
    <w:rsid w:val="006E63C2"/>
    <w:rsid w:val="006F5C94"/>
    <w:rsid w:val="006F6EF5"/>
    <w:rsid w:val="006F712A"/>
    <w:rsid w:val="007053D6"/>
    <w:rsid w:val="00707EE9"/>
    <w:rsid w:val="00720703"/>
    <w:rsid w:val="0073062E"/>
    <w:rsid w:val="0073346B"/>
    <w:rsid w:val="00734341"/>
    <w:rsid w:val="0074508C"/>
    <w:rsid w:val="007451CF"/>
    <w:rsid w:val="007633CA"/>
    <w:rsid w:val="0076415E"/>
    <w:rsid w:val="00765754"/>
    <w:rsid w:val="00765D40"/>
    <w:rsid w:val="00766785"/>
    <w:rsid w:val="00775214"/>
    <w:rsid w:val="00777463"/>
    <w:rsid w:val="00786958"/>
    <w:rsid w:val="007925BE"/>
    <w:rsid w:val="007928B8"/>
    <w:rsid w:val="00797E34"/>
    <w:rsid w:val="007A3137"/>
    <w:rsid w:val="007A42A7"/>
    <w:rsid w:val="007A59AD"/>
    <w:rsid w:val="007A6EC8"/>
    <w:rsid w:val="007A77DE"/>
    <w:rsid w:val="007A7B1C"/>
    <w:rsid w:val="007C363D"/>
    <w:rsid w:val="007C7F87"/>
    <w:rsid w:val="007E2327"/>
    <w:rsid w:val="007E398B"/>
    <w:rsid w:val="007E6B80"/>
    <w:rsid w:val="007E7390"/>
    <w:rsid w:val="007F07E8"/>
    <w:rsid w:val="007F5829"/>
    <w:rsid w:val="007F6331"/>
    <w:rsid w:val="007F7840"/>
    <w:rsid w:val="00802EF9"/>
    <w:rsid w:val="0080307E"/>
    <w:rsid w:val="0080462E"/>
    <w:rsid w:val="0080611B"/>
    <w:rsid w:val="00812D26"/>
    <w:rsid w:val="00815A88"/>
    <w:rsid w:val="00815F02"/>
    <w:rsid w:val="008238A6"/>
    <w:rsid w:val="008257CF"/>
    <w:rsid w:val="00836882"/>
    <w:rsid w:val="008375A8"/>
    <w:rsid w:val="0084479D"/>
    <w:rsid w:val="008500C0"/>
    <w:rsid w:val="00856ED2"/>
    <w:rsid w:val="008618F3"/>
    <w:rsid w:val="008670EF"/>
    <w:rsid w:val="008758AC"/>
    <w:rsid w:val="0088082B"/>
    <w:rsid w:val="00886502"/>
    <w:rsid w:val="008903FC"/>
    <w:rsid w:val="00894AB0"/>
    <w:rsid w:val="00894F16"/>
    <w:rsid w:val="008A2024"/>
    <w:rsid w:val="008A507C"/>
    <w:rsid w:val="008A6626"/>
    <w:rsid w:val="008B0965"/>
    <w:rsid w:val="008C11EA"/>
    <w:rsid w:val="008C3A9B"/>
    <w:rsid w:val="008C3E5C"/>
    <w:rsid w:val="008C53D2"/>
    <w:rsid w:val="008C585B"/>
    <w:rsid w:val="008C73B7"/>
    <w:rsid w:val="008D4973"/>
    <w:rsid w:val="008D790C"/>
    <w:rsid w:val="008E5DEC"/>
    <w:rsid w:val="008F2CE6"/>
    <w:rsid w:val="00900D28"/>
    <w:rsid w:val="00902023"/>
    <w:rsid w:val="00902094"/>
    <w:rsid w:val="009035DC"/>
    <w:rsid w:val="009250A5"/>
    <w:rsid w:val="00931510"/>
    <w:rsid w:val="0093251A"/>
    <w:rsid w:val="00933ACD"/>
    <w:rsid w:val="00940668"/>
    <w:rsid w:val="00945A4A"/>
    <w:rsid w:val="00946436"/>
    <w:rsid w:val="009472C0"/>
    <w:rsid w:val="00954B1F"/>
    <w:rsid w:val="00954DE8"/>
    <w:rsid w:val="00976C70"/>
    <w:rsid w:val="00983160"/>
    <w:rsid w:val="0099663A"/>
    <w:rsid w:val="009A0AF3"/>
    <w:rsid w:val="009A48EF"/>
    <w:rsid w:val="009A6567"/>
    <w:rsid w:val="009B0287"/>
    <w:rsid w:val="009B0D1E"/>
    <w:rsid w:val="009B541A"/>
    <w:rsid w:val="009B72E4"/>
    <w:rsid w:val="009B78EC"/>
    <w:rsid w:val="009D7D5C"/>
    <w:rsid w:val="009E4BF1"/>
    <w:rsid w:val="009F1B13"/>
    <w:rsid w:val="00A013EA"/>
    <w:rsid w:val="00A03BE6"/>
    <w:rsid w:val="00A055B3"/>
    <w:rsid w:val="00A06AE9"/>
    <w:rsid w:val="00A159F4"/>
    <w:rsid w:val="00A2269B"/>
    <w:rsid w:val="00A33808"/>
    <w:rsid w:val="00A407B5"/>
    <w:rsid w:val="00A41092"/>
    <w:rsid w:val="00A42876"/>
    <w:rsid w:val="00A47DF3"/>
    <w:rsid w:val="00A549D2"/>
    <w:rsid w:val="00A55ED5"/>
    <w:rsid w:val="00A6204B"/>
    <w:rsid w:val="00A66CE3"/>
    <w:rsid w:val="00A72F21"/>
    <w:rsid w:val="00A841C7"/>
    <w:rsid w:val="00A90166"/>
    <w:rsid w:val="00A92181"/>
    <w:rsid w:val="00AA36E2"/>
    <w:rsid w:val="00AA5126"/>
    <w:rsid w:val="00AA63F2"/>
    <w:rsid w:val="00AB1E80"/>
    <w:rsid w:val="00AB392D"/>
    <w:rsid w:val="00AC06DD"/>
    <w:rsid w:val="00AC2AA2"/>
    <w:rsid w:val="00AC71C1"/>
    <w:rsid w:val="00AD394A"/>
    <w:rsid w:val="00AD3A19"/>
    <w:rsid w:val="00AD56CD"/>
    <w:rsid w:val="00AE2B09"/>
    <w:rsid w:val="00AE329E"/>
    <w:rsid w:val="00AE5DB6"/>
    <w:rsid w:val="00B01030"/>
    <w:rsid w:val="00B0423E"/>
    <w:rsid w:val="00B05346"/>
    <w:rsid w:val="00B12E15"/>
    <w:rsid w:val="00B15ADD"/>
    <w:rsid w:val="00B21208"/>
    <w:rsid w:val="00B27FB2"/>
    <w:rsid w:val="00B32E4F"/>
    <w:rsid w:val="00B33297"/>
    <w:rsid w:val="00B33E06"/>
    <w:rsid w:val="00B343F1"/>
    <w:rsid w:val="00B50C76"/>
    <w:rsid w:val="00B51057"/>
    <w:rsid w:val="00B527D1"/>
    <w:rsid w:val="00B65D32"/>
    <w:rsid w:val="00B74AE9"/>
    <w:rsid w:val="00B874AC"/>
    <w:rsid w:val="00B87FCE"/>
    <w:rsid w:val="00B9600C"/>
    <w:rsid w:val="00B97192"/>
    <w:rsid w:val="00B97E56"/>
    <w:rsid w:val="00BA1BD9"/>
    <w:rsid w:val="00BA1EAA"/>
    <w:rsid w:val="00BA7816"/>
    <w:rsid w:val="00BA7849"/>
    <w:rsid w:val="00BA78B8"/>
    <w:rsid w:val="00BA79F0"/>
    <w:rsid w:val="00BC0E1A"/>
    <w:rsid w:val="00BC435C"/>
    <w:rsid w:val="00BC4CE9"/>
    <w:rsid w:val="00BD3632"/>
    <w:rsid w:val="00BD52E0"/>
    <w:rsid w:val="00BD62B0"/>
    <w:rsid w:val="00BF00CD"/>
    <w:rsid w:val="00BF1B72"/>
    <w:rsid w:val="00BF2213"/>
    <w:rsid w:val="00C0464B"/>
    <w:rsid w:val="00C071AD"/>
    <w:rsid w:val="00C1029D"/>
    <w:rsid w:val="00C142D2"/>
    <w:rsid w:val="00C16D67"/>
    <w:rsid w:val="00C20DE0"/>
    <w:rsid w:val="00C22FDF"/>
    <w:rsid w:val="00C252F5"/>
    <w:rsid w:val="00C27178"/>
    <w:rsid w:val="00C27AA0"/>
    <w:rsid w:val="00C33957"/>
    <w:rsid w:val="00C36A21"/>
    <w:rsid w:val="00C42E50"/>
    <w:rsid w:val="00C43572"/>
    <w:rsid w:val="00C51EAD"/>
    <w:rsid w:val="00C5318C"/>
    <w:rsid w:val="00C540CA"/>
    <w:rsid w:val="00C67A5D"/>
    <w:rsid w:val="00C70917"/>
    <w:rsid w:val="00C72940"/>
    <w:rsid w:val="00C7789D"/>
    <w:rsid w:val="00C838AB"/>
    <w:rsid w:val="00C9311A"/>
    <w:rsid w:val="00CA4A60"/>
    <w:rsid w:val="00CA4BDF"/>
    <w:rsid w:val="00CB48EA"/>
    <w:rsid w:val="00CC453C"/>
    <w:rsid w:val="00CD0415"/>
    <w:rsid w:val="00CD4241"/>
    <w:rsid w:val="00CE5B2F"/>
    <w:rsid w:val="00CE6E4D"/>
    <w:rsid w:val="00CF2017"/>
    <w:rsid w:val="00CF40A8"/>
    <w:rsid w:val="00CF5CF9"/>
    <w:rsid w:val="00D0164A"/>
    <w:rsid w:val="00D0173A"/>
    <w:rsid w:val="00D02C68"/>
    <w:rsid w:val="00D03FE9"/>
    <w:rsid w:val="00D0723C"/>
    <w:rsid w:val="00D2082F"/>
    <w:rsid w:val="00D2095B"/>
    <w:rsid w:val="00D21D1F"/>
    <w:rsid w:val="00D21F0B"/>
    <w:rsid w:val="00D2206E"/>
    <w:rsid w:val="00D2302F"/>
    <w:rsid w:val="00D23627"/>
    <w:rsid w:val="00D25C9D"/>
    <w:rsid w:val="00D27874"/>
    <w:rsid w:val="00D334FD"/>
    <w:rsid w:val="00D41F98"/>
    <w:rsid w:val="00D42036"/>
    <w:rsid w:val="00D4325C"/>
    <w:rsid w:val="00D4359A"/>
    <w:rsid w:val="00D45518"/>
    <w:rsid w:val="00D52029"/>
    <w:rsid w:val="00D63FA1"/>
    <w:rsid w:val="00D67015"/>
    <w:rsid w:val="00D87CFD"/>
    <w:rsid w:val="00D87F2B"/>
    <w:rsid w:val="00D92B55"/>
    <w:rsid w:val="00D92E16"/>
    <w:rsid w:val="00D95329"/>
    <w:rsid w:val="00D975A4"/>
    <w:rsid w:val="00DA5C7B"/>
    <w:rsid w:val="00DC0324"/>
    <w:rsid w:val="00DC040E"/>
    <w:rsid w:val="00DC14DD"/>
    <w:rsid w:val="00DC39C6"/>
    <w:rsid w:val="00DD7165"/>
    <w:rsid w:val="00DD7DA3"/>
    <w:rsid w:val="00DE7AB0"/>
    <w:rsid w:val="00DF0BD1"/>
    <w:rsid w:val="00DF43BB"/>
    <w:rsid w:val="00DF5CCB"/>
    <w:rsid w:val="00E07FA3"/>
    <w:rsid w:val="00E1080A"/>
    <w:rsid w:val="00E177C6"/>
    <w:rsid w:val="00E2010A"/>
    <w:rsid w:val="00E214C5"/>
    <w:rsid w:val="00E23EAB"/>
    <w:rsid w:val="00E25499"/>
    <w:rsid w:val="00E260BD"/>
    <w:rsid w:val="00E327AA"/>
    <w:rsid w:val="00E33384"/>
    <w:rsid w:val="00E33A55"/>
    <w:rsid w:val="00E4100C"/>
    <w:rsid w:val="00E41332"/>
    <w:rsid w:val="00E44D19"/>
    <w:rsid w:val="00E46ED6"/>
    <w:rsid w:val="00E473E0"/>
    <w:rsid w:val="00E62A24"/>
    <w:rsid w:val="00E6587D"/>
    <w:rsid w:val="00E7216A"/>
    <w:rsid w:val="00E77DD0"/>
    <w:rsid w:val="00E8076F"/>
    <w:rsid w:val="00E81689"/>
    <w:rsid w:val="00E857F0"/>
    <w:rsid w:val="00E905FB"/>
    <w:rsid w:val="00E92FAC"/>
    <w:rsid w:val="00EA378C"/>
    <w:rsid w:val="00EA4882"/>
    <w:rsid w:val="00EA4D31"/>
    <w:rsid w:val="00EA63E2"/>
    <w:rsid w:val="00EC1CA4"/>
    <w:rsid w:val="00ED1760"/>
    <w:rsid w:val="00ED7ECE"/>
    <w:rsid w:val="00EE12AF"/>
    <w:rsid w:val="00EE7B70"/>
    <w:rsid w:val="00EF4B5D"/>
    <w:rsid w:val="00F0495F"/>
    <w:rsid w:val="00F07DEF"/>
    <w:rsid w:val="00F1414C"/>
    <w:rsid w:val="00F14DCF"/>
    <w:rsid w:val="00F16EFB"/>
    <w:rsid w:val="00F17094"/>
    <w:rsid w:val="00F17633"/>
    <w:rsid w:val="00F17C8B"/>
    <w:rsid w:val="00F2373B"/>
    <w:rsid w:val="00F25F11"/>
    <w:rsid w:val="00F260E0"/>
    <w:rsid w:val="00F273DF"/>
    <w:rsid w:val="00F329C8"/>
    <w:rsid w:val="00F3553F"/>
    <w:rsid w:val="00F41106"/>
    <w:rsid w:val="00F45DD4"/>
    <w:rsid w:val="00F4691B"/>
    <w:rsid w:val="00F472B2"/>
    <w:rsid w:val="00F64C27"/>
    <w:rsid w:val="00F65939"/>
    <w:rsid w:val="00F72856"/>
    <w:rsid w:val="00F72A8D"/>
    <w:rsid w:val="00F73602"/>
    <w:rsid w:val="00F8043E"/>
    <w:rsid w:val="00F81C9D"/>
    <w:rsid w:val="00F8493B"/>
    <w:rsid w:val="00F864DE"/>
    <w:rsid w:val="00F90390"/>
    <w:rsid w:val="00F93D61"/>
    <w:rsid w:val="00F944FF"/>
    <w:rsid w:val="00F957FD"/>
    <w:rsid w:val="00F96988"/>
    <w:rsid w:val="00FA11F7"/>
    <w:rsid w:val="00FA2AE9"/>
    <w:rsid w:val="00FA347E"/>
    <w:rsid w:val="00FB001C"/>
    <w:rsid w:val="00FB3D88"/>
    <w:rsid w:val="00FB54C7"/>
    <w:rsid w:val="00FC2EE4"/>
    <w:rsid w:val="00FC517D"/>
    <w:rsid w:val="00FD40EA"/>
    <w:rsid w:val="00FD5F4D"/>
    <w:rsid w:val="00FD760A"/>
    <w:rsid w:val="00FE221E"/>
    <w:rsid w:val="00FE51BD"/>
    <w:rsid w:val="00FF035E"/>
    <w:rsid w:val="00FF16E3"/>
    <w:rsid w:val="00FF462E"/>
    <w:rsid w:val="00FF4D25"/>
    <w:rsid w:val="03907E07"/>
    <w:rsid w:val="0F690E86"/>
    <w:rsid w:val="1B2E78B6"/>
    <w:rsid w:val="61FF2BF9"/>
  </w:rsids>
  <w:docVars>
    <w:docVar w:name="commondata" w:val="eyJoZGlkIjoiNjdhZTkwYWViMDJmMDQ2NWU0YWU2ZjQ3ZTFlYjg2Nz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C2DC825"/>
  <w15:docId w15:val="{4686F409-7AA2-4291-9179-AC99AED99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iPriority="0" w:qFormat="1"/>
    <w:lsdException w:name="index 3" w:semiHidden="1" w:uiPriority="0" w:qFormat="1"/>
    <w:lsdException w:name="index 4" w:semiHidden="1" w:uiPriority="0"/>
    <w:lsdException w:name="index 5" w:semiHidden="1" w:uiPriority="0"/>
    <w:lsdException w:name="index 6" w:semiHidden="1" w:uiPriority="0"/>
    <w:lsdException w:name="index 7" w:semiHidden="1" w:uiPriority="0"/>
    <w:lsdException w:name="index 8" w:semiHidden="1" w:uiPriority="0"/>
    <w:lsdException w:name="index 9" w:semiHidden="1" w:uiPriority="0"/>
    <w:lsdException w:name="toc 1" w:uiPriority="39" w:qFormat="1"/>
    <w:lsdException w:name="toc 2" w:uiPriority="39"/>
    <w:lsdException w:name="toc 3" w:uiPriority="39"/>
    <w:lsdException w:name="toc 4" w:semiHidden="1" w:uiPriority="0" w:qFormat="1"/>
    <w:lsdException w:name="toc 5" w:semiHidden="1" w:uiPriority="0"/>
    <w:lsdException w:name="toc 6" w:semiHidden="1" w:uiPriority="0"/>
    <w:lsdException w:name="toc 7" w:semiHidden="1" w:uiPriority="0"/>
    <w:lsdException w:name="toc 8" w:semiHidden="1" w:uiPriority="0" w:qFormat="1"/>
    <w:lsdException w:name="toc 9" w:semiHidden="1" w:uiPriority="0" w:qFormat="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iPriority="0"/>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lsdException w:name="Body Text Indent 2" w:semiHidden="1" w:unhideWhenUsed="1"/>
    <w:lsdException w:name="Body Text Indent 3" w:uiPriority="0"/>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next w:val="Heading1"/>
    <w:qFormat/>
    <w:pPr>
      <w:widowControl w:val="0"/>
      <w:jc w:val="both"/>
    </w:pPr>
    <w:rPr>
      <w:rFonts w:ascii="Times New Roman" w:eastAsia="宋体" w:hAnsi="Times New Roman" w:cs="Times New Roman"/>
      <w:kern w:val="2"/>
      <w:sz w:val="21"/>
      <w:szCs w:val="24"/>
    </w:rPr>
  </w:style>
  <w:style w:type="paragraph" w:styleId="Heading1">
    <w:name w:val="heading 1"/>
    <w:basedOn w:val="Normal"/>
    <w:next w:val="Normal"/>
    <w:link w:val="1"/>
    <w:qFormat/>
    <w:pPr>
      <w:keepNext/>
      <w:widowControl/>
      <w:numPr>
        <w:numId w:val="1"/>
      </w:numPr>
      <w:spacing w:before="240" w:after="60"/>
      <w:jc w:val="left"/>
      <w:outlineLvl w:val="0"/>
    </w:pPr>
    <w:rPr>
      <w:rFonts w:ascii="Arial" w:eastAsia="黑体" w:hAnsi="Arial" w:cs="Arial"/>
      <w:b/>
      <w:bCs/>
      <w:kern w:val="32"/>
      <w:sz w:val="32"/>
      <w:szCs w:val="32"/>
      <w:lang w:val="en-GB" w:eastAsia="en-US"/>
    </w:rPr>
  </w:style>
  <w:style w:type="paragraph" w:styleId="Heading2">
    <w:name w:val="heading 2"/>
    <w:basedOn w:val="Normal"/>
    <w:next w:val="Normal"/>
    <w:link w:val="2"/>
    <w:qFormat/>
    <w:pPr>
      <w:keepNext/>
      <w:keepLines/>
      <w:numPr>
        <w:ilvl w:val="1"/>
        <w:numId w:val="1"/>
      </w:numPr>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
    <w:autoRedefine/>
    <w:qFormat/>
    <w:pPr>
      <w:keepNext/>
      <w:keepLines/>
      <w:numPr>
        <w:ilvl w:val="2"/>
        <w:numId w:val="1"/>
      </w:numPr>
      <w:spacing w:before="260" w:after="260" w:line="416" w:lineRule="auto"/>
      <w:outlineLvl w:val="2"/>
    </w:pPr>
    <w:rPr>
      <w:b/>
      <w:bCs/>
      <w:sz w:val="32"/>
      <w:szCs w:val="32"/>
    </w:rPr>
  </w:style>
  <w:style w:type="paragraph" w:styleId="Heading4">
    <w:name w:val="heading 4"/>
    <w:basedOn w:val="Normal"/>
    <w:next w:val="Normal"/>
    <w:link w:val="4"/>
    <w:autoRedefine/>
    <w:qFormat/>
    <w:pPr>
      <w:keepNext/>
      <w:keepLines/>
      <w:numPr>
        <w:ilvl w:val="3"/>
        <w:numId w:val="1"/>
      </w:numPr>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
    <w:autoRedefine/>
    <w:qFormat/>
    <w:pPr>
      <w:keepNext/>
      <w:keepLines/>
      <w:numPr>
        <w:ilvl w:val="4"/>
        <w:numId w:val="1"/>
      </w:numPr>
      <w:tabs>
        <w:tab w:val="left" w:pos="1008"/>
      </w:tabs>
      <w:spacing w:before="280" w:after="290" w:line="376" w:lineRule="auto"/>
      <w:outlineLvl w:val="4"/>
    </w:pPr>
    <w:rPr>
      <w:b/>
      <w:bCs/>
      <w:sz w:val="28"/>
      <w:szCs w:val="28"/>
    </w:rPr>
  </w:style>
  <w:style w:type="paragraph" w:styleId="Heading6">
    <w:name w:val="heading 6"/>
    <w:basedOn w:val="Normal"/>
    <w:next w:val="Normal"/>
    <w:link w:val="6"/>
    <w:autoRedefine/>
    <w:qFormat/>
    <w:pPr>
      <w:keepNext/>
      <w:keepLines/>
      <w:numPr>
        <w:ilvl w:val="5"/>
        <w:numId w:val="1"/>
      </w:numPr>
      <w:tabs>
        <w:tab w:val="left" w:pos="1152"/>
      </w:tabs>
      <w:spacing w:before="240" w:after="64" w:line="320" w:lineRule="auto"/>
      <w:outlineLvl w:val="5"/>
    </w:pPr>
    <w:rPr>
      <w:rFonts w:ascii="Arial" w:eastAsia="黑体" w:hAnsi="Arial"/>
      <w:b/>
      <w:bCs/>
      <w:sz w:val="24"/>
    </w:rPr>
  </w:style>
  <w:style w:type="paragraph" w:styleId="Heading7">
    <w:name w:val="heading 7"/>
    <w:basedOn w:val="Normal"/>
    <w:next w:val="Normal"/>
    <w:link w:val="7"/>
    <w:autoRedefine/>
    <w:qFormat/>
    <w:pPr>
      <w:keepNext/>
      <w:keepLines/>
      <w:tabs>
        <w:tab w:val="left" w:pos="1296"/>
      </w:tabs>
      <w:spacing w:before="240" w:after="64" w:line="320" w:lineRule="auto"/>
      <w:ind w:left="1296" w:hanging="1296"/>
      <w:outlineLvl w:val="6"/>
    </w:pPr>
    <w:rPr>
      <w:b/>
      <w:bCs/>
      <w:sz w:val="24"/>
    </w:rPr>
  </w:style>
  <w:style w:type="paragraph" w:styleId="Heading8">
    <w:name w:val="heading 8"/>
    <w:basedOn w:val="Normal"/>
    <w:next w:val="Normal"/>
    <w:link w:val="8"/>
    <w:autoRedefine/>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Heading9">
    <w:name w:val="heading 9"/>
    <w:basedOn w:val="Normal"/>
    <w:next w:val="Normal"/>
    <w:link w:val="9"/>
    <w:autoRedefine/>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autoRedefine/>
    <w:semiHidden/>
    <w:pPr>
      <w:ind w:left="1260"/>
      <w:jc w:val="left"/>
    </w:pPr>
    <w:rPr>
      <w:sz w:val="18"/>
      <w:szCs w:val="18"/>
    </w:rPr>
  </w:style>
  <w:style w:type="paragraph" w:styleId="Index8">
    <w:name w:val="index 8"/>
    <w:basedOn w:val="Normal"/>
    <w:next w:val="Normal"/>
    <w:autoRedefine/>
    <w:semiHidden/>
    <w:pPr>
      <w:ind w:left="1680" w:hanging="210"/>
      <w:jc w:val="left"/>
    </w:pPr>
    <w:rPr>
      <w:szCs w:val="21"/>
    </w:rPr>
  </w:style>
  <w:style w:type="paragraph" w:styleId="Index5">
    <w:name w:val="index 5"/>
    <w:basedOn w:val="Normal"/>
    <w:next w:val="Normal"/>
    <w:autoRedefine/>
    <w:semiHidden/>
    <w:pPr>
      <w:ind w:left="1050" w:hanging="210"/>
      <w:jc w:val="left"/>
    </w:pPr>
    <w:rPr>
      <w:szCs w:val="21"/>
    </w:rPr>
  </w:style>
  <w:style w:type="paragraph" w:styleId="DocumentMap">
    <w:name w:val="Document Map"/>
    <w:basedOn w:val="Normal"/>
    <w:link w:val="a3"/>
    <w:rPr>
      <w:rFonts w:ascii="宋体"/>
      <w:sz w:val="18"/>
      <w:szCs w:val="18"/>
    </w:rPr>
  </w:style>
  <w:style w:type="paragraph" w:styleId="Index6">
    <w:name w:val="index 6"/>
    <w:basedOn w:val="Normal"/>
    <w:next w:val="Normal"/>
    <w:autoRedefine/>
    <w:semiHidden/>
    <w:pPr>
      <w:ind w:left="1260" w:hanging="210"/>
      <w:jc w:val="left"/>
    </w:pPr>
    <w:rPr>
      <w:szCs w:val="21"/>
    </w:rPr>
  </w:style>
  <w:style w:type="paragraph" w:styleId="BodyText3">
    <w:name w:val="Body Text 3"/>
    <w:basedOn w:val="Normal"/>
    <w:link w:val="31"/>
    <w:pPr>
      <w:spacing w:after="120"/>
    </w:pPr>
    <w:rPr>
      <w:sz w:val="16"/>
      <w:szCs w:val="16"/>
    </w:rPr>
  </w:style>
  <w:style w:type="paragraph" w:styleId="BodyText">
    <w:name w:val="Body Text"/>
    <w:basedOn w:val="Normal"/>
    <w:link w:val="a1"/>
    <w:pPr>
      <w:spacing w:after="120"/>
    </w:pPr>
  </w:style>
  <w:style w:type="paragraph" w:styleId="Index4">
    <w:name w:val="index 4"/>
    <w:basedOn w:val="Normal"/>
    <w:next w:val="Normal"/>
    <w:autoRedefine/>
    <w:semiHidden/>
    <w:pPr>
      <w:ind w:left="840" w:hanging="210"/>
      <w:jc w:val="left"/>
    </w:pPr>
    <w:rPr>
      <w:szCs w:val="21"/>
    </w:rPr>
  </w:style>
  <w:style w:type="paragraph" w:styleId="TOC5">
    <w:name w:val="toc 5"/>
    <w:basedOn w:val="Normal"/>
    <w:next w:val="Normal"/>
    <w:autoRedefine/>
    <w:semiHidden/>
    <w:pPr>
      <w:ind w:left="840"/>
      <w:jc w:val="left"/>
    </w:pPr>
    <w:rPr>
      <w:sz w:val="18"/>
      <w:szCs w:val="18"/>
    </w:rPr>
  </w:style>
  <w:style w:type="paragraph" w:styleId="TOC3">
    <w:name w:val="toc 3"/>
    <w:basedOn w:val="Normal"/>
    <w:next w:val="Normal"/>
    <w:autoRedefine/>
    <w:uiPriority w:val="39"/>
    <w:pPr>
      <w:ind w:left="420"/>
      <w:jc w:val="left"/>
    </w:pPr>
    <w:rPr>
      <w:i/>
      <w:iCs/>
      <w:sz w:val="20"/>
      <w:szCs w:val="20"/>
    </w:rPr>
  </w:style>
  <w:style w:type="paragraph" w:styleId="TOC8">
    <w:name w:val="toc 8"/>
    <w:basedOn w:val="Normal"/>
    <w:next w:val="Normal"/>
    <w:autoRedefine/>
    <w:semiHidden/>
    <w:qFormat/>
    <w:pPr>
      <w:ind w:left="1470"/>
      <w:jc w:val="left"/>
    </w:pPr>
    <w:rPr>
      <w:sz w:val="18"/>
      <w:szCs w:val="18"/>
    </w:rPr>
  </w:style>
  <w:style w:type="paragraph" w:styleId="Index3">
    <w:name w:val="index 3"/>
    <w:basedOn w:val="Normal"/>
    <w:next w:val="Normal"/>
    <w:autoRedefine/>
    <w:semiHidden/>
    <w:qFormat/>
    <w:pPr>
      <w:ind w:left="630" w:hanging="210"/>
      <w:jc w:val="left"/>
    </w:pPr>
    <w:rPr>
      <w:szCs w:val="21"/>
    </w:rPr>
  </w:style>
  <w:style w:type="paragraph" w:styleId="BalloonText">
    <w:name w:val="Balloon Text"/>
    <w:basedOn w:val="Normal"/>
    <w:link w:val="a6"/>
    <w:uiPriority w:val="99"/>
    <w:semiHidden/>
    <w:unhideWhenUsed/>
    <w:rPr>
      <w:sz w:val="18"/>
      <w:szCs w:val="18"/>
    </w:rPr>
  </w:style>
  <w:style w:type="paragraph" w:styleId="Footer">
    <w:name w:val="footer"/>
    <w:basedOn w:val="Normal"/>
    <w:link w:val="a0"/>
    <w:autoRedefine/>
    <w:qFormat/>
    <w:pPr>
      <w:tabs>
        <w:tab w:val="center" w:pos="4153"/>
        <w:tab w:val="right" w:pos="8306"/>
      </w:tabs>
      <w:snapToGrid w:val="0"/>
      <w:jc w:val="left"/>
    </w:pPr>
    <w:rPr>
      <w:sz w:val="18"/>
      <w:szCs w:val="18"/>
    </w:rPr>
  </w:style>
  <w:style w:type="paragraph" w:styleId="Header">
    <w:name w:val="header"/>
    <w:basedOn w:val="Normal"/>
    <w:link w:val="a"/>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tabs>
        <w:tab w:val="left" w:pos="420"/>
        <w:tab w:val="right" w:leader="dot" w:pos="8302"/>
      </w:tabs>
      <w:spacing w:before="120" w:after="120"/>
      <w:jc w:val="left"/>
    </w:pPr>
    <w:rPr>
      <w:b/>
      <w:bCs/>
      <w:caps/>
      <w:sz w:val="20"/>
      <w:szCs w:val="20"/>
    </w:rPr>
  </w:style>
  <w:style w:type="paragraph" w:styleId="TOC4">
    <w:name w:val="toc 4"/>
    <w:basedOn w:val="Normal"/>
    <w:next w:val="Normal"/>
    <w:autoRedefine/>
    <w:semiHidden/>
    <w:qFormat/>
    <w:pPr>
      <w:ind w:left="630"/>
      <w:jc w:val="left"/>
    </w:pPr>
    <w:rPr>
      <w:sz w:val="18"/>
      <w:szCs w:val="18"/>
    </w:rPr>
  </w:style>
  <w:style w:type="paragraph" w:styleId="IndexHeading">
    <w:name w:val="index heading"/>
    <w:basedOn w:val="Normal"/>
    <w:next w:val="Index1"/>
    <w:autoRedefine/>
    <w:semiHidden/>
    <w:pPr>
      <w:pBdr>
        <w:top w:val="double" w:sz="6" w:space="0" w:color="auto"/>
        <w:left w:val="double" w:sz="6" w:space="0" w:color="auto"/>
        <w:bottom w:val="double" w:sz="6" w:space="0" w:color="auto"/>
        <w:right w:val="double" w:sz="6" w:space="0" w:color="auto"/>
      </w:pBdr>
      <w:spacing w:before="240" w:after="120"/>
      <w:jc w:val="center"/>
    </w:pPr>
    <w:rPr>
      <w:rFonts w:ascii="Arial" w:hAnsi="Arial"/>
      <w:b/>
      <w:bCs/>
      <w:szCs w:val="26"/>
    </w:rPr>
  </w:style>
  <w:style w:type="paragraph" w:styleId="Index1">
    <w:name w:val="index 1"/>
    <w:basedOn w:val="Normal"/>
    <w:next w:val="Normal"/>
    <w:autoRedefine/>
    <w:semiHidden/>
    <w:qFormat/>
    <w:pPr>
      <w:ind w:left="210" w:hanging="210"/>
      <w:jc w:val="left"/>
    </w:pPr>
    <w:rPr>
      <w:szCs w:val="21"/>
    </w:rPr>
  </w:style>
  <w:style w:type="paragraph" w:styleId="TOC6">
    <w:name w:val="toc 6"/>
    <w:basedOn w:val="Normal"/>
    <w:next w:val="Normal"/>
    <w:autoRedefine/>
    <w:semiHidden/>
    <w:pPr>
      <w:ind w:left="1050"/>
      <w:jc w:val="left"/>
    </w:pPr>
    <w:rPr>
      <w:sz w:val="18"/>
      <w:szCs w:val="18"/>
    </w:rPr>
  </w:style>
  <w:style w:type="paragraph" w:styleId="BodyTextIndent3">
    <w:name w:val="Body Text Indent 3"/>
    <w:basedOn w:val="Normal"/>
    <w:link w:val="30"/>
    <w:pPr>
      <w:widowControl/>
      <w:spacing w:line="360" w:lineRule="auto"/>
      <w:ind w:left="420"/>
      <w:jc w:val="left"/>
    </w:pPr>
    <w:rPr>
      <w:rFonts w:ascii="宋体" w:hAnsi="宋体"/>
      <w:kern w:val="0"/>
      <w:sz w:val="24"/>
      <w:szCs w:val="21"/>
      <w:lang w:val="en-GB"/>
    </w:rPr>
  </w:style>
  <w:style w:type="paragraph" w:styleId="Index7">
    <w:name w:val="index 7"/>
    <w:basedOn w:val="Normal"/>
    <w:next w:val="Normal"/>
    <w:autoRedefine/>
    <w:semiHidden/>
    <w:pPr>
      <w:ind w:left="1470" w:hanging="210"/>
      <w:jc w:val="left"/>
    </w:pPr>
    <w:rPr>
      <w:szCs w:val="21"/>
    </w:rPr>
  </w:style>
  <w:style w:type="paragraph" w:styleId="Index9">
    <w:name w:val="index 9"/>
    <w:basedOn w:val="Normal"/>
    <w:next w:val="Normal"/>
    <w:autoRedefine/>
    <w:semiHidden/>
    <w:pPr>
      <w:ind w:left="1890" w:hanging="210"/>
      <w:jc w:val="left"/>
    </w:pPr>
    <w:rPr>
      <w:szCs w:val="21"/>
    </w:rPr>
  </w:style>
  <w:style w:type="paragraph" w:styleId="TOC2">
    <w:name w:val="toc 2"/>
    <w:basedOn w:val="Normal"/>
    <w:next w:val="Normal"/>
    <w:autoRedefine/>
    <w:uiPriority w:val="39"/>
    <w:pPr>
      <w:ind w:left="210"/>
      <w:jc w:val="left"/>
    </w:pPr>
    <w:rPr>
      <w:smallCaps/>
      <w:sz w:val="20"/>
      <w:szCs w:val="20"/>
    </w:rPr>
  </w:style>
  <w:style w:type="paragraph" w:styleId="TOC9">
    <w:name w:val="toc 9"/>
    <w:basedOn w:val="Normal"/>
    <w:next w:val="Normal"/>
    <w:autoRedefine/>
    <w:semiHidden/>
    <w:qFormat/>
    <w:pPr>
      <w:ind w:left="1680"/>
      <w:jc w:val="left"/>
    </w:pPr>
    <w:rPr>
      <w:sz w:val="18"/>
      <w:szCs w:val="18"/>
    </w:rPr>
  </w:style>
  <w:style w:type="paragraph" w:styleId="NormalWeb">
    <w:name w:val="Normal (Web)"/>
    <w:basedOn w:val="Normal"/>
    <w:uiPriority w:val="99"/>
    <w:semiHidden/>
    <w:unhideWhenUsed/>
    <w:pPr>
      <w:widowControl/>
      <w:spacing w:before="100" w:beforeAutospacing="1" w:after="100" w:afterAutospacing="1"/>
      <w:jc w:val="left"/>
    </w:pPr>
    <w:rPr>
      <w:rFonts w:ascii="宋体" w:hAnsi="宋体" w:cs="宋体"/>
      <w:kern w:val="0"/>
      <w:sz w:val="24"/>
    </w:rPr>
  </w:style>
  <w:style w:type="paragraph" w:styleId="Index2">
    <w:name w:val="index 2"/>
    <w:basedOn w:val="Normal"/>
    <w:next w:val="Normal"/>
    <w:autoRedefine/>
    <w:semiHidden/>
    <w:qFormat/>
    <w:pPr>
      <w:ind w:left="420" w:hanging="210"/>
      <w:jc w:val="left"/>
    </w:pPr>
    <w:rPr>
      <w:szCs w:val="21"/>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character" w:styleId="FollowedHyperlink">
    <w:name w:val="FollowedHyperlink"/>
    <w:basedOn w:val="DefaultParagraphFont"/>
    <w:uiPriority w:val="99"/>
    <w:semiHidden/>
    <w:unhideWhenUsed/>
    <w:rPr>
      <w:color w:val="954F72" w:themeColor="followedHyperlink"/>
      <w:u w:val="single"/>
    </w:rPr>
  </w:style>
  <w:style w:type="character" w:styleId="Hyperlink">
    <w:name w:val="Hyperlink"/>
    <w:autoRedefine/>
    <w:uiPriority w:val="99"/>
    <w:qFormat/>
    <w:rPr>
      <w:color w:val="0000FF"/>
      <w:u w:val="single"/>
    </w:rPr>
  </w:style>
  <w:style w:type="character" w:customStyle="1" w:styleId="1">
    <w:name w:val="标题 1 字符"/>
    <w:basedOn w:val="DefaultParagraphFont"/>
    <w:link w:val="Heading1"/>
    <w:rPr>
      <w:rFonts w:ascii="Arial" w:eastAsia="黑体" w:hAnsi="Arial" w:cs="Arial"/>
      <w:b/>
      <w:bCs/>
      <w:kern w:val="32"/>
      <w:sz w:val="32"/>
      <w:szCs w:val="32"/>
      <w:lang w:val="en-GB" w:eastAsia="en-US"/>
    </w:rPr>
  </w:style>
  <w:style w:type="character" w:customStyle="1" w:styleId="2">
    <w:name w:val="标题 2 字符"/>
    <w:basedOn w:val="DefaultParagraphFont"/>
    <w:link w:val="Heading2"/>
    <w:rPr>
      <w:rFonts w:ascii="Arial" w:eastAsia="黑体" w:hAnsi="Arial" w:cs="Times New Roman"/>
      <w:b/>
      <w:bCs/>
      <w:sz w:val="32"/>
      <w:szCs w:val="32"/>
    </w:rPr>
  </w:style>
  <w:style w:type="character" w:customStyle="1" w:styleId="3">
    <w:name w:val="标题 3 字符"/>
    <w:basedOn w:val="DefaultParagraphFont"/>
    <w:link w:val="Heading3"/>
    <w:rPr>
      <w:rFonts w:ascii="Times New Roman" w:eastAsia="宋体" w:hAnsi="Times New Roman" w:cs="Times New Roman"/>
      <w:b/>
      <w:bCs/>
      <w:sz w:val="32"/>
      <w:szCs w:val="32"/>
    </w:rPr>
  </w:style>
  <w:style w:type="character" w:customStyle="1" w:styleId="4">
    <w:name w:val="标题 4 字符"/>
    <w:basedOn w:val="DefaultParagraphFont"/>
    <w:link w:val="Heading4"/>
    <w:rPr>
      <w:rFonts w:ascii="Arial" w:eastAsia="黑体" w:hAnsi="Arial" w:cs="Times New Roman"/>
      <w:b/>
      <w:bCs/>
      <w:sz w:val="28"/>
      <w:szCs w:val="28"/>
    </w:rPr>
  </w:style>
  <w:style w:type="character" w:customStyle="1" w:styleId="5">
    <w:name w:val="标题 5 字符"/>
    <w:basedOn w:val="DefaultParagraphFont"/>
    <w:link w:val="Heading5"/>
    <w:rPr>
      <w:rFonts w:ascii="Times New Roman" w:eastAsia="宋体" w:hAnsi="Times New Roman" w:cs="Times New Roman"/>
      <w:b/>
      <w:bCs/>
      <w:sz w:val="28"/>
      <w:szCs w:val="28"/>
    </w:rPr>
  </w:style>
  <w:style w:type="character" w:customStyle="1" w:styleId="6">
    <w:name w:val="标题 6 字符"/>
    <w:basedOn w:val="DefaultParagraphFont"/>
    <w:link w:val="Heading6"/>
    <w:rPr>
      <w:rFonts w:ascii="Arial" w:eastAsia="黑体" w:hAnsi="Arial" w:cs="Times New Roman"/>
      <w:b/>
      <w:bCs/>
      <w:sz w:val="24"/>
      <w:szCs w:val="24"/>
    </w:rPr>
  </w:style>
  <w:style w:type="character" w:customStyle="1" w:styleId="7">
    <w:name w:val="标题 7 字符"/>
    <w:basedOn w:val="DefaultParagraphFont"/>
    <w:link w:val="Heading7"/>
    <w:autoRedefine/>
    <w:qFormat/>
    <w:rPr>
      <w:rFonts w:ascii="Times New Roman" w:eastAsia="宋体" w:hAnsi="Times New Roman" w:cs="Times New Roman"/>
      <w:b/>
      <w:bCs/>
      <w:sz w:val="24"/>
      <w:szCs w:val="24"/>
    </w:rPr>
  </w:style>
  <w:style w:type="character" w:customStyle="1" w:styleId="8">
    <w:name w:val="标题 8 字符"/>
    <w:basedOn w:val="DefaultParagraphFont"/>
    <w:link w:val="Heading8"/>
    <w:rPr>
      <w:rFonts w:ascii="Arial" w:eastAsia="黑体" w:hAnsi="Arial" w:cs="Times New Roman"/>
      <w:sz w:val="24"/>
      <w:szCs w:val="24"/>
    </w:rPr>
  </w:style>
  <w:style w:type="character" w:customStyle="1" w:styleId="9">
    <w:name w:val="标题 9 字符"/>
    <w:basedOn w:val="DefaultParagraphFont"/>
    <w:link w:val="Heading9"/>
    <w:rPr>
      <w:rFonts w:ascii="Arial" w:eastAsia="黑体" w:hAnsi="Arial" w:cs="Times New Roman"/>
      <w:szCs w:val="21"/>
    </w:rPr>
  </w:style>
  <w:style w:type="paragraph" w:customStyle="1" w:styleId="ParaCharCharCharCharCharCharCharCharCharChar">
    <w:name w:val="默认段落字体 Para Char Char Char Char Char Char Char Char Char Char"/>
    <w:basedOn w:val="Normal"/>
  </w:style>
  <w:style w:type="character" w:customStyle="1" w:styleId="a">
    <w:name w:val="页眉 字符"/>
    <w:basedOn w:val="DefaultParagraphFont"/>
    <w:link w:val="Header"/>
    <w:rPr>
      <w:rFonts w:ascii="Times New Roman" w:eastAsia="宋体" w:hAnsi="Times New Roman" w:cs="Times New Roman"/>
      <w:sz w:val="18"/>
      <w:szCs w:val="18"/>
    </w:rPr>
  </w:style>
  <w:style w:type="character" w:customStyle="1" w:styleId="a0">
    <w:name w:val="页脚 字符"/>
    <w:basedOn w:val="DefaultParagraphFont"/>
    <w:link w:val="Footer"/>
    <w:rPr>
      <w:rFonts w:ascii="Times New Roman" w:eastAsia="宋体" w:hAnsi="Times New Roman" w:cs="Times New Roman"/>
      <w:sz w:val="18"/>
      <w:szCs w:val="18"/>
    </w:rPr>
  </w:style>
  <w:style w:type="character" w:customStyle="1" w:styleId="30">
    <w:name w:val="正文文本缩进 3 字符"/>
    <w:basedOn w:val="DefaultParagraphFont"/>
    <w:link w:val="BodyTextIndent3"/>
    <w:rPr>
      <w:rFonts w:ascii="宋体" w:eastAsia="宋体" w:hAnsi="宋体" w:cs="Times New Roman"/>
      <w:kern w:val="0"/>
      <w:sz w:val="24"/>
      <w:szCs w:val="21"/>
      <w:lang w:val="en-GB"/>
    </w:rPr>
  </w:style>
  <w:style w:type="character" w:customStyle="1" w:styleId="a1">
    <w:name w:val="正文文本 字符"/>
    <w:basedOn w:val="DefaultParagraphFont"/>
    <w:link w:val="BodyText"/>
    <w:rPr>
      <w:rFonts w:ascii="Times New Roman" w:eastAsia="宋体" w:hAnsi="Times New Roman" w:cs="Times New Roman"/>
      <w:szCs w:val="24"/>
    </w:rPr>
  </w:style>
  <w:style w:type="paragraph" w:customStyle="1" w:styleId="Char">
    <w:name w:val="Char"/>
    <w:basedOn w:val="Normal"/>
    <w:next w:val="Normal"/>
    <w:pPr>
      <w:widowControl/>
      <w:spacing w:after="160" w:line="360" w:lineRule="auto"/>
      <w:jc w:val="left"/>
    </w:pPr>
    <w:rPr>
      <w:rFonts w:ascii="Verdana" w:hAnsi="Verdana"/>
      <w:kern w:val="0"/>
      <w:sz w:val="24"/>
      <w:szCs w:val="20"/>
      <w:lang w:eastAsia="en-US"/>
    </w:rPr>
  </w:style>
  <w:style w:type="paragraph" w:customStyle="1" w:styleId="Char1">
    <w:name w:val="Char1"/>
    <w:basedOn w:val="Normal"/>
    <w:next w:val="Normal"/>
    <w:pPr>
      <w:widowControl/>
      <w:spacing w:after="160" w:line="360" w:lineRule="auto"/>
      <w:jc w:val="left"/>
    </w:pPr>
    <w:rPr>
      <w:rFonts w:ascii="Verdana" w:hAnsi="Verdana"/>
      <w:kern w:val="0"/>
      <w:sz w:val="24"/>
      <w:szCs w:val="20"/>
      <w:lang w:eastAsia="en-US"/>
    </w:rPr>
  </w:style>
  <w:style w:type="character" w:customStyle="1" w:styleId="31">
    <w:name w:val="正文文本 3 字符"/>
    <w:basedOn w:val="DefaultParagraphFont"/>
    <w:link w:val="BodyText3"/>
    <w:rPr>
      <w:rFonts w:ascii="Times New Roman" w:eastAsia="宋体" w:hAnsi="Times New Roman" w:cs="Times New Roman"/>
      <w:sz w:val="16"/>
      <w:szCs w:val="16"/>
    </w:rPr>
  </w:style>
  <w:style w:type="paragraph" w:customStyle="1" w:styleId="a2">
    <w:name w:val="表格题注"/>
    <w:basedOn w:val="Normal"/>
    <w:pPr>
      <w:keepLines/>
      <w:autoSpaceDE w:val="0"/>
      <w:autoSpaceDN w:val="0"/>
      <w:adjustRightInd w:val="0"/>
      <w:spacing w:before="80" w:after="80"/>
      <w:jc w:val="center"/>
    </w:pPr>
    <w:rPr>
      <w:rFonts w:ascii="Arial" w:hAnsi="Arial"/>
      <w:kern w:val="0"/>
      <w:sz w:val="18"/>
      <w:szCs w:val="18"/>
    </w:rPr>
  </w:style>
  <w:style w:type="paragraph" w:customStyle="1" w:styleId="tytytyty">
    <w:name w:val="tytytyty"/>
    <w:basedOn w:val="Normal"/>
    <w:pPr>
      <w:spacing w:line="360" w:lineRule="auto"/>
      <w:ind w:left="359" w:firstLine="480" w:leftChars="171" w:firstLineChars="200"/>
    </w:pPr>
    <w:rPr>
      <w:sz w:val="24"/>
    </w:rPr>
  </w:style>
  <w:style w:type="paragraph" w:customStyle="1" w:styleId="CharChar1CharCharCharCharCharCharCharChar">
    <w:name w:val="Char Char1 Char Char Char Char Char Char Char Char"/>
    <w:basedOn w:val="Normal"/>
    <w:autoRedefine/>
    <w:pPr>
      <w:widowControl/>
      <w:spacing w:line="240" w:lineRule="exact"/>
      <w:jc w:val="left"/>
    </w:pPr>
    <w:rPr>
      <w:rFonts w:ascii="Verdana" w:hAnsi="Verdana"/>
      <w:kern w:val="0"/>
      <w:sz w:val="20"/>
      <w:szCs w:val="20"/>
      <w:lang w:eastAsia="en-US"/>
    </w:rPr>
  </w:style>
  <w:style w:type="character" w:customStyle="1" w:styleId="a3">
    <w:name w:val="文档结构图 字符"/>
    <w:basedOn w:val="DefaultParagraphFont"/>
    <w:link w:val="DocumentMap"/>
    <w:rPr>
      <w:rFonts w:ascii="宋体" w:eastAsia="宋体" w:hAnsi="Times New Roman" w:cs="Times New Roman"/>
      <w:sz w:val="18"/>
      <w:szCs w:val="18"/>
    </w:rPr>
  </w:style>
  <w:style w:type="paragraph" w:customStyle="1" w:styleId="CharChar1CharCharCharCharCharCharCharCharCharCharChar">
    <w:name w:val="Char Char1 Char Char Char Char Char Char Char Char Char Char Char"/>
    <w:basedOn w:val="Normal"/>
    <w:autoRedefine/>
    <w:pPr>
      <w:widowControl/>
      <w:spacing w:line="240" w:lineRule="exact"/>
      <w:jc w:val="left"/>
    </w:pPr>
    <w:rPr>
      <w:rFonts w:ascii="Verdana" w:hAnsi="Verdana"/>
      <w:kern w:val="0"/>
      <w:sz w:val="20"/>
      <w:szCs w:val="20"/>
      <w:lang w:eastAsia="en-US"/>
    </w:rPr>
  </w:style>
  <w:style w:type="paragraph" w:customStyle="1" w:styleId="biaoti2">
    <w:name w:val="biaoti2"/>
    <w:basedOn w:val="Heading2"/>
    <w:pPr>
      <w:tabs>
        <w:tab w:val="left" w:pos="576"/>
      </w:tabs>
      <w:spacing w:line="360" w:lineRule="auto"/>
      <w:ind w:left="576" w:hanging="576"/>
    </w:pPr>
  </w:style>
  <w:style w:type="paragraph" w:customStyle="1" w:styleId="biaoti1">
    <w:name w:val="biaoti1"/>
    <w:basedOn w:val="Heading1"/>
    <w:autoRedefine/>
    <w:qFormat/>
    <w:pPr>
      <w:keepLines/>
      <w:widowControl w:val="0"/>
      <w:tabs>
        <w:tab w:val="left" w:pos="432"/>
      </w:tabs>
      <w:spacing w:before="340" w:after="330" w:line="360" w:lineRule="auto"/>
      <w:ind w:left="432" w:hanging="432"/>
      <w:jc w:val="both"/>
    </w:pPr>
    <w:rPr>
      <w:rFonts w:ascii="Times New Roman" w:hAnsi="Times New Roman" w:cs="Times New Roman"/>
      <w:kern w:val="44"/>
      <w:sz w:val="44"/>
      <w:szCs w:val="44"/>
      <w:lang w:val="en-US" w:eastAsia="zh-CN"/>
    </w:rPr>
  </w:style>
  <w:style w:type="paragraph" w:customStyle="1" w:styleId="11">
    <w:name w:val="标题 1（1）"/>
    <w:basedOn w:val="Heading1"/>
    <w:next w:val="Normal"/>
    <w:autoRedefine/>
    <w:qFormat/>
    <w:pPr>
      <w:keepLines/>
      <w:widowControl w:val="0"/>
      <w:spacing w:before="360" w:after="120" w:line="360" w:lineRule="auto"/>
    </w:pPr>
    <w:rPr>
      <w:rFonts w:cs="Times New Roman"/>
      <w:kern w:val="44"/>
      <w:szCs w:val="44"/>
    </w:rPr>
  </w:style>
  <w:style w:type="paragraph" w:customStyle="1" w:styleId="21">
    <w:name w:val="标题 2（1）"/>
    <w:basedOn w:val="Heading2"/>
    <w:next w:val="Normal"/>
    <w:autoRedefine/>
    <w:qFormat/>
    <w:pPr>
      <w:spacing w:before="200" w:after="200" w:line="360" w:lineRule="auto"/>
      <w:jc w:val="left"/>
    </w:pPr>
    <w:rPr>
      <w:bCs w:val="0"/>
      <w:sz w:val="28"/>
    </w:rPr>
  </w:style>
  <w:style w:type="paragraph" w:customStyle="1" w:styleId="310">
    <w:name w:val="标题 3（1）"/>
    <w:basedOn w:val="Heading3"/>
    <w:next w:val="Normal"/>
    <w:autoRedefine/>
    <w:qFormat/>
    <w:pPr>
      <w:tabs>
        <w:tab w:val="left" w:pos="960"/>
      </w:tabs>
      <w:spacing w:before="0" w:after="0" w:line="360" w:lineRule="auto"/>
      <w:jc w:val="left"/>
    </w:pPr>
    <w:rPr>
      <w:rFonts w:ascii="Arial" w:eastAsia="黑体" w:hAnsi="Arial"/>
      <w:bCs w:val="0"/>
      <w:kern w:val="0"/>
      <w:sz w:val="24"/>
      <w:szCs w:val="30"/>
    </w:rPr>
  </w:style>
  <w:style w:type="paragraph" w:customStyle="1" w:styleId="41">
    <w:name w:val="标题 4（1）"/>
    <w:basedOn w:val="Heading4"/>
    <w:next w:val="Normal"/>
    <w:autoRedefine/>
    <w:qFormat/>
    <w:pPr>
      <w:widowControl/>
      <w:spacing w:after="156"/>
      <w:jc w:val="left"/>
    </w:pPr>
    <w:rPr>
      <w:bCs w:val="0"/>
      <w:kern w:val="0"/>
    </w:rPr>
  </w:style>
  <w:style w:type="paragraph" w:customStyle="1" w:styleId="51">
    <w:name w:val="标题 5（有编号）（1）"/>
    <w:basedOn w:val="Normal"/>
    <w:next w:val="Normal"/>
    <w:autoRedefine/>
    <w:qFormat/>
    <w:pPr>
      <w:keepNext/>
      <w:keepLines/>
      <w:spacing w:before="280" w:after="156" w:line="377" w:lineRule="auto"/>
      <w:jc w:val="left"/>
      <w:outlineLvl w:val="4"/>
    </w:pPr>
    <w:rPr>
      <w:rFonts w:ascii="Arial" w:eastAsia="黑体" w:hAnsi="Arial"/>
      <w:b/>
      <w:kern w:val="0"/>
      <w:sz w:val="24"/>
      <w:szCs w:val="28"/>
    </w:rPr>
  </w:style>
  <w:style w:type="paragraph" w:customStyle="1" w:styleId="61">
    <w:name w:val="标题 6（有编号）（1）"/>
    <w:basedOn w:val="Normal"/>
    <w:next w:val="Normal"/>
    <w:qFormat/>
    <w:pPr>
      <w:keepNext/>
      <w:keepLines/>
      <w:spacing w:before="240" w:after="64" w:line="319" w:lineRule="auto"/>
      <w:jc w:val="left"/>
      <w:outlineLvl w:val="5"/>
    </w:pPr>
    <w:rPr>
      <w:rFonts w:ascii="Arial" w:eastAsia="黑体" w:hAnsi="Arial"/>
      <w:b/>
      <w:kern w:val="0"/>
    </w:rPr>
  </w:style>
  <w:style w:type="paragraph" w:customStyle="1" w:styleId="a4">
    <w:name w:val="插图标注（绿盟科技）"/>
    <w:next w:val="Normal"/>
    <w:autoRedefine/>
    <w:qFormat/>
    <w:pPr>
      <w:spacing w:after="156"/>
      <w:jc w:val="center"/>
    </w:pPr>
    <w:rPr>
      <w:rFonts w:ascii="Arial" w:eastAsia="宋体" w:hAnsi="Arial" w:cs="Times New Roman"/>
      <w:sz w:val="21"/>
      <w:szCs w:val="21"/>
    </w:rPr>
  </w:style>
  <w:style w:type="paragraph" w:customStyle="1" w:styleId="a5">
    <w:name w:val="表格标注（绿盟科技）"/>
    <w:basedOn w:val="a4"/>
    <w:next w:val="Normal"/>
    <w:autoRedefine/>
    <w:qFormat/>
  </w:style>
  <w:style w:type="paragraph" w:styleId="ListParagraph">
    <w:name w:val="List Paragraph"/>
    <w:basedOn w:val="Normal"/>
    <w:autoRedefine/>
    <w:uiPriority w:val="34"/>
    <w:qFormat/>
    <w:pPr>
      <w:ind w:firstLine="420" w:firstLineChars="200"/>
    </w:pPr>
  </w:style>
  <w:style w:type="paragraph" w:customStyle="1" w:styleId="QB">
    <w:name w:val="QB前言正文"/>
    <w:basedOn w:val="Normal"/>
    <w:pPr>
      <w:widowControl/>
      <w:autoSpaceDE w:val="0"/>
      <w:autoSpaceDN w:val="0"/>
      <w:spacing w:line="360" w:lineRule="auto"/>
      <w:ind w:firstLine="200" w:firstLineChars="200"/>
    </w:pPr>
    <w:rPr>
      <w:rFonts w:ascii="宋体"/>
      <w:kern w:val="0"/>
      <w:sz w:val="24"/>
    </w:rPr>
  </w:style>
  <w:style w:type="character" w:customStyle="1" w:styleId="1Char">
    <w:name w:val="标题 1 Char"/>
    <w:basedOn w:val="DefaultParagraphFont"/>
    <w:rPr>
      <w:rFonts w:eastAsia="宋体"/>
      <w:b/>
      <w:bCs/>
      <w:kern w:val="44"/>
      <w:sz w:val="44"/>
      <w:szCs w:val="44"/>
      <w:lang w:val="en-US" w:eastAsia="zh-CN" w:bidi="ar-SA"/>
    </w:rPr>
  </w:style>
  <w:style w:type="character" w:customStyle="1" w:styleId="2Char">
    <w:name w:val="标题 2 Char"/>
    <w:basedOn w:val="DefaultParagraphFont"/>
    <w:rPr>
      <w:rFonts w:ascii="Arial" w:eastAsia="黑体" w:hAnsi="Arial"/>
      <w:b/>
      <w:bCs/>
      <w:kern w:val="2"/>
      <w:sz w:val="32"/>
      <w:szCs w:val="32"/>
      <w:lang w:val="en-US" w:eastAsia="zh-CN" w:bidi="ar-SA"/>
    </w:rPr>
  </w:style>
  <w:style w:type="paragraph" w:customStyle="1" w:styleId="10">
    <w:name w:val="修订1"/>
    <w:hidden/>
    <w:uiPriority w:val="99"/>
    <w:semiHidden/>
    <w:rPr>
      <w:rFonts w:ascii="Times New Roman" w:eastAsia="宋体" w:hAnsi="Times New Roman" w:cs="Times New Roman"/>
      <w:kern w:val="2"/>
      <w:sz w:val="21"/>
      <w:szCs w:val="24"/>
    </w:rPr>
  </w:style>
  <w:style w:type="table" w:customStyle="1" w:styleId="TableNormal0">
    <w:name w:val="Table Normal_0"/>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Normal"/>
    <w:uiPriority w:val="1"/>
    <w:qFormat/>
    <w:pPr>
      <w:autoSpaceDE w:val="0"/>
      <w:autoSpaceDN w:val="0"/>
      <w:jc w:val="left"/>
    </w:pPr>
    <w:rPr>
      <w:rFonts w:ascii="仿宋" w:eastAsia="仿宋" w:hAnsi="仿宋" w:cs="仿宋"/>
      <w:kern w:val="0"/>
      <w:sz w:val="22"/>
      <w:szCs w:val="22"/>
      <w:lang w:eastAsia="en-US"/>
    </w:rPr>
  </w:style>
  <w:style w:type="character" w:customStyle="1" w:styleId="a6">
    <w:name w:val="批注框文本 字符"/>
    <w:basedOn w:val="DefaultParagraphFont"/>
    <w:link w:val="BalloonText"/>
    <w:uiPriority w:val="99"/>
    <w:semiHidden/>
    <w:rPr>
      <w:rFonts w:ascii="Times New Roman" w:eastAsia="宋体" w:hAnsi="Times New Roman" w:cs="Times New Roman"/>
      <w:sz w:val="18"/>
      <w:szCs w:val="18"/>
    </w:rPr>
  </w:style>
  <w:style w:type="table" w:customStyle="1" w:styleId="12">
    <w:name w:val="浅色底纹1"/>
    <w:basedOn w:val="TableNormal"/>
    <w:uiPriority w:val="60"/>
    <w:rPr>
      <w:rFonts w:ascii="Calibri" w:eastAsia="宋体" w:hAnsi="Calibri" w:cs="Times New Roman"/>
      <w:color w:val="000000"/>
    </w:rPr>
    <w:tblPr>
      <w:tblBorders>
        <w:top w:val="single" w:sz="12" w:space="0" w:color="000000"/>
        <w:bottom w:val="single" w:sz="12" w:space="0" w:color="000000"/>
        <w:insideH w:val="single" w:sz="4" w:space="0" w:color="000000"/>
        <w:insideV w:val="single" w:sz="4" w:space="0" w:color="000000"/>
      </w:tblBorders>
    </w:tblPr>
    <w:tblStylePr w:type="firstRow">
      <w:pPr>
        <w:spacing w:beforeLines="0" w:beforeAutospacing="0" w:afterLines="0" w:afterAutospacing="0" w:line="240" w:lineRule="auto"/>
      </w:pPr>
      <w:rPr>
        <w:rFonts w:ascii="Calibri" w:eastAsia="宋体" w:hAnsi="Calibri" w:cs="Calibri" w:hint="default"/>
        <w:b/>
        <w:bCs/>
        <w:sz w:val="21"/>
        <w:szCs w:val="21"/>
      </w:rPr>
      <w:tblPr/>
      <w:tcPr>
        <w:tcBorders>
          <w:top w:val="single" w:sz="12" w:space="0" w:color="000000"/>
          <w:left w:val="nil"/>
          <w:bottom w:val="single" w:sz="8" w:space="0" w:color="000000"/>
          <w:right w:val="nil"/>
          <w:insideH w:val="nil"/>
          <w:insideV w:val="single" w:sz="4" w:space="0" w:color="auto"/>
        </w:tcBorders>
      </w:tcPr>
    </w:tblStylePr>
    <w:tblStylePr w:type="lastRow">
      <w:pPr>
        <w:spacing w:beforeLines="0" w:beforeAutospacing="0" w:afterLines="0" w:afterAutospacing="0" w:line="240" w:lineRule="auto"/>
      </w:pPr>
      <w:rPr>
        <w:rFonts w:ascii="宋体" w:eastAsia="宋体" w:hAnsi="宋体" w:hint="eastAsia"/>
        <w:b w:val="0"/>
        <w:bCs/>
        <w:sz w:val="21"/>
        <w:szCs w:val="21"/>
      </w:rPr>
      <w:tblPr/>
      <w:tcPr>
        <w:tcBorders>
          <w:top w:val="single" w:sz="8" w:space="0" w:color="000000"/>
          <w:left w:val="nil"/>
          <w:bottom w:val="single" w:sz="12" w:space="0" w:color="000000"/>
          <w:right w:val="nil"/>
          <w:insideH w:val="nil"/>
          <w:insideV w:val="single" w:sz="4" w:space="0" w:color="auto"/>
        </w:tcBorders>
      </w:tcPr>
    </w:tblStylePr>
    <w:tblStylePr w:type="firstCol">
      <w:rPr>
        <w:rFonts w:ascii="Calibri" w:eastAsia="宋体" w:hAnsi="Calibri" w:cs="Calibri" w:hint="default"/>
        <w:b w:val="0"/>
        <w:bCs/>
        <w:sz w:val="21"/>
        <w:szCs w:val="21"/>
      </w:rPr>
    </w:tblStylePr>
    <w:tblStylePr w:type="lastCol">
      <w:rPr>
        <w:b/>
        <w:bCs/>
      </w:rPr>
    </w:tblStylePr>
  </w:style>
  <w:style w:type="table" w:customStyle="1" w:styleId="TableNormal00">
    <w:name w:val="Table Normal_0_0"/>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image" Target="media/image1.png"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header" Target="header18.xml" /><Relationship Id="rId25" Type="http://schemas.openxmlformats.org/officeDocument/2006/relationships/header" Target="header19.xml" /><Relationship Id="rId26" Type="http://schemas.openxmlformats.org/officeDocument/2006/relationships/image" Target="media/image2.png" /><Relationship Id="rId27" Type="http://schemas.openxmlformats.org/officeDocument/2006/relationships/image" Target="media/image3.png" /><Relationship Id="rId28" Type="http://schemas.openxmlformats.org/officeDocument/2006/relationships/image" Target="media/image4.png" /><Relationship Id="rId29" Type="http://schemas.openxmlformats.org/officeDocument/2006/relationships/image" Target="media/image5.png" /><Relationship Id="rId3" Type="http://schemas.openxmlformats.org/officeDocument/2006/relationships/fontTable" Target="fontTable.xml" /><Relationship Id="rId30" Type="http://schemas.openxmlformats.org/officeDocument/2006/relationships/image" Target="media/image6.png" /><Relationship Id="rId31" Type="http://schemas.openxmlformats.org/officeDocument/2006/relationships/image" Target="media/image7.png" /><Relationship Id="rId32" Type="http://schemas.openxmlformats.org/officeDocument/2006/relationships/image" Target="media/image8.png"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image" Target="media/image11.png" /><Relationship Id="rId36" Type="http://schemas.openxmlformats.org/officeDocument/2006/relationships/image" Target="media/image12.png" /><Relationship Id="rId37" Type="http://schemas.openxmlformats.org/officeDocument/2006/relationships/image" Target="media/image13.png" /><Relationship Id="rId38" Type="http://schemas.openxmlformats.org/officeDocument/2006/relationships/image" Target="media/image14.png" /><Relationship Id="rId39" Type="http://schemas.openxmlformats.org/officeDocument/2006/relationships/image" Target="media/image15.png" /><Relationship Id="rId4" Type="http://schemas.openxmlformats.org/officeDocument/2006/relationships/customXml" Target="../customXml/item1.xml" /><Relationship Id="rId40" Type="http://schemas.openxmlformats.org/officeDocument/2006/relationships/image" Target="media/image16.png" /><Relationship Id="rId41" Type="http://schemas.openxmlformats.org/officeDocument/2006/relationships/image" Target="media/image17.png" /><Relationship Id="rId42" Type="http://schemas.openxmlformats.org/officeDocument/2006/relationships/image" Target="media/image18.png" /><Relationship Id="rId43" Type="http://schemas.openxmlformats.org/officeDocument/2006/relationships/image" Target="media/image19.png" /><Relationship Id="rId44" Type="http://schemas.openxmlformats.org/officeDocument/2006/relationships/image" Target="media/image20.png" /><Relationship Id="rId45" Type="http://schemas.openxmlformats.org/officeDocument/2006/relationships/image" Target="media/image21.png" /><Relationship Id="rId46" Type="http://schemas.openxmlformats.org/officeDocument/2006/relationships/image" Target="media/image22.png" /><Relationship Id="rId47" Type="http://schemas.openxmlformats.org/officeDocument/2006/relationships/image" Target="media/image23.png" /><Relationship Id="rId48" Type="http://schemas.openxmlformats.org/officeDocument/2006/relationships/image" Target="media/image24.png" /><Relationship Id="rId49" Type="http://schemas.openxmlformats.org/officeDocument/2006/relationships/image" Target="media/image25.png" /><Relationship Id="rId5" Type="http://schemas.openxmlformats.org/officeDocument/2006/relationships/customXml" Target="../customXml/item2.xml" /><Relationship Id="rId50" Type="http://schemas.openxmlformats.org/officeDocument/2006/relationships/image" Target="media/image26.png" /><Relationship Id="rId51" Type="http://schemas.openxmlformats.org/officeDocument/2006/relationships/header" Target="header20.xml" /><Relationship Id="rId52" Type="http://schemas.openxmlformats.org/officeDocument/2006/relationships/header" Target="header21.xml" /><Relationship Id="rId53" Type="http://schemas.openxmlformats.org/officeDocument/2006/relationships/header" Target="header22.xml" /><Relationship Id="rId54" Type="http://schemas.openxmlformats.org/officeDocument/2006/relationships/header" Target="header23.xml" /><Relationship Id="rId55" Type="http://schemas.openxmlformats.org/officeDocument/2006/relationships/hyperlink" Target="https://d.book118.com/478116010010006034" TargetMode="External" /><Relationship Id="rId56" Type="http://schemas.openxmlformats.org/officeDocument/2006/relationships/header" Target="header24.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5D657D-454B-4BF2-9822-1654E0895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28</Pages>
  <Words>4541</Words>
  <Characters>25888</Characters>
  <Application>Microsoft Office Word</Application>
  <DocSecurity>0</DocSecurity>
  <Lines>215</Lines>
  <Paragraphs>60</Paragraphs>
  <ScaleCrop>false</ScaleCrop>
  <Company/>
  <LinksUpToDate>false</LinksUpToDate>
  <CharactersWithSpaces>30369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2021-11-14T09:16:00Z</dcterms:created>
  <dcterms:modified xsi:type="dcterms:W3CDTF">2024-02-05T02:13:00Z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4269AFD4A58E4B35A7DB1DD88E1B8E1B_12</vt:lpwstr>
  </property>
  <property fmtid="{D5CDD505-2E9C-101B-9397-08002B2CF9AE}" pid="3" name="KSOProductBuildVer">
    <vt:lpwstr>2052-12.1.0.16250</vt:lpwstr>
  </property>
</Properties>
</file>