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8"/>
        </w:rPr>
      </w:pPr>
    </w:p>
    <w:p>
      <w:pPr>
        <w:pStyle w:val="Title"/>
        <w:spacing w:line="213" w:lineRule="auto"/>
      </w:pPr>
      <w:r>
        <w:t>2023</w:t>
      </w:r>
      <w:r>
        <w:rPr>
          <w:spacing w:val="-6"/>
        </w:rPr>
        <w:t xml:space="preserve"> 年房地产行业万科恒大</w:t>
      </w:r>
      <w:r>
        <w:t>碧桂园对标分析报告</w:t>
      </w:r>
    </w:p>
    <w:p>
      <w:pPr>
        <w:pStyle w:val="BodyText"/>
        <w:rPr>
          <w:rFonts w:ascii="华文仿宋"/>
          <w:b/>
          <w:sz w:val="108"/>
        </w:rPr>
      </w:pPr>
    </w:p>
    <w:p>
      <w:pPr>
        <w:pStyle w:val="BodyText"/>
        <w:rPr>
          <w:rFonts w:ascii="华文仿宋"/>
          <w:b/>
          <w:sz w:val="108"/>
        </w:rPr>
      </w:pPr>
    </w:p>
    <w:p>
      <w:pPr>
        <w:pStyle w:val="BodyText"/>
        <w:rPr>
          <w:rFonts w:ascii="华文仿宋"/>
          <w:b/>
          <w:sz w:val="108"/>
        </w:rPr>
      </w:pPr>
    </w:p>
    <w:p>
      <w:pPr>
        <w:pStyle w:val="BodyText"/>
        <w:rPr>
          <w:rFonts w:ascii="华文仿宋"/>
          <w:b/>
          <w:sz w:val="108"/>
        </w:rPr>
      </w:pPr>
    </w:p>
    <w:p>
      <w:pPr>
        <w:pStyle w:val="BodyText"/>
        <w:rPr>
          <w:rFonts w:ascii="华文仿宋"/>
          <w:b/>
          <w:sz w:val="108"/>
        </w:rPr>
      </w:pPr>
    </w:p>
    <w:p>
      <w:pPr>
        <w:pStyle w:val="BodyText"/>
        <w:rPr>
          <w:rFonts w:ascii="华文仿宋"/>
          <w:b/>
          <w:sz w:val="108"/>
        </w:rPr>
      </w:pPr>
    </w:p>
    <w:p>
      <w:pPr>
        <w:pStyle w:val="BodyText"/>
        <w:spacing w:before="7"/>
        <w:rPr>
          <w:rFonts w:ascii="华文仿宋"/>
          <w:b/>
          <w:sz w:val="90"/>
        </w:rPr>
      </w:pPr>
    </w:p>
    <w:p>
      <w:pPr>
        <w:spacing w:before="0"/>
        <w:ind w:left="2891" w:right="2884" w:firstLine="0"/>
        <w:jc w:val="center"/>
        <w:rPr>
          <w:rFonts w:ascii="华文仿宋" w:eastAsia="华文仿宋" w:hint="eastAsia"/>
          <w:b/>
          <w:sz w:val="66"/>
        </w:rPr>
      </w:pPr>
      <w:r>
        <w:rPr>
          <w:rFonts w:ascii="华文仿宋" w:eastAsia="华文仿宋" w:hint="eastAsia"/>
          <w:b/>
          <w:sz w:val="66"/>
        </w:rPr>
        <w:t>2023</w:t>
      </w:r>
      <w:r>
        <w:rPr>
          <w:rFonts w:ascii="华文仿宋" w:eastAsia="华文仿宋" w:hint="eastAsia"/>
          <w:b/>
          <w:spacing w:val="1"/>
          <w:sz w:val="66"/>
        </w:rPr>
        <w:t xml:space="preserve"> 年 </w:t>
      </w:r>
      <w:r>
        <w:rPr>
          <w:rFonts w:ascii="华文仿宋" w:eastAsia="华文仿宋" w:hint="eastAsia"/>
          <w:b/>
          <w:sz w:val="66"/>
        </w:rPr>
        <w:t>7</w:t>
      </w:r>
      <w:r>
        <w:rPr>
          <w:rFonts w:ascii="华文仿宋" w:eastAsia="华文仿宋" w:hint="eastAsia"/>
          <w:b/>
          <w:spacing w:val="1"/>
          <w:sz w:val="66"/>
        </w:rPr>
        <w:t xml:space="preserve"> 月</w:t>
      </w:r>
    </w:p>
    <w:p>
      <w:pPr>
        <w:spacing w:after="0"/>
        <w:jc w:val="center"/>
        <w:rPr>
          <w:rFonts w:ascii="华文仿宋" w:eastAsia="华文仿宋" w:hint="eastAsia"/>
          <w:sz w:val="66"/>
        </w:rPr>
        <w:sectPr>
          <w:type w:val="continuous"/>
          <w:pgSz w:w="17860" w:h="25260"/>
          <w:pgMar w:top="2420" w:right="0" w:bottom="280" w:left="0" w:header="708" w:footer="708"/>
          <w:cols w:space="708"/>
        </w:sectPr>
      </w:pPr>
    </w:p>
    <w:p>
      <w:pPr>
        <w:spacing w:before="0" w:line="1032" w:lineRule="exact"/>
        <w:ind w:left="2890" w:right="2884" w:firstLine="0"/>
        <w:jc w:val="center"/>
        <w:rPr>
          <w:b/>
          <w:sz w:val="60"/>
        </w:rPr>
      </w:pPr>
      <w:r>
        <w:rPr>
          <w:b/>
          <w:spacing w:val="-10"/>
          <w:sz w:val="60"/>
        </w:rPr>
        <w:t>目 录</w:t>
      </w:r>
    </w:p>
    <w:p>
      <w:pPr>
        <w:spacing w:after="0" w:line="1032" w:lineRule="exact"/>
        <w:jc w:val="center"/>
        <w:rPr>
          <w:sz w:val="60"/>
        </w:rPr>
        <w:sectPr>
          <w:pgSz w:w="17860" w:h="25260"/>
          <w:pgMar w:top="1080" w:right="0" w:bottom="2307" w:left="0" w:header="708" w:footer="708"/>
          <w:pgNumType w:start="2"/>
          <w:cols w:space="708"/>
        </w:sectPr>
      </w:pPr>
    </w:p>
    <w:sdt>
      <w:sdtPr>
        <w:id w:val="158667608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5311"/>
            </w:tabs>
            <w:spacing w:before="757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“_TOC_250051“ </w:instrText>
          </w:r>
          <w:r>
            <w:fldChar w:fldCharType="separate"/>
          </w:r>
          <w:r>
            <w:t>一、历史沿革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pos="15317"/>
            </w:tabs>
            <w:spacing w:before="331"/>
          </w:pPr>
          <w:r>
            <w:fldChar w:fldCharType="begin"/>
          </w:r>
          <w:r>
            <w:instrText xml:space="preserve">  \l “_TOC_250050“ </w:instrText>
          </w:r>
          <w:r>
            <w:fldChar w:fldCharType="separate"/>
          </w:r>
          <w:r>
            <w:rPr>
              <w:w w:val="105"/>
            </w:rPr>
            <w:t>1</w:t>
          </w:r>
          <w:r>
            <w:rPr>
              <w:rFonts w:ascii="宋体" w:eastAsia="宋体" w:hint="eastAsia"/>
              <w:w w:val="105"/>
            </w:rPr>
            <w:t>、万科：城市综合配套效劳商</w:t>
          </w:r>
          <w:r>
            <w:rPr>
              <w:rFonts w:ascii="宋体" w:eastAsia="宋体" w:hint="eastAsia"/>
              <w:spacing w:val="3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pos="15317"/>
            </w:tabs>
            <w:spacing w:before="240"/>
          </w:pPr>
          <w:r>
            <w:fldChar w:fldCharType="begin"/>
          </w:r>
          <w:r>
            <w:instrText xml:space="preserve">  \l “_TOC_250049“ </w:instrText>
          </w:r>
          <w:r>
            <w:fldChar w:fldCharType="separate"/>
          </w:r>
          <w:r>
            <w:rPr>
              <w:w w:val="105"/>
            </w:rPr>
            <w:t>2</w:t>
          </w:r>
          <w:r>
            <w:rPr>
              <w:rFonts w:ascii="宋体" w:eastAsia="宋体" w:hint="eastAsia"/>
              <w:w w:val="105"/>
            </w:rPr>
            <w:t>、恒大集团：多</w:t>
          </w:r>
          <w:r>
            <w:rPr>
              <w:rFonts w:ascii="宋体" w:eastAsia="宋体" w:hint="eastAsia"/>
              <w:spacing w:val="51"/>
              <w:w w:val="105"/>
            </w:rPr>
            <w:t>元</w:t>
          </w:r>
          <w:r>
            <w:rPr>
              <w:w w:val="105"/>
            </w:rPr>
            <w:t>+</w:t>
          </w:r>
          <w:r>
            <w:rPr>
              <w:rFonts w:ascii="宋体" w:eastAsia="宋体" w:hint="eastAsia"/>
              <w:w w:val="105"/>
            </w:rPr>
            <w:t>规</w:t>
          </w:r>
          <w:r>
            <w:rPr>
              <w:rFonts w:ascii="宋体" w:eastAsia="宋体" w:hint="eastAsia"/>
              <w:spacing w:val="14"/>
              <w:w w:val="105"/>
            </w:rPr>
            <w:t>模</w:t>
          </w:r>
          <w:r>
            <w:rPr>
              <w:w w:val="105"/>
            </w:rPr>
            <w:t>+</w:t>
          </w:r>
          <w:r>
            <w:rPr>
              <w:rFonts w:ascii="宋体" w:eastAsia="宋体" w:hint="eastAsia"/>
              <w:w w:val="105"/>
            </w:rPr>
            <w:t>品牌</w:t>
          </w:r>
          <w:r>
            <w:rPr>
              <w:rFonts w:ascii="宋体" w:eastAsia="宋体" w:hint="eastAsia"/>
              <w:spacing w:val="-70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1</w:t>
          </w:r>
          <w:r>
            <w:fldChar w:fldCharType="end"/>
          </w:r>
        </w:p>
        <w:p>
          <w:pPr>
            <w:pStyle w:val="TOC2"/>
            <w:tabs>
              <w:tab w:val="right" w:pos="15310"/>
            </w:tabs>
            <w:spacing w:before="238"/>
          </w:pPr>
          <w:r>
            <w:fldChar w:fldCharType="begin"/>
          </w:r>
          <w:r>
            <w:instrText xml:space="preserve">  \l “_TOC_250048“ </w:instrText>
          </w:r>
          <w:r>
            <w:fldChar w:fldCharType="separate"/>
          </w:r>
          <w:r>
            <w:rPr>
              <w:w w:val="105"/>
            </w:rPr>
            <w:t>3</w:t>
          </w:r>
          <w:r>
            <w:rPr>
              <w:rFonts w:ascii="宋体" w:eastAsia="宋体" w:hint="eastAsia"/>
              <w:w w:val="105"/>
            </w:rPr>
            <w:t>、碧桂园：型城镇化进程的身体力行者</w:t>
          </w:r>
          <w:r>
            <w:rPr>
              <w:rFonts w:ascii="宋体" w:eastAsia="宋体" w:hint="eastAsia"/>
              <w:spacing w:val="11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2</w:t>
          </w:r>
          <w:r>
            <w:fldChar w:fldCharType="end"/>
          </w:r>
        </w:p>
        <w:p>
          <w:pPr>
            <w:pStyle w:val="TOC1"/>
            <w:tabs>
              <w:tab w:val="right" w:leader="dot" w:pos="15311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“_TOC_250047“ </w:instrText>
          </w:r>
          <w:r>
            <w:fldChar w:fldCharType="separate"/>
          </w:r>
          <w:r>
            <w:t>二、销售篇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3</w:t>
          </w:r>
          <w:r>
            <w:fldChar w:fldCharType="end"/>
          </w:r>
        </w:p>
        <w:p>
          <w:pPr>
            <w:pStyle w:val="TOC2"/>
            <w:tabs>
              <w:tab w:val="right" w:pos="15317"/>
            </w:tabs>
            <w:spacing w:before="330"/>
          </w:pPr>
          <w:r>
            <w:fldChar w:fldCharType="begin"/>
          </w:r>
          <w:r>
            <w:instrText xml:space="preserve">  \l “_TOC_250046“ </w:instrText>
          </w:r>
          <w:r>
            <w:fldChar w:fldCharType="separate"/>
          </w:r>
          <w:r>
            <w:rPr>
              <w:w w:val="105"/>
            </w:rPr>
            <w:t>1</w:t>
          </w:r>
          <w:r>
            <w:rPr>
              <w:rFonts w:ascii="宋体" w:eastAsia="宋体" w:hint="eastAsia"/>
              <w:w w:val="105"/>
            </w:rPr>
            <w:t>、销售成长性比较</w:t>
          </w:r>
          <w:r>
            <w:rPr>
              <w:rFonts w:ascii="宋体" w:eastAsia="宋体" w:hint="eastAsia"/>
              <w:spacing w:val="-20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4</w:t>
          </w:r>
          <w:r>
            <w:fldChar w:fldCharType="end"/>
          </w:r>
        </w:p>
        <w:p>
          <w:pPr>
            <w:pStyle w:val="TOC3"/>
            <w:tabs>
              <w:tab w:val="right" w:pos="15310"/>
            </w:tabs>
            <w:spacing w:before="278"/>
          </w:pPr>
          <w:r>
            <w:fldChar w:fldCharType="begin"/>
          </w:r>
          <w:r>
            <w:instrText xml:space="preserve">  \l “_TOC_250045“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1</w:t>
          </w:r>
          <w:r>
            <w:rPr>
              <w:rFonts w:ascii="黑体" w:eastAsia="黑体" w:hint="eastAsia"/>
              <w:w w:val="110"/>
            </w:rPr>
            <w:t>〕销售规模</w:t>
          </w:r>
          <w:r>
            <w:rPr>
              <w:rFonts w:ascii="黑体" w:eastAsia="黑体" w:hint="eastAsia"/>
              <w:spacing w:val="-52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4</w:t>
          </w:r>
          <w:r>
            <w:fldChar w:fldCharType="end"/>
          </w:r>
        </w:p>
        <w:p>
          <w:pPr>
            <w:pStyle w:val="TOC3"/>
            <w:tabs>
              <w:tab w:val="right" w:pos="15310"/>
            </w:tabs>
            <w:spacing w:before="219"/>
          </w:pPr>
          <w:r>
            <w:fldChar w:fldCharType="begin"/>
          </w:r>
          <w:r>
            <w:instrText xml:space="preserve">  \l “_TOC_250044“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2</w:t>
          </w:r>
          <w:r>
            <w:rPr>
              <w:rFonts w:ascii="黑体" w:eastAsia="黑体" w:hint="eastAsia"/>
              <w:w w:val="110"/>
            </w:rPr>
            <w:t>〕销售均价</w:t>
          </w:r>
          <w:r>
            <w:rPr>
              <w:rFonts w:ascii="黑体" w:eastAsia="黑体" w:hint="eastAsia"/>
              <w:spacing w:val="-52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4</w:t>
          </w:r>
          <w:r>
            <w:fldChar w:fldCharType="end"/>
          </w:r>
        </w:p>
        <w:p>
          <w:pPr>
            <w:pStyle w:val="TOC2"/>
            <w:tabs>
              <w:tab w:val="right" w:pos="15313"/>
            </w:tabs>
          </w:pPr>
          <w:r>
            <w:fldChar w:fldCharType="begin"/>
          </w:r>
          <w:r>
            <w:instrText xml:space="preserve">  \l “_TOC_250043“ </w:instrText>
          </w:r>
          <w:r>
            <w:fldChar w:fldCharType="separate"/>
          </w:r>
          <w:r>
            <w:rPr>
              <w:w w:val="105"/>
            </w:rPr>
            <w:t>2</w:t>
          </w:r>
          <w:r>
            <w:rPr>
              <w:rFonts w:ascii="宋体" w:eastAsia="宋体" w:hint="eastAsia"/>
              <w:w w:val="105"/>
            </w:rPr>
            <w:t>、销售区域构造比较</w:t>
          </w:r>
          <w:r>
            <w:rPr>
              <w:rFonts w:ascii="宋体" w:eastAsia="宋体" w:hint="eastAsia"/>
              <w:spacing w:val="-5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5</w:t>
          </w:r>
          <w:r>
            <w:fldChar w:fldCharType="end"/>
          </w:r>
        </w:p>
        <w:p>
          <w:pPr>
            <w:pStyle w:val="TOC3"/>
            <w:tabs>
              <w:tab w:val="right" w:pos="15310"/>
            </w:tabs>
            <w:spacing w:before="277"/>
          </w:pPr>
          <w:r>
            <w:fldChar w:fldCharType="begin"/>
          </w:r>
          <w:r>
            <w:instrText xml:space="preserve">  \l “_TOC_250042“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1</w:t>
          </w:r>
          <w:r>
            <w:rPr>
              <w:rFonts w:ascii="黑体" w:eastAsia="黑体" w:hint="eastAsia"/>
              <w:w w:val="110"/>
            </w:rPr>
            <w:t>〕万科：区域优化和深耕</w:t>
          </w:r>
          <w:r>
            <w:rPr>
              <w:rFonts w:ascii="黑体" w:eastAsia="黑体" w:hint="eastAsia"/>
              <w:spacing w:val="2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6</w:t>
          </w:r>
          <w:r>
            <w:fldChar w:fldCharType="end"/>
          </w:r>
        </w:p>
        <w:p>
          <w:pPr>
            <w:pStyle w:val="TOC3"/>
            <w:tabs>
              <w:tab w:val="right" w:pos="15317"/>
            </w:tabs>
            <w:spacing w:before="219"/>
          </w:pPr>
          <w:r>
            <w:fldChar w:fldCharType="begin"/>
          </w:r>
          <w:r>
            <w:instrText xml:space="preserve">  \l “_TOC_250041“ </w:instrText>
          </w:r>
          <w:r>
            <w:fldChar w:fldCharType="separate"/>
          </w:r>
          <w:r>
            <w:rPr>
              <w:rFonts w:ascii="黑体" w:eastAsia="黑体" w:hint="eastAsia"/>
              <w:w w:val="105"/>
            </w:rPr>
            <w:t>〔</w:t>
          </w:r>
          <w:r>
            <w:rPr>
              <w:w w:val="105"/>
            </w:rPr>
            <w:t>2</w:t>
          </w:r>
          <w:r>
            <w:rPr>
              <w:rFonts w:ascii="黑体" w:eastAsia="黑体" w:hint="eastAsia"/>
              <w:w w:val="105"/>
            </w:rPr>
            <w:t>〕恒大：</w:t>
          </w:r>
          <w:r>
            <w:rPr>
              <w:rFonts w:ascii="黑体" w:eastAsia="黑体" w:hint="eastAsia"/>
              <w:spacing w:val="-104"/>
              <w:w w:val="105"/>
            </w:rPr>
            <w:t xml:space="preserve"> </w:t>
          </w:r>
          <w:r>
            <w:rPr>
              <w:w w:val="105"/>
            </w:rPr>
            <w:t>2023</w:t>
          </w:r>
          <w:r>
            <w:rPr>
              <w:spacing w:val="4"/>
              <w:w w:val="105"/>
            </w:rPr>
            <w:t xml:space="preserve"> </w:t>
          </w:r>
          <w:r>
            <w:rPr>
              <w:rFonts w:ascii="黑体" w:eastAsia="黑体" w:hint="eastAsia"/>
              <w:w w:val="105"/>
            </w:rPr>
            <w:t>年起向一二线城市转移</w:t>
          </w:r>
          <w:r>
            <w:rPr>
              <w:rFonts w:ascii="黑体" w:eastAsia="黑体" w:hint="eastAsia"/>
              <w:spacing w:val="78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7</w:t>
          </w:r>
          <w:r>
            <w:fldChar w:fldCharType="end"/>
          </w:r>
        </w:p>
        <w:p>
          <w:pPr>
            <w:pStyle w:val="TOC3"/>
            <w:tabs>
              <w:tab w:val="right" w:pos="15320"/>
            </w:tabs>
            <w:spacing w:before="214"/>
          </w:pPr>
          <w:r>
            <w:fldChar w:fldCharType="begin"/>
          </w:r>
          <w:r>
            <w:instrText xml:space="preserve">  \l “_TOC_250040“ </w:instrText>
          </w:r>
          <w:r>
            <w:fldChar w:fldCharType="separate"/>
          </w:r>
          <w:r>
            <w:rPr>
              <w:rFonts w:ascii="黑体" w:eastAsia="黑体" w:hint="eastAsia"/>
              <w:spacing w:val="9"/>
              <w:w w:val="110"/>
            </w:rPr>
            <w:t>〔</w:t>
          </w:r>
          <w:r>
            <w:rPr>
              <w:spacing w:val="9"/>
              <w:w w:val="110"/>
            </w:rPr>
            <w:t>3</w:t>
          </w:r>
          <w:r>
            <w:rPr>
              <w:rFonts w:ascii="黑体" w:eastAsia="黑体" w:hint="eastAsia"/>
              <w:spacing w:val="9"/>
              <w:w w:val="110"/>
            </w:rPr>
            <w:t>〕</w:t>
          </w:r>
          <w:r>
            <w:rPr>
              <w:rFonts w:ascii="黑体" w:eastAsia="黑体" w:hint="eastAsia"/>
              <w:w w:val="110"/>
            </w:rPr>
            <w:t>碧桂园：市场层面挖掘一二线城市潜力</w:t>
          </w:r>
          <w:r>
            <w:rPr>
              <w:rFonts w:ascii="黑体" w:eastAsia="黑体" w:hint="eastAsia"/>
              <w:spacing w:val="63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8</w:t>
          </w:r>
          <w:r>
            <w:fldChar w:fldCharType="end"/>
          </w:r>
        </w:p>
        <w:p>
          <w:pPr>
            <w:pStyle w:val="TOC2"/>
            <w:tabs>
              <w:tab w:val="right" w:pos="15313"/>
            </w:tabs>
          </w:pPr>
          <w:r>
            <w:fldChar w:fldCharType="begin"/>
          </w:r>
          <w:r>
            <w:instrText xml:space="preserve">  \l “_TOC_250039“ </w:instrText>
          </w:r>
          <w:r>
            <w:fldChar w:fldCharType="separate"/>
          </w:r>
          <w:r>
            <w:rPr>
              <w:w w:val="105"/>
            </w:rPr>
            <w:t>3</w:t>
          </w:r>
          <w:r>
            <w:rPr>
              <w:rFonts w:ascii="宋体" w:eastAsia="宋体" w:hint="eastAsia"/>
              <w:w w:val="105"/>
            </w:rPr>
            <w:t>、销售产能比较</w:t>
          </w:r>
          <w:r>
            <w:rPr>
              <w:rFonts w:ascii="宋体" w:eastAsia="宋体" w:hint="eastAsia"/>
              <w:spacing w:val="-14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9</w:t>
          </w:r>
          <w:r>
            <w:fldChar w:fldCharType="end"/>
          </w:r>
        </w:p>
        <w:p>
          <w:pPr>
            <w:pStyle w:val="TOC3"/>
            <w:tabs>
              <w:tab w:val="right" w:pos="15310"/>
            </w:tabs>
            <w:spacing w:before="281"/>
          </w:pPr>
          <w:r>
            <w:fldChar w:fldCharType="begin"/>
          </w:r>
          <w:r>
            <w:instrText xml:space="preserve">  \l “_TOC_250038“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1</w:t>
          </w:r>
          <w:r>
            <w:rPr>
              <w:rFonts w:ascii="黑体" w:eastAsia="黑体" w:hint="eastAsia"/>
              <w:w w:val="110"/>
            </w:rPr>
            <w:t>〕城市产能比较：深耕与纵深</w:t>
          </w:r>
          <w:r>
            <w:rPr>
              <w:rFonts w:ascii="黑体" w:eastAsia="黑体" w:hint="eastAsia"/>
              <w:spacing w:val="19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9</w:t>
          </w:r>
          <w:r>
            <w:fldChar w:fldCharType="end"/>
          </w:r>
        </w:p>
        <w:p>
          <w:pPr>
            <w:pStyle w:val="TOC3"/>
            <w:tabs>
              <w:tab w:val="right" w:pos="15296"/>
            </w:tabs>
          </w:pPr>
          <w:r>
            <w:fldChar w:fldCharType="begin"/>
          </w:r>
          <w:r>
            <w:instrText xml:space="preserve">  \l “_TOC_250037“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2</w:t>
          </w:r>
          <w:r>
            <w:rPr>
              <w:rFonts w:ascii="黑体" w:eastAsia="黑体" w:hint="eastAsia"/>
              <w:w w:val="110"/>
            </w:rPr>
            <w:t>〕单盘产能比较：开发规模的差异</w:t>
          </w:r>
          <w:r>
            <w:rPr>
              <w:rFonts w:ascii="黑体" w:eastAsia="黑体" w:hint="eastAsia"/>
              <w:spacing w:val="10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10</w:t>
          </w:r>
          <w:r>
            <w:fldChar w:fldCharType="end"/>
          </w:r>
        </w:p>
        <w:p>
          <w:pPr>
            <w:pStyle w:val="TOC3"/>
            <w:tabs>
              <w:tab w:val="right" w:pos="15296"/>
            </w:tabs>
          </w:pPr>
          <w:r>
            <w:fldChar w:fldCharType="begin"/>
          </w:r>
          <w:r>
            <w:instrText xml:space="preserve">  \l “_TOC_250036“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3</w:t>
          </w:r>
          <w:r>
            <w:rPr>
              <w:rFonts w:ascii="黑体" w:eastAsia="黑体" w:hint="eastAsia"/>
              <w:w w:val="110"/>
            </w:rPr>
            <w:t>〕可售资源比较：货值与推盘力气</w:t>
          </w:r>
          <w:r>
            <w:rPr>
              <w:rFonts w:ascii="黑体" w:eastAsia="黑体" w:hint="eastAsia"/>
              <w:spacing w:val="10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dot" w:pos="15310"/>
            </w:tabs>
            <w:spacing w:before="123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“_TOC_250035“ </w:instrText>
          </w:r>
          <w:r>
            <w:fldChar w:fldCharType="separate"/>
          </w:r>
          <w:r>
            <w:t>三、布局篇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12</w:t>
          </w:r>
          <w:r>
            <w:fldChar w:fldCharType="end"/>
          </w:r>
        </w:p>
        <w:p>
          <w:pPr>
            <w:pStyle w:val="TOC2"/>
            <w:tabs>
              <w:tab w:val="right" w:pos="15268"/>
            </w:tabs>
            <w:spacing w:before="331"/>
          </w:pPr>
          <w:r>
            <w:fldChar w:fldCharType="begin"/>
          </w:r>
          <w:r>
            <w:instrText xml:space="preserve">  \l “_TOC_250034“ </w:instrText>
          </w:r>
          <w:r>
            <w:fldChar w:fldCharType="separate"/>
          </w:r>
          <w:r>
            <w:rPr>
              <w:w w:val="105"/>
            </w:rPr>
            <w:t>1</w:t>
          </w:r>
          <w:r>
            <w:rPr>
              <w:rFonts w:ascii="宋体" w:eastAsia="宋体" w:hint="eastAsia"/>
              <w:w w:val="105"/>
            </w:rPr>
            <w:t>、扩张节奏比较</w:t>
          </w:r>
          <w:r>
            <w:rPr>
              <w:rFonts w:ascii="宋体" w:eastAsia="宋体" w:hint="eastAsia"/>
              <w:spacing w:val="-17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12</w:t>
          </w:r>
          <w:r>
            <w:fldChar w:fldCharType="end"/>
          </w:r>
        </w:p>
        <w:p>
          <w:pPr>
            <w:pStyle w:val="TOC3"/>
            <w:tabs>
              <w:tab w:val="right" w:pos="15310"/>
            </w:tabs>
            <w:spacing w:before="281"/>
          </w:pPr>
          <w:r>
            <w:fldChar w:fldCharType="begin"/>
          </w:r>
          <w:r>
            <w:instrText xml:space="preserve">  \l “_TOC_250033“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1</w:t>
          </w:r>
          <w:r>
            <w:rPr>
              <w:rFonts w:ascii="黑体" w:eastAsia="黑体" w:hint="eastAsia"/>
              <w:w w:val="110"/>
            </w:rPr>
            <w:t>〕拿地规模</w:t>
          </w:r>
          <w:r>
            <w:rPr>
              <w:rFonts w:ascii="黑体" w:eastAsia="黑体" w:hint="eastAsia"/>
              <w:spacing w:val="-52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spacing w:val="20"/>
              <w:w w:val="110"/>
            </w:rPr>
            <w:t>12</w:t>
          </w:r>
          <w:r>
            <w:fldChar w:fldCharType="end"/>
          </w:r>
        </w:p>
        <w:p>
          <w:pPr>
            <w:pStyle w:val="TOC3"/>
            <w:tabs>
              <w:tab w:val="right" w:pos="15310"/>
            </w:tabs>
          </w:pPr>
          <w:r>
            <w:fldChar w:fldCharType="begin"/>
          </w:r>
          <w:r>
            <w:instrText xml:space="preserve">  \l “_TOC_250032“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2</w:t>
          </w:r>
          <w:r>
            <w:rPr>
              <w:rFonts w:ascii="黑体" w:eastAsia="黑体" w:hint="eastAsia"/>
              <w:w w:val="110"/>
            </w:rPr>
            <w:t>〕拿地本钱</w:t>
          </w:r>
          <w:r>
            <w:rPr>
              <w:rFonts w:ascii="黑体" w:eastAsia="黑体" w:hint="eastAsia"/>
              <w:spacing w:val="-52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spacing w:val="20"/>
              <w:w w:val="110"/>
            </w:rPr>
            <w:t>14</w:t>
          </w:r>
          <w:r>
            <w:fldChar w:fldCharType="end"/>
          </w:r>
        </w:p>
        <w:p>
          <w:pPr>
            <w:pStyle w:val="TOC3"/>
            <w:tabs>
              <w:tab w:val="right" w:pos="15306"/>
            </w:tabs>
            <w:spacing w:before="214"/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3</w:t>
          </w:r>
          <w:r>
            <w:rPr>
              <w:rFonts w:ascii="黑体" w:eastAsia="黑体" w:hint="eastAsia"/>
              <w:w w:val="110"/>
            </w:rPr>
            <w:t>〕扩张节奏感</w:t>
          </w:r>
          <w:r>
            <w:rPr>
              <w:rFonts w:ascii="黑体" w:eastAsia="黑体" w:hint="eastAsia"/>
              <w:spacing w:val="-48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15</w:t>
          </w:r>
          <w:r>
            <w:fldChar w:fldCharType="end"/>
          </w:r>
        </w:p>
        <w:p>
          <w:pPr>
            <w:pStyle w:val="TOC2"/>
            <w:tabs>
              <w:tab w:val="right" w:pos="15306"/>
            </w:tabs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rPr>
              <w:w w:val="105"/>
            </w:rPr>
            <w:t>2</w:t>
          </w:r>
          <w:r>
            <w:rPr>
              <w:rFonts w:ascii="宋体" w:eastAsia="宋体" w:hint="eastAsia"/>
              <w:w w:val="105"/>
            </w:rPr>
            <w:t>、单盘规模比较</w:t>
          </w:r>
          <w:r>
            <w:rPr>
              <w:rFonts w:ascii="宋体" w:eastAsia="宋体" w:hint="eastAsia"/>
              <w:spacing w:val="-19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16</w:t>
          </w:r>
          <w:r>
            <w:fldChar w:fldCharType="end"/>
          </w:r>
        </w:p>
        <w:p>
          <w:pPr>
            <w:pStyle w:val="TOC2"/>
            <w:tabs>
              <w:tab w:val="right" w:pos="15313"/>
            </w:tabs>
            <w:spacing w:before="241"/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rPr>
              <w:w w:val="105"/>
            </w:rPr>
            <w:t>3</w:t>
          </w:r>
          <w:r>
            <w:rPr>
              <w:rFonts w:ascii="宋体" w:eastAsia="宋体" w:hint="eastAsia"/>
              <w:w w:val="105"/>
            </w:rPr>
            <w:t>、扩张模式的特点</w:t>
          </w:r>
          <w:r>
            <w:rPr>
              <w:rFonts w:ascii="宋体" w:eastAsia="宋体" w:hint="eastAsia"/>
              <w:spacing w:val="-16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17</w:t>
          </w:r>
          <w:r>
            <w:fldChar w:fldCharType="end"/>
          </w:r>
        </w:p>
        <w:p>
          <w:pPr>
            <w:pStyle w:val="TOC3"/>
            <w:tabs>
              <w:tab w:val="right" w:pos="15302"/>
            </w:tabs>
            <w:spacing w:before="278"/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rPr>
              <w:rFonts w:ascii="黑体" w:eastAsia="黑体" w:hAnsi="黑体" w:hint="eastAsia"/>
              <w:w w:val="105"/>
            </w:rPr>
            <w:t>〔</w:t>
          </w:r>
          <w:r>
            <w:rPr>
              <w:w w:val="105"/>
            </w:rPr>
            <w:t>1</w:t>
          </w:r>
          <w:r>
            <w:rPr>
              <w:rFonts w:ascii="黑体" w:eastAsia="黑体" w:hAnsi="黑体" w:hint="eastAsia"/>
              <w:w w:val="105"/>
            </w:rPr>
            <w:t>〕万科：聚焦核心城市，加码</w:t>
          </w:r>
          <w:r>
            <w:rPr>
              <w:rFonts w:ascii="黑体" w:eastAsia="黑体" w:hAnsi="黑体" w:hint="eastAsia"/>
              <w:spacing w:val="17"/>
              <w:w w:val="105"/>
            </w:rPr>
            <w:t xml:space="preserve"> </w:t>
          </w:r>
          <w:r>
            <w:rPr>
              <w:rFonts w:ascii="Times New Roman" w:eastAsia="Times New Roman" w:hAnsi="Times New Roman"/>
              <w:spacing w:val="10"/>
              <w:w w:val="105"/>
            </w:rPr>
            <w:t>“</w:t>
          </w:r>
          <w:r>
            <w:rPr>
              <w:rFonts w:ascii="黑体" w:eastAsia="黑体" w:hAnsi="黑体" w:hint="eastAsia"/>
              <w:w w:val="105"/>
            </w:rPr>
            <w:t>轨</w:t>
          </w:r>
          <w:r>
            <w:rPr>
              <w:rFonts w:ascii="黑体" w:eastAsia="黑体" w:hAnsi="黑体" w:hint="eastAsia"/>
              <w:spacing w:val="25"/>
              <w:w w:val="105"/>
            </w:rPr>
            <w:t>道</w:t>
          </w:r>
          <w:r>
            <w:rPr>
              <w:spacing w:val="12"/>
              <w:w w:val="105"/>
            </w:rPr>
            <w:t>+</w:t>
          </w:r>
          <w:r>
            <w:rPr>
              <w:rFonts w:ascii="黑体" w:eastAsia="黑体" w:hAnsi="黑体" w:hint="eastAsia"/>
              <w:w w:val="105"/>
            </w:rPr>
            <w:t>物</w:t>
          </w:r>
          <w:r>
            <w:rPr>
              <w:rFonts w:ascii="黑体" w:eastAsia="黑体" w:hAnsi="黑体" w:hint="eastAsia"/>
              <w:spacing w:val="25"/>
              <w:w w:val="105"/>
            </w:rPr>
            <w:t>业</w:t>
          </w:r>
          <w:r>
            <w:rPr>
              <w:rFonts w:ascii="Times New Roman" w:eastAsia="Times New Roman" w:hAnsi="Times New Roman"/>
              <w:spacing w:val="10"/>
              <w:w w:val="105"/>
            </w:rPr>
            <w:t>”</w:t>
          </w:r>
          <w:r>
            <w:rPr>
              <w:rFonts w:ascii="黑体" w:eastAsia="黑体" w:hAnsi="黑体" w:hint="eastAsia"/>
              <w:w w:val="105"/>
            </w:rPr>
            <w:t>模式</w:t>
          </w:r>
          <w:r>
            <w:rPr>
              <w:rFonts w:ascii="黑体" w:eastAsia="黑体" w:hAnsi="黑体" w:hint="eastAsia"/>
              <w:spacing w:val="-43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</w:t>
          </w:r>
          <w:r>
            <w:rPr>
              <w:rFonts w:ascii="Times New Roman" w:eastAsia="Times New Roman" w:hAnsi="Times New Roman"/>
              <w:w w:val="105"/>
            </w:rPr>
            <w:tab/>
          </w:r>
          <w:r>
            <w:rPr>
              <w:w w:val="105"/>
            </w:rPr>
            <w:t>17</w:t>
          </w:r>
          <w:r>
            <w:fldChar w:fldCharType="end"/>
          </w:r>
        </w:p>
        <w:p>
          <w:pPr>
            <w:pStyle w:val="TOC3"/>
            <w:tabs>
              <w:tab w:val="right" w:pos="15297"/>
            </w:tabs>
            <w:spacing w:before="218"/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2</w:t>
          </w:r>
          <w:r>
            <w:rPr>
              <w:rFonts w:ascii="黑体" w:eastAsia="黑体" w:hint="eastAsia"/>
              <w:w w:val="110"/>
            </w:rPr>
            <w:t>〕恒大：转型核心城市，加码旧改市场</w:t>
          </w:r>
          <w:r>
            <w:rPr>
              <w:rFonts w:ascii="黑体" w:eastAsia="黑体" w:hint="eastAsia"/>
              <w:spacing w:val="24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21</w:t>
          </w:r>
          <w:r>
            <w:fldChar w:fldCharType="end"/>
          </w:r>
        </w:p>
        <w:p>
          <w:pPr>
            <w:pStyle w:val="TOC3"/>
            <w:tabs>
              <w:tab w:val="right" w:pos="15305"/>
            </w:tabs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3</w:t>
          </w:r>
          <w:r>
            <w:rPr>
              <w:rFonts w:ascii="黑体" w:eastAsia="黑体" w:hint="eastAsia"/>
              <w:w w:val="110"/>
            </w:rPr>
            <w:t>〕碧桂园：城市化进程的力行者</w:t>
          </w:r>
          <w:r>
            <w:rPr>
              <w:rFonts w:ascii="黑体" w:eastAsia="黑体" w:hint="eastAsia"/>
              <w:spacing w:val="4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23</w:t>
          </w:r>
          <w:r>
            <w:fldChar w:fldCharType="end"/>
          </w:r>
        </w:p>
        <w:p>
          <w:pPr>
            <w:pStyle w:val="TOC2"/>
            <w:tabs>
              <w:tab w:val="right" w:pos="15268"/>
            </w:tabs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rPr>
              <w:w w:val="105"/>
            </w:rPr>
            <w:t>4</w:t>
          </w:r>
          <w:r>
            <w:rPr>
              <w:rFonts w:ascii="宋体" w:eastAsia="宋体" w:hint="eastAsia"/>
              <w:w w:val="105"/>
            </w:rPr>
            <w:t>、海外布局状况</w:t>
          </w:r>
          <w:r>
            <w:rPr>
              <w:rFonts w:ascii="宋体" w:eastAsia="宋体" w:hint="eastAsia"/>
              <w:spacing w:val="-17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24</w:t>
          </w:r>
          <w:r>
            <w:fldChar w:fldCharType="end"/>
          </w:r>
        </w:p>
        <w:p>
          <w:pPr>
            <w:pStyle w:val="TOC1"/>
            <w:tabs>
              <w:tab w:val="right" w:leader="dot" w:pos="15313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四、业绩篇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27</w:t>
          </w:r>
          <w:r>
            <w:fldChar w:fldCharType="end"/>
          </w:r>
        </w:p>
        <w:p>
          <w:pPr>
            <w:pStyle w:val="TOC2"/>
            <w:tabs>
              <w:tab w:val="right" w:pos="15306"/>
            </w:tabs>
            <w:spacing w:before="327"/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rPr>
              <w:w w:val="105"/>
            </w:rPr>
            <w:t>1</w:t>
          </w:r>
          <w:r>
            <w:rPr>
              <w:rFonts w:ascii="宋体" w:eastAsia="宋体" w:hint="eastAsia"/>
              <w:w w:val="105"/>
            </w:rPr>
            <w:t>、结算业绩比较</w:t>
          </w:r>
          <w:r>
            <w:rPr>
              <w:rFonts w:ascii="宋体" w:eastAsia="宋体" w:hint="eastAsia"/>
              <w:spacing w:val="-19"/>
              <w:w w:val="105"/>
            </w:rPr>
            <w:t xml:space="preserve"> </w:t>
          </w:r>
          <w:r>
            <w:rPr>
              <w:w w:val="105"/>
            </w:rPr>
            <w:t>..................................................................................................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w w:val="105"/>
            </w:rPr>
            <w:t>27</w:t>
          </w:r>
          <w:r>
            <w:fldChar w:fldCharType="end"/>
          </w:r>
        </w:p>
        <w:p>
          <w:pPr>
            <w:pStyle w:val="TOC3"/>
            <w:tabs>
              <w:tab w:val="right" w:pos="15302"/>
            </w:tabs>
            <w:spacing w:before="281" w:after="20"/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w w:val="110"/>
            </w:rPr>
            <w:t>1</w:t>
          </w:r>
          <w:r>
            <w:rPr>
              <w:rFonts w:ascii="黑体" w:eastAsia="黑体" w:hint="eastAsia"/>
              <w:w w:val="110"/>
            </w:rPr>
            <w:t>〕结算规模</w:t>
          </w:r>
          <w:r>
            <w:rPr>
              <w:rFonts w:ascii="黑体" w:eastAsia="黑体" w:hint="eastAsia"/>
              <w:spacing w:val="-52"/>
              <w:w w:val="110"/>
            </w:rPr>
            <w:t xml:space="preserve"> </w:t>
          </w:r>
          <w:r>
            <w:rPr>
              <w:w w:val="110"/>
            </w:rPr>
            <w:t>...................................................................................................................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w w:val="110"/>
            </w:rPr>
            <w:t>27</w:t>
          </w:r>
          <w:r>
            <w:fldChar w:fldCharType="end"/>
          </w:r>
        </w:p>
        <w:p>
          <w:pPr>
            <w:pStyle w:val="TOC3"/>
            <w:tabs>
              <w:tab w:val="right" w:pos="15302"/>
            </w:tabs>
            <w:spacing w:before="76"/>
            <w:rPr>
              <w:rFonts w:ascii="Garamond" w:eastAsia="Garamond"/>
            </w:rPr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rPr>
              <w:rFonts w:ascii="黑体" w:eastAsia="黑体" w:hint="eastAsia"/>
              <w:w w:val="110"/>
            </w:rPr>
            <w:t>〔</w:t>
          </w:r>
          <w:r>
            <w:rPr>
              <w:rFonts w:ascii="Garamond" w:eastAsia="Garamond"/>
              <w:w w:val="110"/>
            </w:rPr>
            <w:t>2</w:t>
          </w:r>
          <w:r>
            <w:rPr>
              <w:rFonts w:ascii="黑体" w:eastAsia="黑体" w:hint="eastAsia"/>
              <w:w w:val="110"/>
            </w:rPr>
            <w:t>〕结算均价</w:t>
          </w:r>
          <w:r>
            <w:rPr>
              <w:rFonts w:ascii="黑体" w:eastAsia="黑体" w:hint="eastAsia"/>
              <w:spacing w:val="-20"/>
              <w:w w:val="110"/>
            </w:rPr>
            <w:t xml:space="preserve"> </w:t>
          </w:r>
          <w:r>
            <w:rPr>
              <w:rFonts w:ascii="Garamond" w:eastAsia="Garamond"/>
              <w:w w:val="110"/>
            </w:rPr>
            <w:t>...................................................................................................................</w:t>
          </w:r>
          <w:r>
            <w:rPr>
              <w:rFonts w:ascii="Times New Roman" w:eastAsia="Times New Roman"/>
              <w:w w:val="110"/>
            </w:rPr>
            <w:tab/>
          </w:r>
          <w:r>
            <w:rPr>
              <w:rFonts w:ascii="Garamond" w:eastAsia="Garamond"/>
              <w:w w:val="110"/>
            </w:rPr>
            <w:t>28</w:t>
          </w:r>
          <w:r>
            <w:fldChar w:fldCharType="end"/>
          </w:r>
        </w:p>
        <w:p>
          <w:pPr>
            <w:pStyle w:val="TOC2"/>
            <w:tabs>
              <w:tab w:val="right" w:pos="15306"/>
            </w:tabs>
            <w:spacing w:before="179"/>
            <w:rPr>
              <w:rFonts w:ascii="Garamond" w:eastAsia="Garamond"/>
            </w:rPr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rPr>
              <w:rFonts w:ascii="Garamond" w:eastAsia="Garamond"/>
              <w:w w:val="105"/>
            </w:rPr>
            <w:t>2</w:t>
          </w:r>
          <w:r>
            <w:rPr>
              <w:rFonts w:ascii="宋体" w:eastAsia="宋体" w:hint="eastAsia"/>
              <w:w w:val="105"/>
            </w:rPr>
            <w:t>、盈利质量比较</w:t>
          </w:r>
          <w:r>
            <w:rPr>
              <w:rFonts w:ascii="宋体" w:eastAsia="宋体" w:hint="eastAsia"/>
              <w:spacing w:val="30"/>
              <w:w w:val="105"/>
            </w:rPr>
            <w:t xml:space="preserve"> </w:t>
          </w:r>
          <w:r>
            <w:rPr>
              <w:rFonts w:ascii="Garamond" w:eastAsia="Garamond"/>
              <w:w w:val="105"/>
            </w:rPr>
            <w:t>..................................................................................................</w:t>
          </w:r>
          <w:r>
            <w:rPr>
              <w:rFonts w:ascii="Times New Roman" w:eastAsia="Times New Roman"/>
              <w:w w:val="105"/>
            </w:rPr>
            <w:tab/>
          </w:r>
          <w:r>
            <w:rPr>
              <w:rFonts w:ascii="Garamond" w:eastAsia="Garamond"/>
              <w:w w:val="105"/>
            </w:rPr>
            <w:t>29</w:t>
          </w:r>
          <w:r>
            <w:fldChar w:fldCharType="end"/>
          </w:r>
          <w:r>
            <w:rPr>
              <w:rFonts w:ascii="Garamond" w:eastAsia="Garamond"/>
            </w:rPr>
            <w:br/>
          </w:r>
          <w:r>
            <w:rPr>
              <w:rFonts w:ascii="Garamond" w:eastAsia="Garamond"/>
            </w:rP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5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https://d.book118.com/478122066036006023</w:t>
            </w:r>
          </w:hyperlink>
        </w:p>
        <w:p>
          <w:pPr>
            <w:pStyle w:val="TOC2"/>
            <w:tabs>
              <w:tab w:val="right" w:pos="15306"/>
            </w:tabs>
            <w:spacing w:before="179"/>
            <w:rPr>
              <w:rFonts w:ascii="Garamond" w:eastAsia="Garamond"/>
            </w:rPr>
          </w:pPr>
        </w:p>
      </w:sdtContent>
    </w:sdt>
    <w:sectPr>
      <w:type w:val="continuous"/>
      <w:pgSz w:w="17860" w:h="25260"/>
      <w:pgMar w:top="1360" w:right="0" w:bottom="2307" w:left="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华文仿宋">
    <w:altName w:val="华文仿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5D724"/>
    <w:multiLevelType w:val="hybridMultilevel"/>
    <w:tmpl w:val="00000000"/>
    <w:lvl w:ilvl="0">
      <w:start w:val="1"/>
      <w:numFmt w:val="decimal"/>
      <w:lvlText w:val="（%1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1056"/>
      </w:pPr>
      <w:rPr>
        <w:rFonts w:hint="default"/>
      </w:rPr>
    </w:lvl>
  </w:abstractNum>
  <w:abstractNum w:abstractNumId="1">
    <w:nsid w:val="15D98A70"/>
    <w:multiLevelType w:val="hybridMultilevel"/>
    <w:tmpl w:val="00000000"/>
    <w:lvl w:ilvl="0">
      <w:start w:val="1"/>
      <w:numFmt w:val="decimal"/>
      <w:lvlText w:val="（%1）"/>
      <w:lvlJc w:val="left"/>
      <w:pPr>
        <w:ind w:left="3608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931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2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7" w:hanging="1056"/>
      </w:pPr>
      <w:rPr>
        <w:rFonts w:hint="default"/>
      </w:rPr>
    </w:lvl>
  </w:abstractNum>
  <w:abstractNum w:abstractNumId="2">
    <w:nsid w:val="1B368E27"/>
    <w:multiLevelType w:val="hybridMultilevel"/>
    <w:tmpl w:val="00000000"/>
    <w:lvl w:ilvl="0">
      <w:start w:val="1"/>
      <w:numFmt w:val="decimal"/>
      <w:lvlText w:val="%1"/>
      <w:lvlJc w:val="left"/>
      <w:pPr>
        <w:ind w:left="2553" w:hanging="634"/>
        <w:jc w:val="left"/>
      </w:pPr>
      <w:rPr>
        <w:rFonts w:hint="default"/>
      </w:rPr>
    </w:lvl>
    <w:lvl w:ilvl="1">
      <w:start w:val="0"/>
      <w:numFmt w:val="decimal"/>
      <w:lvlText w:val="%1.%2"/>
      <w:lvlJc w:val="left"/>
      <w:pPr>
        <w:ind w:left="2553" w:hanging="634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1"/>
      <w:numFmt w:val="decimal"/>
      <w:lvlText w:val="（%3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7422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7" w:hanging="1056"/>
      </w:pPr>
      <w:rPr>
        <w:rFonts w:hint="default"/>
      </w:rPr>
    </w:lvl>
  </w:abstractNum>
  <w:abstractNum w:abstractNumId="3">
    <w:nsid w:val="1F639D95"/>
    <w:multiLevelType w:val="hybridMultilevel"/>
    <w:tmpl w:val="00000000"/>
    <w:lvl w:ilvl="0">
      <w:start w:val="1"/>
      <w:numFmt w:val="decimal"/>
      <w:lvlText w:val="（%1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1056"/>
      </w:pPr>
      <w:rPr>
        <w:rFonts w:hint="default"/>
      </w:rPr>
    </w:lvl>
  </w:abstractNum>
  <w:abstractNum w:abstractNumId="4">
    <w:nsid w:val="3565D3FB"/>
    <w:multiLevelType w:val="hybridMultilevel"/>
    <w:tmpl w:val="00000000"/>
    <w:lvl w:ilvl="0">
      <w:start w:val="1"/>
      <w:numFmt w:val="decimal"/>
      <w:lvlText w:val="（%1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1056"/>
      </w:pPr>
      <w:rPr>
        <w:rFonts w:hint="default"/>
      </w:rPr>
    </w:lvl>
  </w:abstractNum>
  <w:abstractNum w:abstractNumId="5">
    <w:nsid w:val="64F3E048"/>
    <w:multiLevelType w:val="hybridMultilevel"/>
    <w:tmpl w:val="00000000"/>
    <w:lvl w:ilvl="0">
      <w:start w:val="1"/>
      <w:numFmt w:val="decimal"/>
      <w:lvlText w:val="（%1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1056"/>
      </w:pPr>
      <w:rPr>
        <w:rFonts w:hint="default"/>
      </w:rPr>
    </w:lvl>
  </w:abstractNum>
  <w:abstractNum w:abstractNumId="6">
    <w:nsid w:val="682F03A6"/>
    <w:multiLevelType w:val="hybridMultilevel"/>
    <w:tmpl w:val="00000000"/>
    <w:lvl w:ilvl="0">
      <w:start w:val="37"/>
      <w:numFmt w:val="decimal"/>
      <w:lvlText w:val="%1"/>
      <w:lvlJc w:val="left"/>
      <w:pPr>
        <w:ind w:left="2553" w:hanging="843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553" w:hanging="843"/>
        <w:jc w:val="left"/>
      </w:pPr>
      <w:rPr>
        <w:rFonts w:ascii="Arial Narrow" w:eastAsia="Arial Narrow" w:hAnsi="Arial Narrow" w:cs="Arial Narrow" w:hint="default"/>
        <w:w w:val="109"/>
        <w:sz w:val="42"/>
        <w:szCs w:val="42"/>
      </w:rPr>
    </w:lvl>
    <w:lvl w:ilvl="2">
      <w:start w:val="1"/>
      <w:numFmt w:val="decimal"/>
      <w:lvlText w:val="（%3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3">
      <w:start w:val="0"/>
      <w:numFmt w:val="bullet"/>
      <w:lvlText w:val="•"/>
      <w:lvlJc w:val="left"/>
      <w:pPr>
        <w:ind w:left="7422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3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4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5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6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7" w:hanging="1056"/>
      </w:pPr>
      <w:rPr>
        <w:rFonts w:hint="default"/>
      </w:rPr>
    </w:lvl>
  </w:abstractNum>
  <w:abstractNum w:abstractNumId="7">
    <w:nsid w:val="74B3C29E"/>
    <w:multiLevelType w:val="hybridMultilevel"/>
    <w:tmpl w:val="00000000"/>
    <w:lvl w:ilvl="0">
      <w:start w:val="1"/>
      <w:numFmt w:val="decimal"/>
      <w:lvlText w:val="（%1）"/>
      <w:lvlJc w:val="left"/>
      <w:pPr>
        <w:ind w:left="4447" w:hanging="1056"/>
        <w:jc w:val="left"/>
      </w:pPr>
      <w:rPr>
        <w:rFonts w:ascii="微软雅黑" w:eastAsia="微软雅黑" w:hAnsi="微软雅黑" w:cs="微软雅黑" w:hint="default"/>
        <w:b/>
        <w:bCs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5781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123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465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807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14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91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83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75" w:hanging="1056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189"/>
      <w:ind w:left="2553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TOC2">
    <w:name w:val="TOC 2"/>
    <w:basedOn w:val="Normal"/>
    <w:uiPriority w:val="1"/>
    <w:qFormat/>
    <w:pPr>
      <w:spacing w:before="175"/>
      <w:ind w:left="2553"/>
    </w:pPr>
    <w:rPr>
      <w:rFonts w:ascii="Arial Narrow" w:eastAsia="Arial Narrow" w:hAnsi="Arial Narrow" w:cs="Arial Narrow"/>
      <w:sz w:val="36"/>
      <w:szCs w:val="36"/>
    </w:rPr>
  </w:style>
  <w:style w:type="paragraph" w:customStyle="1" w:styleId="TOC3">
    <w:name w:val="TOC 3"/>
    <w:basedOn w:val="Normal"/>
    <w:uiPriority w:val="1"/>
    <w:qFormat/>
    <w:pPr>
      <w:spacing w:before="215"/>
      <w:ind w:left="2553"/>
    </w:pPr>
    <w:rPr>
      <w:rFonts w:ascii="Arial Narrow" w:eastAsia="Arial Narrow" w:hAnsi="Arial Narrow" w:cs="Arial Narrow"/>
      <w:sz w:val="31"/>
      <w:szCs w:val="31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553"/>
      <w:outlineLvl w:val="1"/>
    </w:pPr>
    <w:rPr>
      <w:rFonts w:ascii="宋体" w:eastAsia="宋体" w:hAnsi="宋体" w:cs="宋体"/>
      <w:b/>
      <w:bCs/>
      <w:sz w:val="54"/>
      <w:szCs w:val="54"/>
    </w:rPr>
  </w:style>
  <w:style w:type="paragraph" w:customStyle="1" w:styleId="Heading2">
    <w:name w:val="Heading 2"/>
    <w:basedOn w:val="Normal"/>
    <w:uiPriority w:val="1"/>
    <w:qFormat/>
    <w:pPr>
      <w:ind w:left="3456"/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4447" w:hanging="1057"/>
      <w:outlineLvl w:val="3"/>
    </w:pPr>
    <w:rPr>
      <w:rFonts w:ascii="微软雅黑" w:eastAsia="微软雅黑" w:hAnsi="微软雅黑" w:cs="微软雅黑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before="90"/>
      <w:ind w:left="1952" w:right="5726"/>
    </w:pPr>
    <w:rPr>
      <w:rFonts w:ascii="华文仿宋" w:eastAsia="华文仿宋" w:hAnsi="华文仿宋" w:cs="华文仿宋"/>
      <w:b/>
      <w:bCs/>
      <w:sz w:val="84"/>
      <w:szCs w:val="84"/>
    </w:rPr>
  </w:style>
  <w:style w:type="paragraph" w:styleId="ListParagraph">
    <w:name w:val="List Paragraph"/>
    <w:basedOn w:val="Normal"/>
    <w:uiPriority w:val="1"/>
    <w:qFormat/>
    <w:pPr>
      <w:ind w:left="4447" w:hanging="1057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47812206603600602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2023-07-29T15:15:54Z</dcterms:created>
  <dcterms:modified xsi:type="dcterms:W3CDTF">2023-07-29T15:15:54Z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2022-11-03T00:00:00Z</vt:filetime>
  </property>
  <property fmtid="{D5CDD505-2E9C-101B-9397-08002B2CF9AE}" pid="3" name="LastSaved">
    <vt:filetime>2023-07-29T00:00:00Z</vt:filetime>
  </property>
</Properties>
</file>