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A93329" w:rsidRPr="00953EEF" w:rsidP="00953EEF">
      <w:pPr>
        <w:spacing w:line="360" w:lineRule="auto"/>
        <w:ind w:firstLine="720" w:firstLineChars="200"/>
        <w:jc w:val="center"/>
        <w:rPr>
          <w:rFonts w:ascii="宋体" w:hAnsi="宋体" w:cs="黑体" w:hint="eastAsia"/>
          <w:b/>
          <w:sz w:val="36"/>
          <w:szCs w:val="24"/>
        </w:rPr>
      </w:pPr>
      <w:r w:rsidRPr="00953EEF">
        <w:rPr>
          <w:rFonts w:ascii="宋体" w:hAnsi="宋体" w:cs="黑体" w:hint="eastAsia"/>
          <w:b/>
          <w:sz w:val="36"/>
          <w:szCs w:val="24"/>
        </w:rPr>
        <w:t>《电分析技术》课程标准</w:t>
      </w:r>
    </w:p>
    <w:p w:rsidR="00953EEF" w:rsidRPr="00953EEF" w:rsidP="00953EEF">
      <w:pPr>
        <w:spacing w:line="360" w:lineRule="auto"/>
        <w:ind w:firstLine="480" w:firstLineChars="200"/>
        <w:jc w:val="center"/>
        <w:rPr>
          <w:rFonts w:ascii="宋体" w:hAnsi="宋体" w:cs="黑体" w:hint="eastAsia"/>
          <w:sz w:val="24"/>
          <w:szCs w:val="24"/>
        </w:rPr>
      </w:pPr>
    </w:p>
    <w:p w:rsidR="00A93329" w:rsidRPr="00953EEF" w:rsidP="00953EEF">
      <w:pPr>
        <w:spacing w:line="360" w:lineRule="auto"/>
        <w:ind w:firstLine="480" w:firstLineChars="200"/>
        <w:rPr>
          <w:rFonts w:ascii="宋体" w:hAnsi="宋体"/>
          <w:sz w:val="24"/>
          <w:szCs w:val="24"/>
        </w:rPr>
      </w:pPr>
      <w:r w:rsidRPr="00953EEF">
        <w:rPr>
          <w:rFonts w:ascii="宋体" w:hAnsi="宋体"/>
          <w:sz w:val="24"/>
          <w:szCs w:val="24"/>
        </w:rPr>
        <w:t>课程编码：B0302</w:t>
      </w:r>
      <w:r w:rsidRPr="00953EEF">
        <w:rPr>
          <w:rFonts w:ascii="宋体" w:hAnsi="宋体" w:hint="eastAsia"/>
          <w:sz w:val="24"/>
          <w:szCs w:val="24"/>
        </w:rPr>
        <w:t>320</w:t>
      </w:r>
      <w:r w:rsidRPr="00953EEF">
        <w:rPr>
          <w:rFonts w:ascii="宋体" w:hAnsi="宋体"/>
          <w:sz w:val="24"/>
          <w:szCs w:val="24"/>
        </w:rPr>
        <w:t>课程类别：专业</w:t>
      </w:r>
      <w:r w:rsidRPr="00953EEF">
        <w:rPr>
          <w:rFonts w:ascii="宋体" w:hAnsi="宋体" w:hint="eastAsia"/>
          <w:sz w:val="24"/>
          <w:szCs w:val="24"/>
        </w:rPr>
        <w:t>基础课程</w:t>
      </w:r>
    </w:p>
    <w:p w:rsidR="00A93329" w:rsidRPr="00953EEF" w:rsidP="00953EEF">
      <w:pPr>
        <w:spacing w:line="360" w:lineRule="auto"/>
        <w:ind w:firstLine="480" w:firstLineChars="200"/>
        <w:rPr>
          <w:rFonts w:ascii="宋体" w:hAnsi="宋体" w:hint="eastAsia"/>
          <w:bCs/>
          <w:color w:val="0D0D0D"/>
          <w:kern w:val="0"/>
          <w:sz w:val="24"/>
          <w:szCs w:val="24"/>
        </w:rPr>
      </w:pPr>
      <w:r w:rsidRPr="00953EEF">
        <w:rPr>
          <w:rFonts w:ascii="宋体" w:hAnsi="宋体"/>
          <w:bCs/>
          <w:color w:val="0D0D0D"/>
          <w:kern w:val="0"/>
          <w:sz w:val="24"/>
          <w:szCs w:val="24"/>
        </w:rPr>
        <w:t>授课系（部）：</w:t>
      </w:r>
      <w:r w:rsidRPr="00953EEF">
        <w:rPr>
          <w:rFonts w:ascii="宋体" w:hAnsi="宋体" w:hint="eastAsia"/>
          <w:bCs/>
          <w:color w:val="0D0D0D"/>
          <w:kern w:val="0"/>
          <w:sz w:val="24"/>
          <w:szCs w:val="24"/>
        </w:rPr>
        <w:t>药品与环境工程学院</w:t>
      </w:r>
      <w:r w:rsidRPr="00953EEF">
        <w:rPr>
          <w:rFonts w:ascii="宋体" w:hAnsi="宋体"/>
          <w:bCs/>
          <w:color w:val="0D0D0D"/>
          <w:kern w:val="0"/>
          <w:sz w:val="24"/>
          <w:szCs w:val="24"/>
        </w:rPr>
        <w:t>学分学时：</w:t>
      </w:r>
      <w:r w:rsidRPr="00953EEF">
        <w:rPr>
          <w:rFonts w:ascii="宋体" w:hAnsi="宋体" w:hint="eastAsia"/>
          <w:bCs/>
          <w:color w:val="0D0D0D"/>
          <w:kern w:val="0"/>
          <w:sz w:val="24"/>
          <w:szCs w:val="24"/>
        </w:rPr>
        <w:t>2学分，42学时</w:t>
      </w:r>
    </w:p>
    <w:p w:rsidR="00A93329" w:rsidRPr="00953EEF" w:rsidP="00953EEF">
      <w:pPr>
        <w:spacing w:line="360" w:lineRule="auto"/>
        <w:ind w:firstLine="480" w:firstLineChars="200"/>
        <w:rPr>
          <w:rFonts w:ascii="宋体" w:hAnsi="宋体" w:cs="宋体" w:hint="eastAsia"/>
          <w:b/>
          <w:sz w:val="24"/>
          <w:szCs w:val="24"/>
        </w:rPr>
      </w:pPr>
      <w:r w:rsidRPr="00953EEF">
        <w:rPr>
          <w:rFonts w:ascii="宋体" w:hAnsi="宋体" w:cs="宋体" w:hint="eastAsia"/>
          <w:b/>
          <w:sz w:val="24"/>
          <w:szCs w:val="24"/>
        </w:rPr>
        <w:t>一、课程定位与作用</w:t>
      </w:r>
    </w:p>
    <w:p w:rsidR="00A93329" w:rsidRPr="00953EEF" w:rsidP="00953EEF">
      <w:pPr>
        <w:spacing w:line="360" w:lineRule="auto"/>
        <w:ind w:firstLine="480" w:firstLineChars="200"/>
        <w:rPr>
          <w:rFonts w:ascii="宋体" w:hAnsi="宋体" w:hint="eastAsia"/>
          <w:b/>
          <w:sz w:val="24"/>
          <w:szCs w:val="24"/>
        </w:rPr>
      </w:pPr>
      <w:r w:rsidRPr="00953EEF">
        <w:rPr>
          <w:rFonts w:ascii="宋体" w:hAnsi="宋体" w:hint="eastAsia"/>
          <w:b/>
          <w:sz w:val="24"/>
          <w:szCs w:val="24"/>
        </w:rPr>
        <w:t>1.</w:t>
      </w:r>
      <w:r w:rsidRPr="00953EEF">
        <w:rPr>
          <w:rFonts w:ascii="宋体" w:hAnsi="宋体"/>
          <w:b/>
          <w:sz w:val="24"/>
          <w:szCs w:val="24"/>
        </w:rPr>
        <w:t>课程的</w:t>
      </w:r>
      <w:r w:rsidRPr="00953EEF">
        <w:rPr>
          <w:rFonts w:ascii="宋体" w:hAnsi="宋体" w:hint="eastAsia"/>
          <w:b/>
          <w:sz w:val="24"/>
          <w:szCs w:val="24"/>
        </w:rPr>
        <w:t>定位</w:t>
      </w:r>
    </w:p>
    <w:p w:rsidR="00A93329" w:rsidRPr="00953EEF" w:rsidP="00953EEF">
      <w:pPr>
        <w:spacing w:line="360" w:lineRule="auto"/>
        <w:ind w:firstLine="480" w:firstLineChars="200"/>
        <w:rPr>
          <w:rFonts w:ascii="宋体" w:hAnsi="宋体"/>
          <w:sz w:val="24"/>
          <w:szCs w:val="24"/>
        </w:rPr>
      </w:pPr>
      <w:r w:rsidRPr="00953EEF">
        <w:rPr>
          <w:rFonts w:ascii="宋体" w:hAnsi="宋体"/>
          <w:sz w:val="24"/>
          <w:szCs w:val="24"/>
        </w:rPr>
        <w:t>《</w:t>
      </w:r>
      <w:r w:rsidRPr="00953EEF">
        <w:rPr>
          <w:rFonts w:ascii="宋体" w:hAnsi="宋体" w:hint="eastAsia"/>
          <w:sz w:val="24"/>
          <w:szCs w:val="24"/>
        </w:rPr>
        <w:t>电</w:t>
      </w:r>
      <w:r w:rsidRPr="00953EEF">
        <w:rPr>
          <w:rFonts w:ascii="宋体" w:hAnsi="宋体"/>
          <w:sz w:val="24"/>
          <w:szCs w:val="24"/>
        </w:rPr>
        <w:t>分析</w:t>
      </w:r>
      <w:r w:rsidRPr="00953EEF">
        <w:rPr>
          <w:rFonts w:ascii="宋体" w:hAnsi="宋体" w:hint="eastAsia"/>
          <w:sz w:val="24"/>
          <w:szCs w:val="24"/>
        </w:rPr>
        <w:t>技术</w:t>
      </w:r>
      <w:r w:rsidRPr="00953EEF">
        <w:rPr>
          <w:rFonts w:ascii="宋体" w:hAnsi="宋体"/>
          <w:sz w:val="24"/>
          <w:szCs w:val="24"/>
        </w:rPr>
        <w:t>》课程是工业分析</w:t>
      </w:r>
      <w:r w:rsidRPr="00953EEF">
        <w:rPr>
          <w:rFonts w:ascii="宋体" w:hAnsi="宋体" w:hint="eastAsia"/>
          <w:sz w:val="24"/>
          <w:szCs w:val="24"/>
        </w:rPr>
        <w:t>技术</w:t>
      </w:r>
      <w:r w:rsidRPr="00953EEF">
        <w:rPr>
          <w:rFonts w:ascii="宋体" w:hAnsi="宋体"/>
          <w:sz w:val="24"/>
          <w:szCs w:val="24"/>
        </w:rPr>
        <w:t>专业课程体系中专业</w:t>
      </w:r>
      <w:r w:rsidRPr="00953EEF">
        <w:rPr>
          <w:rFonts w:ascii="宋体" w:hAnsi="宋体" w:hint="eastAsia"/>
          <w:sz w:val="24"/>
          <w:szCs w:val="24"/>
        </w:rPr>
        <w:t>基础</w:t>
      </w:r>
      <w:r w:rsidRPr="00953EEF">
        <w:rPr>
          <w:rFonts w:ascii="宋体" w:hAnsi="宋体"/>
          <w:sz w:val="24"/>
          <w:szCs w:val="24"/>
        </w:rPr>
        <w:t>课程之一，</w:t>
      </w:r>
      <w:r w:rsidRPr="00953EEF">
        <w:rPr>
          <w:rFonts w:ascii="宋体" w:hAnsi="宋体" w:hint="eastAsia"/>
          <w:sz w:val="24"/>
          <w:szCs w:val="24"/>
        </w:rPr>
        <w:t>是</w:t>
      </w:r>
      <w:r w:rsidRPr="00953EEF">
        <w:rPr>
          <w:rFonts w:ascii="宋体" w:hAnsi="宋体"/>
          <w:sz w:val="24"/>
          <w:szCs w:val="24"/>
        </w:rPr>
        <w:t>一门</w:t>
      </w:r>
      <w:r w:rsidRPr="00953EEF">
        <w:rPr>
          <w:rFonts w:ascii="宋体" w:hAnsi="宋体" w:hint="eastAsia"/>
          <w:sz w:val="24"/>
          <w:szCs w:val="24"/>
        </w:rPr>
        <w:t>专业性、</w:t>
      </w:r>
      <w:r w:rsidRPr="00953EEF">
        <w:rPr>
          <w:rFonts w:ascii="宋体" w:hAnsi="宋体"/>
          <w:sz w:val="24"/>
          <w:szCs w:val="24"/>
        </w:rPr>
        <w:t>实践性</w:t>
      </w:r>
      <w:r w:rsidRPr="00953EEF">
        <w:rPr>
          <w:rFonts w:ascii="宋体" w:hAnsi="宋体" w:hint="eastAsia"/>
          <w:sz w:val="24"/>
          <w:szCs w:val="24"/>
        </w:rPr>
        <w:t>、</w:t>
      </w:r>
      <w:r w:rsidRPr="00953EEF">
        <w:rPr>
          <w:rFonts w:ascii="宋体" w:hAnsi="宋体"/>
          <w:sz w:val="24"/>
          <w:szCs w:val="24"/>
        </w:rPr>
        <w:t>技术性非常强的课程</w:t>
      </w:r>
      <w:r w:rsidRPr="00953EEF">
        <w:rPr>
          <w:rFonts w:ascii="宋体" w:hAnsi="宋体" w:hint="eastAsia"/>
          <w:sz w:val="24"/>
          <w:szCs w:val="24"/>
        </w:rPr>
        <w:t>，</w:t>
      </w:r>
      <w:r w:rsidRPr="00953EEF">
        <w:rPr>
          <w:rFonts w:ascii="宋体" w:hAnsi="宋体"/>
          <w:sz w:val="24"/>
          <w:szCs w:val="24"/>
        </w:rPr>
        <w:t>是根据</w:t>
      </w:r>
      <w:r w:rsidRPr="00953EEF">
        <w:rPr>
          <w:rFonts w:ascii="宋体" w:hAnsi="宋体" w:hint="eastAsia"/>
          <w:sz w:val="24"/>
          <w:szCs w:val="24"/>
        </w:rPr>
        <w:t>西南及周边地区检验检测认证、石油化工、食品药品、新材料等行业发展现状和特点，</w:t>
      </w:r>
      <w:r w:rsidRPr="00953EEF">
        <w:rPr>
          <w:rFonts w:ascii="宋体" w:hAnsi="宋体"/>
          <w:sz w:val="24"/>
          <w:szCs w:val="24"/>
        </w:rPr>
        <w:t>工业分析</w:t>
      </w:r>
      <w:r w:rsidRPr="00953EEF">
        <w:rPr>
          <w:rFonts w:ascii="宋体" w:hAnsi="宋体" w:hint="eastAsia"/>
          <w:sz w:val="24"/>
          <w:szCs w:val="24"/>
        </w:rPr>
        <w:t>技术</w:t>
      </w:r>
      <w:r w:rsidRPr="00953EEF">
        <w:rPr>
          <w:rFonts w:ascii="宋体" w:hAnsi="宋体"/>
          <w:sz w:val="24"/>
          <w:szCs w:val="24"/>
        </w:rPr>
        <w:t>专业</w:t>
      </w:r>
      <w:r w:rsidRPr="00953EEF">
        <w:rPr>
          <w:rFonts w:ascii="宋体" w:hAnsi="宋体" w:hint="eastAsia"/>
          <w:sz w:val="24"/>
          <w:szCs w:val="24"/>
        </w:rPr>
        <w:t>的主要就业岗位即产品检验和检验技术管理的需</w:t>
      </w:r>
      <w:r w:rsidRPr="00953EEF">
        <w:rPr>
          <w:rFonts w:ascii="宋体" w:hAnsi="宋体"/>
          <w:sz w:val="24"/>
          <w:szCs w:val="24"/>
        </w:rPr>
        <w:t>求</w:t>
      </w:r>
      <w:r w:rsidRPr="00953EEF">
        <w:rPr>
          <w:rFonts w:ascii="宋体" w:hAnsi="宋体" w:hint="eastAsia"/>
          <w:sz w:val="24"/>
          <w:szCs w:val="24"/>
        </w:rPr>
        <w:t>以及</w:t>
      </w:r>
      <w:r w:rsidRPr="00953EEF">
        <w:rPr>
          <w:rFonts w:ascii="宋体" w:hAnsi="宋体"/>
          <w:sz w:val="24"/>
          <w:szCs w:val="24"/>
        </w:rPr>
        <w:t>人才培养</w:t>
      </w:r>
      <w:r w:rsidRPr="00953EEF">
        <w:rPr>
          <w:rFonts w:ascii="宋体" w:hAnsi="宋体" w:hint="eastAsia"/>
          <w:sz w:val="24"/>
          <w:szCs w:val="24"/>
        </w:rPr>
        <w:t>方案而</w:t>
      </w:r>
      <w:r w:rsidRPr="00953EEF">
        <w:rPr>
          <w:rFonts w:ascii="宋体" w:hAnsi="宋体"/>
          <w:sz w:val="24"/>
          <w:szCs w:val="24"/>
        </w:rPr>
        <w:t>设立</w:t>
      </w:r>
      <w:r w:rsidRPr="00953EEF">
        <w:rPr>
          <w:rFonts w:ascii="宋体" w:hAnsi="宋体" w:hint="eastAsia"/>
          <w:sz w:val="24"/>
          <w:szCs w:val="24"/>
        </w:rPr>
        <w:t>的，</w:t>
      </w:r>
      <w:r w:rsidRPr="00953EEF">
        <w:rPr>
          <w:rFonts w:ascii="宋体" w:hAnsi="宋体"/>
          <w:sz w:val="24"/>
          <w:szCs w:val="24"/>
        </w:rPr>
        <w:t>是</w:t>
      </w:r>
      <w:r w:rsidRPr="00953EEF">
        <w:rPr>
          <w:rFonts w:ascii="宋体" w:hAnsi="宋体" w:hint="eastAsia"/>
          <w:sz w:val="24"/>
          <w:szCs w:val="24"/>
        </w:rPr>
        <w:t>《化学检验员》</w:t>
      </w:r>
      <w:r w:rsidRPr="00953EEF">
        <w:rPr>
          <w:rFonts w:ascii="宋体" w:hAnsi="宋体"/>
          <w:sz w:val="24"/>
          <w:szCs w:val="24"/>
        </w:rPr>
        <w:t>职业</w:t>
      </w:r>
      <w:r w:rsidRPr="00953EEF">
        <w:rPr>
          <w:rFonts w:ascii="宋体" w:hAnsi="宋体" w:hint="eastAsia"/>
          <w:sz w:val="24"/>
          <w:szCs w:val="24"/>
        </w:rPr>
        <w:t>技能水平认</w:t>
      </w:r>
      <w:r w:rsidRPr="00953EEF">
        <w:rPr>
          <w:rFonts w:ascii="宋体" w:hAnsi="宋体"/>
          <w:sz w:val="24"/>
          <w:szCs w:val="24"/>
        </w:rPr>
        <w:t>定的</w:t>
      </w:r>
      <w:r w:rsidRPr="00953EEF">
        <w:rPr>
          <w:rFonts w:ascii="宋体" w:hAnsi="宋体" w:hint="eastAsia"/>
          <w:sz w:val="24"/>
          <w:szCs w:val="24"/>
        </w:rPr>
        <w:t>主干</w:t>
      </w:r>
      <w:r w:rsidRPr="00953EEF">
        <w:rPr>
          <w:rFonts w:ascii="宋体" w:hAnsi="宋体"/>
          <w:sz w:val="24"/>
          <w:szCs w:val="24"/>
        </w:rPr>
        <w:t>课程</w:t>
      </w:r>
      <w:r w:rsidRPr="00953EEF">
        <w:rPr>
          <w:rFonts w:ascii="宋体" w:hAnsi="宋体" w:hint="eastAsia"/>
          <w:sz w:val="24"/>
          <w:szCs w:val="24"/>
        </w:rPr>
        <w:t>，是</w:t>
      </w:r>
      <w:r w:rsidRPr="00953EEF">
        <w:rPr>
          <w:rFonts w:ascii="宋体" w:hAnsi="宋体"/>
          <w:sz w:val="24"/>
          <w:szCs w:val="24"/>
        </w:rPr>
        <w:t>基于工作过程开发的</w:t>
      </w:r>
      <w:r w:rsidRPr="00953EEF">
        <w:rPr>
          <w:rFonts w:ascii="宋体" w:hAnsi="宋体" w:cs="宋体" w:hint="eastAsia"/>
          <w:sz w:val="24"/>
          <w:szCs w:val="24"/>
        </w:rPr>
        <w:t>“</w:t>
      </w:r>
      <w:r w:rsidRPr="00953EEF">
        <w:rPr>
          <w:rFonts w:ascii="宋体" w:hAnsi="宋体" w:cs="宋体" w:hint="eastAsia"/>
          <w:sz w:val="24"/>
          <w:szCs w:val="24"/>
        </w:rPr>
        <w:t>教、学、做</w:t>
      </w:r>
      <w:r w:rsidRPr="00953EEF">
        <w:rPr>
          <w:rFonts w:ascii="宋体" w:hAnsi="宋体" w:cs="宋体" w:hint="eastAsia"/>
          <w:sz w:val="24"/>
          <w:szCs w:val="24"/>
        </w:rPr>
        <w:t>”</w:t>
      </w:r>
      <w:r w:rsidRPr="00953EEF">
        <w:rPr>
          <w:rFonts w:ascii="宋体" w:hAnsi="宋体" w:cs="宋体" w:hint="eastAsia"/>
          <w:sz w:val="24"/>
          <w:szCs w:val="24"/>
        </w:rPr>
        <w:t>三</w:t>
      </w:r>
      <w:r w:rsidRPr="00953EEF">
        <w:rPr>
          <w:rFonts w:ascii="宋体" w:hAnsi="宋体"/>
          <w:sz w:val="24"/>
          <w:szCs w:val="24"/>
        </w:rPr>
        <w:t>合一的</w:t>
      </w:r>
      <w:r w:rsidRPr="00953EEF">
        <w:rPr>
          <w:rFonts w:ascii="宋体" w:hAnsi="宋体" w:hint="eastAsia"/>
          <w:sz w:val="24"/>
          <w:szCs w:val="24"/>
        </w:rPr>
        <w:t>模块项目化</w:t>
      </w:r>
      <w:r w:rsidRPr="00953EEF">
        <w:rPr>
          <w:rFonts w:ascii="宋体" w:hAnsi="宋体"/>
          <w:sz w:val="24"/>
          <w:szCs w:val="24"/>
        </w:rPr>
        <w:t>课程。</w:t>
      </w:r>
    </w:p>
    <w:p w:rsidR="00A93329" w:rsidRPr="00953EEF" w:rsidP="00953EEF">
      <w:pPr>
        <w:numPr>
          <w:ilvl w:val="0"/>
          <w:numId w:val="1"/>
        </w:numPr>
        <w:spacing w:line="360" w:lineRule="auto"/>
        <w:ind w:firstLine="480" w:firstLineChars="200"/>
        <w:rPr>
          <w:rFonts w:ascii="宋体" w:hAnsi="宋体" w:hint="eastAsia"/>
          <w:b/>
          <w:sz w:val="24"/>
          <w:szCs w:val="24"/>
        </w:rPr>
      </w:pPr>
      <w:r w:rsidRPr="00953EEF">
        <w:rPr>
          <w:rFonts w:ascii="宋体" w:hAnsi="宋体" w:hint="eastAsia"/>
          <w:b/>
          <w:sz w:val="24"/>
          <w:szCs w:val="24"/>
        </w:rPr>
        <w:t>课程的作用</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随着科学技术的迅猛发展，分析化学在方法和实验技术上都发生着日新月异的变化，仪器分析作为现代分析测试技术的代表，吸收了当代科学技术的最新成就，日益广泛地为许多领域内的科研和生产提供物质组成和结构等方面的大量信息，因而仪器分析成为检验检测类专业的主干技术课程之一。根据专业改造与课程改革，仪器分析分化为</w:t>
      </w:r>
      <w:r w:rsidRPr="00953EEF">
        <w:rPr>
          <w:rFonts w:ascii="宋体" w:hAnsi="宋体"/>
          <w:sz w:val="24"/>
          <w:szCs w:val="24"/>
        </w:rPr>
        <w:t>3</w:t>
      </w:r>
      <w:r w:rsidRPr="00953EEF">
        <w:rPr>
          <w:rFonts w:ascii="宋体" w:hAnsi="宋体" w:hint="eastAsia"/>
          <w:sz w:val="24"/>
          <w:szCs w:val="24"/>
        </w:rPr>
        <w:t>门专业技术课，即《光谱分析技术》、《电分析技术》和《色谱分析技术》，更突出技术技能培养与专业特色。</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《电分析技术》课程</w:t>
      </w:r>
      <w:r w:rsidRPr="00953EEF">
        <w:rPr>
          <w:rFonts w:ascii="宋体" w:hAnsi="宋体"/>
          <w:sz w:val="24"/>
          <w:szCs w:val="24"/>
        </w:rPr>
        <w:t>根据高职学生的智能特点</w:t>
      </w:r>
      <w:r w:rsidRPr="00953EEF">
        <w:rPr>
          <w:rFonts w:ascii="宋体" w:hAnsi="宋体" w:hint="eastAsia"/>
          <w:sz w:val="24"/>
          <w:szCs w:val="24"/>
        </w:rPr>
        <w:t>和</w:t>
      </w:r>
      <w:r w:rsidRPr="00953EEF">
        <w:rPr>
          <w:rFonts w:ascii="宋体" w:hAnsi="宋体"/>
          <w:sz w:val="24"/>
          <w:szCs w:val="24"/>
        </w:rPr>
        <w:t>认知心理</w:t>
      </w:r>
      <w:r w:rsidRPr="00953EEF">
        <w:rPr>
          <w:rFonts w:ascii="宋体" w:hAnsi="宋体" w:hint="eastAsia"/>
          <w:sz w:val="24"/>
          <w:szCs w:val="24"/>
        </w:rPr>
        <w:t>以及</w:t>
      </w:r>
      <w:r w:rsidRPr="00953EEF">
        <w:rPr>
          <w:rFonts w:ascii="宋体" w:hAnsi="宋体"/>
          <w:sz w:val="24"/>
          <w:szCs w:val="24"/>
        </w:rPr>
        <w:t>先进的教学理念，将课程</w:t>
      </w:r>
      <w:r w:rsidRPr="00953EEF">
        <w:rPr>
          <w:rFonts w:ascii="宋体" w:hAnsi="宋体" w:hint="eastAsia"/>
          <w:sz w:val="24"/>
          <w:szCs w:val="24"/>
        </w:rPr>
        <w:t>内容</w:t>
      </w:r>
      <w:r w:rsidRPr="00953EEF">
        <w:rPr>
          <w:rFonts w:ascii="宋体" w:hAnsi="宋体"/>
          <w:sz w:val="24"/>
          <w:szCs w:val="24"/>
        </w:rPr>
        <w:t>进行整体优化</w:t>
      </w:r>
      <w:r w:rsidRPr="00953EEF">
        <w:rPr>
          <w:rFonts w:ascii="宋体" w:hAnsi="宋体" w:hint="eastAsia"/>
          <w:sz w:val="24"/>
          <w:szCs w:val="24"/>
        </w:rPr>
        <w:t>组</w:t>
      </w:r>
      <w:r w:rsidRPr="00953EEF">
        <w:rPr>
          <w:rFonts w:ascii="宋体" w:hAnsi="宋体"/>
          <w:sz w:val="24"/>
          <w:szCs w:val="24"/>
        </w:rPr>
        <w:t>合，</w:t>
      </w:r>
      <w:r w:rsidRPr="00953EEF">
        <w:rPr>
          <w:rFonts w:ascii="宋体" w:hAnsi="宋体" w:hint="eastAsia"/>
          <w:sz w:val="24"/>
          <w:szCs w:val="24"/>
        </w:rPr>
        <w:t>根据</w:t>
      </w:r>
      <w:r w:rsidRPr="00953EEF">
        <w:rPr>
          <w:rFonts w:ascii="宋体" w:hAnsi="宋体"/>
          <w:sz w:val="24"/>
          <w:szCs w:val="24"/>
        </w:rPr>
        <w:t>职业</w:t>
      </w:r>
      <w:r w:rsidRPr="00953EEF">
        <w:rPr>
          <w:rFonts w:ascii="宋体" w:hAnsi="宋体" w:hint="eastAsia"/>
          <w:sz w:val="24"/>
          <w:szCs w:val="24"/>
        </w:rPr>
        <w:t>的</w:t>
      </w:r>
      <w:r w:rsidRPr="00953EEF">
        <w:rPr>
          <w:rFonts w:ascii="宋体" w:hAnsi="宋体"/>
          <w:sz w:val="24"/>
          <w:szCs w:val="24"/>
        </w:rPr>
        <w:t>工作过程逻辑，以分析方法为建构主线，工作过程为参照系，针对工作过程的环节来设计</w:t>
      </w:r>
      <w:r w:rsidRPr="00953EEF">
        <w:rPr>
          <w:rFonts w:ascii="宋体" w:hAnsi="宋体" w:hint="eastAsia"/>
          <w:sz w:val="24"/>
          <w:szCs w:val="24"/>
        </w:rPr>
        <w:t>各个子模块（学习情境）</w:t>
      </w:r>
      <w:r w:rsidRPr="00953EEF">
        <w:rPr>
          <w:rFonts w:ascii="宋体" w:hAnsi="宋体"/>
          <w:sz w:val="24"/>
          <w:szCs w:val="24"/>
        </w:rPr>
        <w:t>，</w:t>
      </w:r>
      <w:r w:rsidRPr="00953EEF">
        <w:rPr>
          <w:rFonts w:ascii="宋体" w:hAnsi="宋体" w:hint="eastAsia"/>
          <w:sz w:val="24"/>
          <w:szCs w:val="24"/>
        </w:rPr>
        <w:t>并</w:t>
      </w:r>
      <w:r w:rsidRPr="00953EEF">
        <w:rPr>
          <w:rFonts w:ascii="宋体" w:hAnsi="宋体"/>
          <w:sz w:val="24"/>
          <w:szCs w:val="24"/>
        </w:rPr>
        <w:t>将</w:t>
      </w:r>
      <w:r w:rsidRPr="00953EEF">
        <w:rPr>
          <w:rFonts w:ascii="宋体" w:hAnsi="宋体" w:hint="eastAsia"/>
          <w:sz w:val="24"/>
          <w:szCs w:val="24"/>
        </w:rPr>
        <w:t>理论</w:t>
      </w:r>
      <w:r w:rsidRPr="00953EEF">
        <w:rPr>
          <w:rFonts w:ascii="宋体" w:hAnsi="宋体"/>
          <w:sz w:val="24"/>
          <w:szCs w:val="24"/>
        </w:rPr>
        <w:t>知识穿插在</w:t>
      </w:r>
      <w:r w:rsidRPr="00953EEF">
        <w:rPr>
          <w:rFonts w:ascii="宋体" w:hAnsi="宋体" w:hint="eastAsia"/>
          <w:sz w:val="24"/>
          <w:szCs w:val="24"/>
        </w:rPr>
        <w:t>各个子模块</w:t>
      </w:r>
      <w:r w:rsidRPr="00953EEF">
        <w:rPr>
          <w:rFonts w:ascii="宋体" w:hAnsi="宋体"/>
          <w:sz w:val="24"/>
          <w:szCs w:val="24"/>
        </w:rPr>
        <w:t>中，重新</w:t>
      </w:r>
      <w:r w:rsidRPr="00953EEF">
        <w:rPr>
          <w:rFonts w:ascii="宋体" w:hAnsi="宋体" w:hint="eastAsia"/>
          <w:sz w:val="24"/>
          <w:szCs w:val="24"/>
        </w:rPr>
        <w:t>整</w:t>
      </w:r>
      <w:r w:rsidRPr="00953EEF">
        <w:rPr>
          <w:rFonts w:ascii="宋体" w:hAnsi="宋体"/>
          <w:sz w:val="24"/>
          <w:szCs w:val="24"/>
        </w:rPr>
        <w:t>合成</w:t>
      </w:r>
      <w:r w:rsidRPr="00953EEF">
        <w:rPr>
          <w:rFonts w:ascii="宋体" w:hAnsi="宋体" w:hint="eastAsia"/>
          <w:sz w:val="24"/>
          <w:szCs w:val="24"/>
        </w:rPr>
        <w:t>以</w:t>
      </w:r>
      <w:r w:rsidRPr="00953EEF">
        <w:rPr>
          <w:rFonts w:ascii="宋体" w:hAnsi="宋体"/>
          <w:sz w:val="24"/>
          <w:szCs w:val="24"/>
        </w:rPr>
        <w:t>工作过程为中心的《</w:t>
      </w:r>
      <w:r w:rsidRPr="00953EEF">
        <w:rPr>
          <w:rFonts w:ascii="宋体" w:hAnsi="宋体" w:hint="eastAsia"/>
          <w:sz w:val="24"/>
          <w:szCs w:val="24"/>
        </w:rPr>
        <w:t>电</w:t>
      </w:r>
      <w:r w:rsidRPr="00953EEF">
        <w:rPr>
          <w:rFonts w:ascii="宋体" w:hAnsi="宋体"/>
          <w:sz w:val="24"/>
          <w:szCs w:val="24"/>
        </w:rPr>
        <w:t>分析</w:t>
      </w:r>
      <w:r w:rsidRPr="00953EEF">
        <w:rPr>
          <w:rFonts w:ascii="宋体" w:hAnsi="宋体" w:hint="eastAsia"/>
          <w:sz w:val="24"/>
          <w:szCs w:val="24"/>
        </w:rPr>
        <w:t>技术</w:t>
      </w:r>
      <w:r w:rsidRPr="00953EEF">
        <w:rPr>
          <w:rFonts w:ascii="宋体" w:hAnsi="宋体"/>
          <w:sz w:val="24"/>
          <w:szCs w:val="24"/>
        </w:rPr>
        <w:t>》模块</w:t>
      </w:r>
      <w:r w:rsidRPr="00953EEF">
        <w:rPr>
          <w:rFonts w:ascii="宋体" w:hAnsi="宋体" w:hint="eastAsia"/>
          <w:sz w:val="24"/>
          <w:szCs w:val="24"/>
        </w:rPr>
        <w:t>项目化</w:t>
      </w:r>
      <w:r w:rsidRPr="00953EEF">
        <w:rPr>
          <w:rFonts w:ascii="宋体" w:hAnsi="宋体"/>
          <w:sz w:val="24"/>
          <w:szCs w:val="24"/>
        </w:rPr>
        <w:t>课程。</w:t>
      </w:r>
      <w:r w:rsidRPr="00953EEF">
        <w:rPr>
          <w:rFonts w:ascii="宋体" w:hAnsi="宋体" w:hint="eastAsia"/>
          <w:sz w:val="24"/>
          <w:szCs w:val="24"/>
        </w:rPr>
        <w:t>本</w:t>
      </w:r>
      <w:r w:rsidRPr="00953EEF">
        <w:rPr>
          <w:rFonts w:ascii="宋体" w:hAnsi="宋体"/>
          <w:sz w:val="24"/>
          <w:szCs w:val="24"/>
        </w:rPr>
        <w:t>课程内容框架由实践情境构成，以工作过程为中心，</w:t>
      </w:r>
      <w:r w:rsidRPr="00953EEF">
        <w:rPr>
          <w:rFonts w:ascii="宋体" w:hAnsi="宋体" w:hint="eastAsia"/>
          <w:sz w:val="24"/>
          <w:szCs w:val="24"/>
        </w:rPr>
        <w:t>样</w:t>
      </w:r>
      <w:r w:rsidRPr="00953EEF">
        <w:rPr>
          <w:rFonts w:ascii="宋体" w:hAnsi="宋体"/>
          <w:sz w:val="24"/>
          <w:szCs w:val="24"/>
        </w:rPr>
        <w:t>品检测任务为驱动，</w:t>
      </w:r>
      <w:r w:rsidRPr="00953EEF">
        <w:rPr>
          <w:rFonts w:ascii="宋体" w:hAnsi="宋体" w:hint="eastAsia"/>
          <w:sz w:val="24"/>
          <w:szCs w:val="24"/>
        </w:rPr>
        <w:t>使学生具备从事电分析工作所必备的知识、技能与素质和较强的分析问题、解决问题的能力，具有使用现代分析仪器对工业产品进行分析测试的能力，熟练掌握电分析方法和应用技术及分析仪器的使用和维护保养，树立全面质量管理意识，逐步培养学生科学的</w:t>
      </w:r>
      <w:r w:rsidRPr="00953EEF">
        <w:rPr>
          <w:rFonts w:ascii="宋体" w:hAnsi="宋体"/>
          <w:sz w:val="24"/>
          <w:szCs w:val="24"/>
        </w:rPr>
        <w:t>辩证思维</w:t>
      </w:r>
      <w:r w:rsidRPr="00953EEF">
        <w:rPr>
          <w:rFonts w:ascii="宋体" w:hAnsi="宋体" w:hint="eastAsia"/>
          <w:sz w:val="24"/>
          <w:szCs w:val="24"/>
        </w:rPr>
        <w:t>、严谨的工作作风、良好的职业道德和较强的</w:t>
      </w:r>
      <w:r w:rsidRPr="00953EEF">
        <w:rPr>
          <w:rFonts w:ascii="宋体" w:hAnsi="宋体"/>
          <w:sz w:val="24"/>
          <w:szCs w:val="24"/>
        </w:rPr>
        <w:t>创新能力</w:t>
      </w:r>
      <w:r w:rsidRPr="00953EEF">
        <w:rPr>
          <w:rFonts w:ascii="宋体" w:hAnsi="宋体" w:hint="eastAsia"/>
          <w:sz w:val="24"/>
          <w:szCs w:val="24"/>
        </w:rPr>
        <w:t>，具备</w:t>
      </w:r>
      <w:r w:rsidRPr="00953EEF">
        <w:rPr>
          <w:rFonts w:ascii="宋体" w:hAnsi="宋体"/>
          <w:sz w:val="24"/>
          <w:szCs w:val="24"/>
        </w:rPr>
        <w:t>团队合作精神</w:t>
      </w:r>
      <w:r w:rsidRPr="00953EEF">
        <w:rPr>
          <w:rFonts w:ascii="宋体" w:hAnsi="宋体" w:hint="eastAsia"/>
          <w:sz w:val="24"/>
          <w:szCs w:val="24"/>
        </w:rPr>
        <w:t>，为后续的专业拓展课程（或顶岗实习）学习打下扎实的基础，</w:t>
      </w:r>
      <w:r w:rsidRPr="00953EEF">
        <w:rPr>
          <w:rFonts w:ascii="宋体" w:hAnsi="宋体"/>
          <w:sz w:val="24"/>
          <w:szCs w:val="24"/>
        </w:rPr>
        <w:t>充分体现了工业分析</w:t>
      </w:r>
      <w:r w:rsidRPr="00953EEF">
        <w:rPr>
          <w:rFonts w:ascii="宋体" w:hAnsi="宋体" w:hint="eastAsia"/>
          <w:sz w:val="24"/>
          <w:szCs w:val="24"/>
        </w:rPr>
        <w:t>技术</w:t>
      </w:r>
      <w:r w:rsidRPr="00953EEF">
        <w:rPr>
          <w:rFonts w:ascii="宋体" w:hAnsi="宋体"/>
          <w:sz w:val="24"/>
          <w:szCs w:val="24"/>
        </w:rPr>
        <w:t>专业高等职业教育人才的培养规格</w:t>
      </w:r>
      <w:r w:rsidRPr="00953EEF">
        <w:rPr>
          <w:rFonts w:ascii="宋体" w:hAnsi="宋体" w:hint="eastAsia"/>
          <w:sz w:val="24"/>
          <w:szCs w:val="24"/>
        </w:rPr>
        <w:t>、目标</w:t>
      </w:r>
      <w:r w:rsidRPr="00953EEF">
        <w:rPr>
          <w:rFonts w:ascii="宋体" w:hAnsi="宋体"/>
          <w:sz w:val="24"/>
          <w:szCs w:val="24"/>
        </w:rPr>
        <w:t>和要求。</w:t>
      </w:r>
    </w:p>
    <w:p w:rsidR="00A93329" w:rsidRPr="00953EEF" w:rsidP="00953EEF">
      <w:pPr>
        <w:widowControl/>
        <w:numPr>
          <w:ilvl w:val="0"/>
          <w:numId w:val="1"/>
        </w:numPr>
        <w:spacing w:line="360" w:lineRule="auto"/>
        <w:ind w:firstLine="480" w:firstLineChars="200"/>
        <w:jc w:val="left"/>
        <w:rPr>
          <w:rFonts w:ascii="宋体" w:hAnsi="宋体"/>
          <w:b/>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134" w:right="1417" w:bottom="1134" w:left="1417" w:header="851" w:footer="992" w:gutter="0"/>
          <w:cols w:space="720"/>
          <w:docGrid w:type="lines" w:linePitch="312"/>
        </w:sectPr>
      </w:pPr>
      <w:r w:rsidRPr="00953EEF">
        <w:rPr>
          <w:rFonts w:ascii="宋体" w:hAnsi="宋体"/>
          <w:b/>
          <w:sz w:val="24"/>
          <w:szCs w:val="24"/>
        </w:rPr>
        <w:t>与其他课程的关系</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课程是工业分析技术专业学生在学习了《无机化学》、《有机化学》、《认识实习》、《化验室组织与管理》等专业基础课程之后开设的主干专业课程之一，与教学计划中安排的各种课程实验及实践环节相配合，完成检验检测类高素质技术技能人才的专业核心能力的培养。</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本着效益提高、教学资源最优化的原则，将工业分析技术专业技术课程段和专业拓展课程段的16门专业核心课程，以过程逻辑为中心，选取12门专业课程中的4门主体核心课程作为模块中的主构架，其余课程则按工作过程所需的知识、能力和素质点，服务于主构架的工作要求，重新整合成以分析方法为核心，由实践情境构成，基于任务驱动，工作过程导向的专业技术模块I、II（分别为化学分析技术模块、仪器分析技术模块）和基于真实项目，由真实职业情境构成，工作过程导向的专业拓展模块（见下图）。</w:t>
      </w:r>
    </w:p>
    <w:p w:rsidR="00A93329" w:rsidRPr="00953EEF" w:rsidP="00953EEF">
      <w:pPr>
        <w:spacing w:line="360" w:lineRule="auto"/>
        <w:ind w:firstLine="480" w:firstLineChars="200"/>
        <w:rPr>
          <w:rFonts w:ascii="宋体" w:hAnsi="宋体" w:hint="eastAsia"/>
          <w:sz w:val="24"/>
          <w:szCs w:val="24"/>
        </w:rPr>
      </w:pPr>
      <w:r>
        <w:rPr>
          <w:rFonts w:ascii="宋体" w:hAnsi="宋体"/>
          <w:sz w:val="24"/>
          <w:szCs w:val="24"/>
        </w:rPr>
        <w:pict>
          <v:group id="组合 25" o:spid="_x0000_s1026" style="width:428.7pt;height:254.15pt;margin-top:11pt;margin-left:0;position:absolute;z-index:251661312" coordorigin="0,0" coordsize="8574,5083">
            <o:lock v:ext="edit" aspectratio="f"/>
            <v:shapetype id="_x0000_t202" coordsize="21600,21600" o:spt="202" path="m,l,21600r21600,l21600,xe">
              <v:stroke joinstyle="miter"/>
              <v:path gradientshapeok="t" o:connecttype="rect"/>
            </v:shapetype>
            <v:shape id="Text Box 3" o:spid="_x0000_s1027" type="#_x0000_t202" style="width:1723;height:771;position:absolute;top:1233">
              <o:lock v:ext="edit" aspectratio="f"/>
              <v:textbox>
                <w:txbxContent>
                  <w:p w:rsidR="00A93329">
                    <w:pPr>
                      <w:rPr>
                        <w:rFonts w:hint="eastAsia"/>
                        <w:b/>
                      </w:rPr>
                    </w:pPr>
                    <w:r>
                      <w:rPr>
                        <w:rFonts w:hint="eastAsia"/>
                        <w:b/>
                      </w:rPr>
                      <w:t>模块核心课程</w:t>
                    </w:r>
                  </w:p>
                  <w:p w:rsidR="00A93329">
                    <w:pPr>
                      <w:jc w:val="center"/>
                      <w:rPr>
                        <w:rFonts w:hint="eastAsia"/>
                      </w:rPr>
                    </w:pPr>
                    <w:r>
                      <w:rPr>
                        <w:rFonts w:hint="eastAsia"/>
                      </w:rPr>
                      <w:t>有机波谱分析</w:t>
                    </w:r>
                  </w:p>
                </w:txbxContent>
              </v:textbox>
            </v:shape>
            <v:shape id="Text Box 4" o:spid="_x0000_s1028" type="#_x0000_t202" style="width:3259;height:2312;left:2681;position:absolute">
              <o:lock v:ext="edit" aspectratio="f"/>
              <v:textbox>
                <w:txbxContent>
                  <w:p w:rsidR="00A93329">
                    <w:pPr>
                      <w:jc w:val="center"/>
                      <w:rPr>
                        <w:rFonts w:hint="eastAsia"/>
                        <w:b/>
                      </w:rPr>
                    </w:pPr>
                    <w:r>
                      <w:rPr>
                        <w:rFonts w:hint="eastAsia"/>
                        <w:b/>
                      </w:rPr>
                      <w:t>专业课程</w:t>
                    </w:r>
                  </w:p>
                  <w:p w:rsidR="00A93329">
                    <w:pPr>
                      <w:rPr>
                        <w:rFonts w:hint="eastAsia"/>
                      </w:rPr>
                    </w:pPr>
                    <w:r>
                      <w:rPr>
                        <w:rFonts w:hint="eastAsia"/>
                      </w:rPr>
                      <w:t>化验室组织与管理；分析测试质量保证；化学分析技术；仪器分析（光、电、色谱）；有机波谱分析；工业分析技术；工业生产过程概述；工业环保与安全；专业英语；商品检验拓展课</w:t>
                    </w:r>
                  </w:p>
                </w:txbxContent>
              </v:textbox>
            </v:shape>
            <v:shape id="Text Box 5" o:spid="_x0000_s1029" type="#_x0000_t202" style="width:1723;height:771;position:absolute;top:154">
              <o:lock v:ext="edit" aspectratio="f"/>
              <v:textbox>
                <w:txbxContent>
                  <w:p w:rsidR="00A93329">
                    <w:pPr>
                      <w:rPr>
                        <w:rFonts w:hint="eastAsia"/>
                        <w:b/>
                      </w:rPr>
                    </w:pPr>
                    <w:r>
                      <w:rPr>
                        <w:rFonts w:hint="eastAsia"/>
                        <w:b/>
                      </w:rPr>
                      <w:t>模块核心课程</w:t>
                    </w:r>
                  </w:p>
                  <w:p w:rsidR="00A93329">
                    <w:pPr>
                      <w:jc w:val="center"/>
                      <w:rPr>
                        <w:rFonts w:hint="eastAsia"/>
                      </w:rPr>
                    </w:pPr>
                    <w:r>
                      <w:rPr>
                        <w:rFonts w:hint="eastAsia"/>
                      </w:rPr>
                      <w:t>化学分析技术</w:t>
                    </w:r>
                  </w:p>
                </w:txbxContent>
              </v:textbox>
            </v:shape>
            <v:shape id="Text Box 6" o:spid="_x0000_s1030" type="#_x0000_t202" style="width:1723;height:771;left:6840;position:absolute;top:92">
              <o:lock v:ext="edit" aspectratio="f"/>
              <v:textbox>
                <w:txbxContent>
                  <w:p w:rsidR="00A93329">
                    <w:pPr>
                      <w:rPr>
                        <w:rFonts w:hint="eastAsia"/>
                        <w:b/>
                      </w:rPr>
                    </w:pPr>
                    <w:r>
                      <w:rPr>
                        <w:rFonts w:hint="eastAsia"/>
                        <w:b/>
                      </w:rPr>
                      <w:t>模块核心课程</w:t>
                    </w:r>
                  </w:p>
                  <w:p w:rsidR="00A93329">
                    <w:pPr>
                      <w:jc w:val="center"/>
                      <w:rPr>
                        <w:rFonts w:hint="eastAsia"/>
                      </w:rPr>
                    </w:pPr>
                    <w:r>
                      <w:rPr>
                        <w:rFonts w:hint="eastAsia"/>
                      </w:rPr>
                      <w:t>仪器分析技术</w:t>
                    </w:r>
                  </w:p>
                </w:txbxContent>
              </v:textbox>
            </v:shape>
            <v:shape id="Text Box 7" o:spid="_x0000_s1031" type="#_x0000_t202" style="width:1716;height:890;left:6840;position:absolute;top:1184">
              <o:lock v:ext="edit" aspectratio="f"/>
              <v:textbox>
                <w:txbxContent>
                  <w:p w:rsidR="00A93329">
                    <w:pPr>
                      <w:rPr>
                        <w:rFonts w:hint="eastAsia"/>
                        <w:b/>
                      </w:rPr>
                    </w:pPr>
                    <w:r>
                      <w:rPr>
                        <w:rFonts w:hint="eastAsia"/>
                        <w:b/>
                      </w:rPr>
                      <w:t>模块核心课程</w:t>
                    </w:r>
                  </w:p>
                  <w:p w:rsidR="00A93329">
                    <w:pPr>
                      <w:rPr>
                        <w:rFonts w:hint="eastAsia"/>
                      </w:rPr>
                    </w:pPr>
                    <w:r>
                      <w:rPr>
                        <w:rFonts w:hint="eastAsia"/>
                      </w:rPr>
                      <w:t>工业分析技术</w:t>
                    </w:r>
                  </w:p>
                </w:txbxContent>
              </v:textbox>
            </v:shape>
            <v:shape id="Text Box 8" o:spid="_x0000_s1032" type="#_x0000_t202" style="width:1915;height:462;left:191;position:absolute;top:3237">
              <o:lock v:ext="edit" aspectratio="f"/>
              <v:textbox>
                <w:txbxContent>
                  <w:p w:rsidR="00A93329">
                    <w:pPr>
                      <w:rPr>
                        <w:rFonts w:hint="eastAsia"/>
                      </w:rPr>
                    </w:pPr>
                    <w:r>
                      <w:rPr>
                        <w:rFonts w:hint="eastAsia"/>
                      </w:rPr>
                      <w:t>专业技术模块</w:t>
                    </w:r>
                    <w:r>
                      <w:rPr>
                        <w:rFonts w:hint="eastAsia"/>
                      </w:rPr>
                      <w:t>Ⅰ</w:t>
                    </w:r>
                  </w:p>
                </w:txbxContent>
              </v:textbox>
            </v:shape>
            <v:shape id="Text Box 9" o:spid="_x0000_s1033" type="#_x0000_t202" style="width:1915;height:462;left:6660;position:absolute;top:3212">
              <o:lock v:ext="edit" aspectratio="f"/>
              <v:textbox>
                <w:txbxContent>
                  <w:p w:rsidR="00A93329">
                    <w:pPr>
                      <w:rPr>
                        <w:rFonts w:hint="eastAsia"/>
                      </w:rPr>
                    </w:pPr>
                    <w:r>
                      <w:rPr>
                        <w:rFonts w:hint="eastAsia"/>
                      </w:rPr>
                      <w:t>专业技术模块</w:t>
                    </w:r>
                    <w:r>
                      <w:rPr>
                        <w:rFonts w:hint="eastAsia"/>
                      </w:rPr>
                      <w:t>Ⅱ</w:t>
                    </w:r>
                  </w:p>
                </w:txbxContent>
              </v:textbox>
            </v:shape>
            <v:shape id="Text Box 10" o:spid="_x0000_s1034" type="#_x0000_t202" style="width:1724;height:463;left:3638;position:absolute;top:3713">
              <o:lock v:ext="edit" aspectratio="f"/>
              <v:textbox>
                <w:txbxContent>
                  <w:p w:rsidR="00A93329">
                    <w:pPr>
                      <w:jc w:val="center"/>
                      <w:rPr>
                        <w:rFonts w:hint="eastAsia"/>
                      </w:rPr>
                    </w:pPr>
                    <w:r>
                      <w:rPr>
                        <w:rFonts w:hint="eastAsia"/>
                      </w:rPr>
                      <w:t>专业拓展模块</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1" o:spid="_x0000_s1035" type="#_x0000_t66" style="width:574;height:154;left:1915;position:absolute;top:309">
              <o:lock v:ext="edit" aspectratio="f"/>
            </v:shape>
            <v:shape id="AutoShape 12" o:spid="_x0000_s1036" type="#_x0000_t66" style="width:574;height:154;left:1915;position:absolute;top:1542">
              <o:lock v:ext="edit" aspectratio="f"/>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3" o:spid="_x0000_s1037" type="#_x0000_t13" style="width:574;height:155;left:6120;position:absolute;top:1496">
              <o:lock v:ext="edit" aspectratio="f"/>
            </v:shape>
            <v:shape id="AutoShape 14" o:spid="_x0000_s1038" type="#_x0000_t13" style="width:574;height:153;left:6120;position:absolute;top:248">
              <o:lock v:ext="edit" aspectratio="f"/>
            </v:shape>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15" o:spid="_x0000_s1039" type="#_x0000_t102" style="width:383;height:771;left:574;position:absolute;top:2312" adj=",,5565">
              <v:path o:extrusionok="f"/>
              <o:lock v:ext="edit" aspectratio="f"/>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utoShape 16" o:spid="_x0000_s1040" type="#_x0000_t103" style="width:383;height:771;left:7740;position:absolute;top:2276">
              <v:path o:extrusionok="f"/>
              <o:lock v:ext="edit" aspectratio="f"/>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17" o:spid="_x0000_s1041" type="#_x0000_t105" style="width:1246;height:536;left:3858;position:absolute;rotation:47;top:2730">
              <v:path o:extrusionok="f"/>
              <o:lock v:ext="edit" aspectratio="f"/>
            </v:shape>
            <v:line id="Line 21" o:spid="_x0000_s1042" style="flip:x;position:absolute" from="2520,4162" to="3600,4470">
              <v:stroke endarrow="block"/>
              <o:lock v:ext="edit" aspectratio="f"/>
            </v:line>
            <v:line id="Line 22" o:spid="_x0000_s1043" style="flip:x;position:absolute" from="3600,4162" to="4140,4470">
              <v:stroke endarrow="block"/>
              <o:lock v:ext="edit" aspectratio="f"/>
            </v:line>
            <v:line id="Line 23" o:spid="_x0000_s1044" style="position:absolute" from="4860,4162" to="5220,4470">
              <v:stroke endarrow="block"/>
              <o:lock v:ext="edit" aspectratio="f"/>
            </v:line>
            <v:line id="Line 24" o:spid="_x0000_s1045" style="position:absolute" from="5220,4162" to="6300,4470">
              <v:stroke endarrow="block"/>
              <o:lock v:ext="edit" aspectratio="f"/>
            </v:line>
            <v:shape id="Text Box 25" o:spid="_x0000_s1046" type="#_x0000_t202" style="width:5220;height:537;left:1620;position:absolute;top:4547">
              <o:lock v:ext="edit" aspectratio="f"/>
              <v:textbox>
                <w:txbxContent>
                  <w:p w:rsidR="00A93329">
                    <w:pPr>
                      <w:rPr>
                        <w:rFonts w:hint="eastAsia"/>
                      </w:rPr>
                    </w:pPr>
                    <w:r>
                      <w:rPr>
                        <w:rFonts w:hint="eastAsia"/>
                      </w:rPr>
                      <w:t>环境监测食品检验药品检验材料检测</w:t>
                    </w:r>
                  </w:p>
                </w:txbxContent>
              </v:textbox>
            </v:shape>
            <w10:wrap type="square"/>
          </v:group>
        </w:pict>
      </w:r>
      <w:r>
        <w:rPr>
          <w:rFonts w:ascii="宋体" w:hAnsi="宋体"/>
          <w:sz w:val="24"/>
          <w:szCs w:val="24"/>
        </w:rPr>
        <w:pict>
          <v:shape id="Text Box 20" o:spid="_x0000_s1047" type="#_x0000_t202" style="width:47.85pt;height:23.1pt;margin-top:157.45pt;margin-left:172.35pt;position:absolute;z-index:251660288" filled="f" stroked="f">
            <o:lock v:ext="edit" aspectratio="f"/>
            <v:textbox>
              <w:txbxContent>
                <w:p w:rsidR="00A93329">
                  <w:pPr>
                    <w:rPr>
                      <w:rFonts w:hint="eastAsia"/>
                    </w:rPr>
                  </w:pPr>
                  <w:r>
                    <w:rPr>
                      <w:rFonts w:hint="eastAsia"/>
                    </w:rPr>
                    <w:t>整合</w:t>
                  </w:r>
                </w:p>
              </w:txbxContent>
            </v:textbox>
          </v:shape>
        </w:pict>
      </w:r>
      <w:r>
        <w:rPr>
          <w:rFonts w:ascii="宋体" w:hAnsi="宋体"/>
          <w:sz w:val="24"/>
          <w:szCs w:val="24"/>
        </w:rPr>
        <w:pict>
          <v:shape id="Text Box 19" o:spid="_x0000_s1048" type="#_x0000_t202" style="width:47.85pt;height:23.15pt;margin-top:134.3pt;margin-left:344.7pt;position:absolute;z-index:251659264" filled="f" stroked="f">
            <o:lock v:ext="edit" aspectratio="f"/>
            <v:textbox>
              <w:txbxContent>
                <w:p w:rsidR="00A93329">
                  <w:pPr>
                    <w:rPr>
                      <w:rFonts w:hint="eastAsia"/>
                    </w:rPr>
                  </w:pPr>
                  <w:r>
                    <w:rPr>
                      <w:rFonts w:hint="eastAsia"/>
                    </w:rPr>
                    <w:t>整合</w:t>
                  </w:r>
                </w:p>
              </w:txbxContent>
            </v:textbox>
          </v:shape>
        </w:pict>
      </w:r>
      <w:r>
        <w:rPr>
          <w:rFonts w:ascii="宋体" w:hAnsi="宋体"/>
          <w:sz w:val="24"/>
          <w:szCs w:val="24"/>
        </w:rPr>
        <w:pict>
          <v:shape id="Text Box 18" o:spid="_x0000_s1049" type="#_x0000_t202" style="width:47.85pt;height:23.15pt;margin-top:134.3pt;margin-left:57.45pt;position:absolute;z-index:251658240" filled="f" stroked="f">
            <o:lock v:ext="edit" aspectratio="f"/>
            <v:textbox>
              <w:txbxContent>
                <w:p w:rsidR="00A93329">
                  <w:pPr>
                    <w:rPr>
                      <w:rFonts w:hint="eastAsia"/>
                    </w:rPr>
                  </w:pPr>
                  <w:r>
                    <w:rPr>
                      <w:rFonts w:hint="eastAsia"/>
                    </w:rPr>
                    <w:t>整合</w:t>
                  </w:r>
                </w:p>
              </w:txbxContent>
            </v:textbox>
          </v:shape>
        </w:pict>
      </w:r>
    </w:p>
    <w:p w:rsidR="00A93329" w:rsidRPr="00953EEF" w:rsidP="00953EEF">
      <w:pPr>
        <w:spacing w:line="360" w:lineRule="auto"/>
        <w:ind w:firstLine="480" w:firstLineChars="200"/>
        <w:jc w:val="center"/>
        <w:rPr>
          <w:rFonts w:ascii="宋体" w:hAnsi="宋体" w:hint="eastAsia"/>
          <w:sz w:val="24"/>
          <w:szCs w:val="24"/>
        </w:rPr>
      </w:pPr>
      <w:r w:rsidRPr="00953EEF">
        <w:rPr>
          <w:rFonts w:ascii="宋体" w:hAnsi="宋体"/>
          <w:sz w:val="24"/>
          <w:szCs w:val="24"/>
        </w:rPr>
        <w:t>工业分析</w:t>
      </w:r>
      <w:r w:rsidRPr="00953EEF">
        <w:rPr>
          <w:rFonts w:ascii="宋体" w:hAnsi="宋体" w:hint="eastAsia"/>
          <w:sz w:val="24"/>
          <w:szCs w:val="24"/>
        </w:rPr>
        <w:t>技术</w:t>
      </w:r>
      <w:r w:rsidRPr="00953EEF">
        <w:rPr>
          <w:rFonts w:ascii="宋体" w:hAnsi="宋体"/>
          <w:sz w:val="24"/>
          <w:szCs w:val="24"/>
        </w:rPr>
        <w:t>专业课程整合示意图</w:t>
      </w:r>
    </w:p>
    <w:p w:rsidR="00A93329" w:rsidRPr="00953EEF" w:rsidP="00953EEF">
      <w:pPr>
        <w:spacing w:line="360" w:lineRule="auto"/>
        <w:ind w:firstLine="480" w:firstLineChars="200"/>
        <w:rPr>
          <w:rFonts w:ascii="宋体" w:hAnsi="宋体" w:hint="eastAsia"/>
          <w:sz w:val="24"/>
          <w:szCs w:val="24"/>
        </w:rPr>
      </w:pPr>
    </w:p>
    <w:p w:rsidR="00A93329" w:rsidRPr="00953EEF" w:rsidP="00953EEF">
      <w:pPr>
        <w:spacing w:line="360" w:lineRule="auto"/>
        <w:ind w:firstLine="480" w:firstLineChars="200"/>
        <w:rPr>
          <w:rFonts w:ascii="宋体" w:hAnsi="宋体" w:hint="eastAsia"/>
          <w:sz w:val="24"/>
          <w:szCs w:val="24"/>
        </w:rPr>
      </w:pPr>
      <w:bookmarkStart w:id="0" w:name="_Toc396431926"/>
      <w:bookmarkStart w:id="1" w:name="_Toc403379031"/>
      <w:bookmarkStart w:id="2" w:name="_Toc396430611"/>
      <w:bookmarkStart w:id="3" w:name="_Toc396428778"/>
      <w:bookmarkStart w:id="4" w:name="_Toc23526"/>
      <w:bookmarkStart w:id="5" w:name="_Toc396430454"/>
      <w:bookmarkStart w:id="6" w:name="_Toc403239027"/>
      <w:bookmarkStart w:id="7" w:name="_Toc24480"/>
      <w:bookmarkStart w:id="8" w:name="_Toc396430769"/>
      <w:bookmarkStart w:id="9" w:name="_Toc396429031"/>
      <w:r w:rsidRPr="00953EEF">
        <w:rPr>
          <w:rFonts w:ascii="宋体" w:hAnsi="宋体"/>
          <w:sz w:val="24"/>
          <w:szCs w:val="24"/>
        </w:rPr>
        <w:t>《</w:t>
      </w:r>
      <w:r w:rsidRPr="00953EEF">
        <w:rPr>
          <w:rFonts w:ascii="宋体" w:hAnsi="宋体" w:hint="eastAsia"/>
          <w:sz w:val="24"/>
          <w:szCs w:val="24"/>
        </w:rPr>
        <w:t>电</w:t>
      </w:r>
      <w:r w:rsidRPr="00953EEF">
        <w:rPr>
          <w:rFonts w:ascii="宋体" w:hAnsi="宋体"/>
          <w:sz w:val="24"/>
          <w:szCs w:val="24"/>
        </w:rPr>
        <w:t>分析</w:t>
      </w:r>
      <w:r w:rsidRPr="00953EEF">
        <w:rPr>
          <w:rFonts w:ascii="宋体" w:hAnsi="宋体" w:hint="eastAsia"/>
          <w:sz w:val="24"/>
          <w:szCs w:val="24"/>
        </w:rPr>
        <w:t>技术</w:t>
      </w:r>
      <w:r w:rsidRPr="00953EEF">
        <w:rPr>
          <w:rFonts w:ascii="宋体" w:hAnsi="宋体"/>
          <w:sz w:val="24"/>
          <w:szCs w:val="24"/>
        </w:rPr>
        <w:t>》模块</w:t>
      </w:r>
      <w:r w:rsidRPr="00953EEF">
        <w:rPr>
          <w:rFonts w:ascii="宋体" w:hAnsi="宋体" w:hint="eastAsia"/>
          <w:sz w:val="24"/>
          <w:szCs w:val="24"/>
        </w:rPr>
        <w:t>项目化</w:t>
      </w:r>
      <w:r w:rsidRPr="00953EEF">
        <w:rPr>
          <w:rFonts w:ascii="宋体" w:hAnsi="宋体"/>
          <w:sz w:val="24"/>
          <w:szCs w:val="24"/>
        </w:rPr>
        <w:t>课程倡导从学生</w:t>
      </w:r>
      <w:r w:rsidRPr="00953EEF">
        <w:rPr>
          <w:rFonts w:ascii="宋体" w:hAnsi="宋体" w:hint="eastAsia"/>
          <w:sz w:val="24"/>
          <w:szCs w:val="24"/>
        </w:rPr>
        <w:t>和</w:t>
      </w:r>
      <w:r w:rsidRPr="00953EEF">
        <w:rPr>
          <w:rFonts w:ascii="宋体" w:hAnsi="宋体"/>
          <w:sz w:val="24"/>
          <w:szCs w:val="24"/>
        </w:rPr>
        <w:t>生产实际的需要出发，将</w:t>
      </w:r>
      <w:r w:rsidRPr="00953EEF">
        <w:rPr>
          <w:rFonts w:ascii="宋体" w:hAnsi="宋体" w:hint="eastAsia"/>
          <w:sz w:val="24"/>
          <w:szCs w:val="24"/>
        </w:rPr>
        <w:t>“</w:t>
      </w:r>
      <w:r w:rsidRPr="00953EEF">
        <w:rPr>
          <w:rFonts w:ascii="宋体" w:hAnsi="宋体"/>
          <w:sz w:val="24"/>
          <w:szCs w:val="24"/>
        </w:rPr>
        <w:t>以能力为目标，任务</w:t>
      </w:r>
      <w:r w:rsidRPr="00953EEF">
        <w:rPr>
          <w:rFonts w:ascii="宋体" w:hAnsi="宋体" w:hint="eastAsia"/>
          <w:sz w:val="24"/>
          <w:szCs w:val="24"/>
        </w:rPr>
        <w:t>为驱动，</w:t>
      </w:r>
      <w:r w:rsidRPr="00953EEF">
        <w:rPr>
          <w:rFonts w:ascii="宋体" w:hAnsi="宋体"/>
          <w:sz w:val="24"/>
          <w:szCs w:val="24"/>
        </w:rPr>
        <w:t>项目为</w:t>
      </w:r>
      <w:r w:rsidRPr="00953EEF">
        <w:rPr>
          <w:rFonts w:ascii="宋体" w:hAnsi="宋体" w:hint="eastAsia"/>
          <w:sz w:val="24"/>
          <w:szCs w:val="24"/>
        </w:rPr>
        <w:t>载体</w:t>
      </w:r>
      <w:r w:rsidRPr="00953EEF">
        <w:rPr>
          <w:rFonts w:ascii="宋体" w:hAnsi="宋体"/>
          <w:sz w:val="24"/>
          <w:szCs w:val="24"/>
        </w:rPr>
        <w:t>，学生为主体</w:t>
      </w:r>
      <w:r w:rsidRPr="00953EEF">
        <w:rPr>
          <w:rFonts w:ascii="宋体" w:hAnsi="宋体" w:hint="eastAsia"/>
          <w:sz w:val="24"/>
          <w:szCs w:val="24"/>
        </w:rPr>
        <w:t>，</w:t>
      </w:r>
      <w:r w:rsidRPr="00953EEF">
        <w:rPr>
          <w:rFonts w:ascii="宋体" w:hAnsi="宋体"/>
          <w:sz w:val="24"/>
          <w:szCs w:val="24"/>
        </w:rPr>
        <w:t>构建学习</w:t>
      </w:r>
      <w:r w:rsidRPr="00953EEF">
        <w:rPr>
          <w:rFonts w:ascii="宋体" w:hAnsi="宋体" w:hint="eastAsia"/>
          <w:sz w:val="24"/>
          <w:szCs w:val="24"/>
        </w:rPr>
        <w:t>的实践</w:t>
      </w:r>
      <w:r w:rsidRPr="00953EEF">
        <w:rPr>
          <w:rFonts w:ascii="宋体" w:hAnsi="宋体"/>
          <w:sz w:val="24"/>
          <w:szCs w:val="24"/>
        </w:rPr>
        <w:t>情境，</w:t>
      </w:r>
      <w:r w:rsidRPr="00953EEF">
        <w:rPr>
          <w:rFonts w:ascii="宋体" w:hAnsi="宋体" w:hint="eastAsia"/>
          <w:sz w:val="24"/>
          <w:szCs w:val="24"/>
        </w:rPr>
        <w:t>理论与实践一体化教学</w:t>
      </w:r>
      <w:r w:rsidRPr="00953EEF">
        <w:rPr>
          <w:rFonts w:ascii="宋体" w:hAnsi="宋体" w:hint="eastAsia"/>
          <w:sz w:val="24"/>
          <w:szCs w:val="24"/>
        </w:rPr>
        <w:t>”</w:t>
      </w:r>
      <w:r w:rsidRPr="00953EEF">
        <w:rPr>
          <w:rFonts w:ascii="宋体" w:hAnsi="宋体"/>
          <w:sz w:val="24"/>
          <w:szCs w:val="24"/>
        </w:rPr>
        <w:t>作为课程改革的突破口，以引探</w:t>
      </w:r>
      <w:r w:rsidRPr="00953EEF">
        <w:rPr>
          <w:rFonts w:ascii="宋体" w:hAnsi="宋体" w:hint="eastAsia"/>
          <w:sz w:val="24"/>
          <w:szCs w:val="24"/>
        </w:rPr>
        <w:t>法</w:t>
      </w:r>
      <w:r w:rsidRPr="00953EEF">
        <w:rPr>
          <w:rFonts w:ascii="宋体" w:hAnsi="宋体"/>
          <w:sz w:val="24"/>
          <w:szCs w:val="24"/>
        </w:rPr>
        <w:t>为主，激发学生的主动性</w:t>
      </w:r>
      <w:r w:rsidRPr="00953EEF">
        <w:rPr>
          <w:rFonts w:ascii="宋体" w:hAnsi="宋体" w:hint="eastAsia"/>
          <w:sz w:val="24"/>
          <w:szCs w:val="24"/>
        </w:rPr>
        <w:t>、参与性</w:t>
      </w:r>
      <w:r w:rsidRPr="00953EEF">
        <w:rPr>
          <w:rFonts w:ascii="宋体" w:hAnsi="宋体"/>
          <w:sz w:val="24"/>
          <w:szCs w:val="24"/>
        </w:rPr>
        <w:t>和创新意识，使</w:t>
      </w:r>
      <w:r w:rsidRPr="00953EEF">
        <w:rPr>
          <w:rFonts w:ascii="宋体" w:hAnsi="宋体" w:hint="eastAsia"/>
          <w:sz w:val="24"/>
          <w:szCs w:val="24"/>
        </w:rPr>
        <w:t>学生</w:t>
      </w:r>
      <w:r w:rsidRPr="00953EEF">
        <w:rPr>
          <w:rFonts w:ascii="宋体" w:hAnsi="宋体"/>
          <w:sz w:val="24"/>
          <w:szCs w:val="24"/>
        </w:rPr>
        <w:t>获得知识与能力的过程也成为理解</w:t>
      </w:r>
      <w:r w:rsidRPr="00953EEF">
        <w:rPr>
          <w:rFonts w:ascii="宋体" w:hAnsi="宋体" w:hint="eastAsia"/>
          <w:sz w:val="24"/>
          <w:szCs w:val="24"/>
        </w:rPr>
        <w:t>仪器</w:t>
      </w:r>
      <w:r w:rsidRPr="00953EEF">
        <w:rPr>
          <w:rFonts w:ascii="宋体" w:hAnsi="宋体"/>
          <w:sz w:val="24"/>
          <w:szCs w:val="24"/>
        </w:rPr>
        <w:t>分析、进行科学探究、联系生产生活实际和形成科学价值观的过程。</w:t>
      </w:r>
    </w:p>
    <w:p w:rsidR="00A93329" w:rsidRPr="00953EEF" w:rsidP="00953EEF">
      <w:pPr>
        <w:spacing w:line="360" w:lineRule="auto"/>
        <w:ind w:firstLine="480" w:firstLineChars="200"/>
        <w:rPr>
          <w:rFonts w:ascii="宋体" w:hAnsi="宋体" w:hint="eastAsia"/>
          <w:b/>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134" w:right="1417" w:bottom="1134" w:left="1417" w:header="851" w:footer="992" w:gutter="0"/>
          <w:pgNumType w:start="2"/>
          <w:cols w:space="720"/>
          <w:titlePg w:val="0"/>
          <w:docGrid w:type="lines" w:linePitch="312"/>
        </w:sectPr>
      </w:pPr>
      <w:r w:rsidRPr="00953EEF">
        <w:rPr>
          <w:rFonts w:ascii="宋体" w:hAnsi="宋体" w:hint="eastAsia"/>
          <w:b/>
          <w:sz w:val="24"/>
          <w:szCs w:val="24"/>
        </w:rPr>
        <w:t>二、课程目标</w:t>
      </w:r>
      <w:bookmarkEnd w:id="0"/>
      <w:bookmarkEnd w:id="1"/>
      <w:bookmarkEnd w:id="2"/>
      <w:bookmarkEnd w:id="3"/>
      <w:bookmarkEnd w:id="4"/>
      <w:bookmarkEnd w:id="5"/>
      <w:bookmarkEnd w:id="6"/>
      <w:bookmarkEnd w:id="7"/>
      <w:bookmarkEnd w:id="8"/>
      <w:bookmarkEnd w:id="9"/>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本课程是以职业能力为目标，以项目导向、任务驱动、</w:t>
      </w:r>
      <w:r w:rsidRPr="00953EEF">
        <w:rPr>
          <w:rFonts w:ascii="宋体" w:hAnsi="宋体" w:hint="eastAsia"/>
          <w:sz w:val="24"/>
          <w:szCs w:val="24"/>
        </w:rPr>
        <w:t>“</w:t>
      </w:r>
      <w:r w:rsidRPr="00953EEF">
        <w:rPr>
          <w:rFonts w:ascii="宋体" w:hAnsi="宋体" w:hint="eastAsia"/>
          <w:sz w:val="24"/>
          <w:szCs w:val="24"/>
        </w:rPr>
        <w:t>理论-实践一体化</w:t>
      </w:r>
      <w:r w:rsidRPr="00953EEF">
        <w:rPr>
          <w:rFonts w:ascii="宋体" w:hAnsi="宋体" w:hint="eastAsia"/>
          <w:sz w:val="24"/>
          <w:szCs w:val="24"/>
        </w:rPr>
        <w:t>”</w:t>
      </w:r>
      <w:r w:rsidRPr="00953EEF">
        <w:rPr>
          <w:rFonts w:ascii="宋体" w:hAnsi="宋体" w:hint="eastAsia"/>
          <w:sz w:val="24"/>
          <w:szCs w:val="24"/>
        </w:rPr>
        <w:t>教学为特点，突出课程的综合性、实用性和技术性，使学生具备从事电分析技术工作所必备的知识、技能与素质和较强的分析问题、解决问题的能力，具有使用现代分析仪器对产品进行检验检测的能力，熟练掌握电分析方法和应用技术及分析仪器的使用和维护保养，树立全面质量管理意识，逐步培养学生科学的</w:t>
      </w:r>
      <w:r w:rsidRPr="00953EEF">
        <w:rPr>
          <w:rFonts w:ascii="宋体" w:hAnsi="宋体"/>
          <w:sz w:val="24"/>
          <w:szCs w:val="24"/>
        </w:rPr>
        <w:t>辩证思维</w:t>
      </w:r>
      <w:r w:rsidRPr="00953EEF">
        <w:rPr>
          <w:rFonts w:ascii="宋体" w:hAnsi="宋体" w:hint="eastAsia"/>
          <w:sz w:val="24"/>
          <w:szCs w:val="24"/>
        </w:rPr>
        <w:t>、严谨的工作作风、良好的职业道德和较强的</w:t>
      </w:r>
      <w:r w:rsidRPr="00953EEF">
        <w:rPr>
          <w:rFonts w:ascii="宋体" w:hAnsi="宋体"/>
          <w:sz w:val="24"/>
          <w:szCs w:val="24"/>
        </w:rPr>
        <w:t>创新能力</w:t>
      </w:r>
      <w:r w:rsidRPr="00953EEF">
        <w:rPr>
          <w:rFonts w:ascii="宋体" w:hAnsi="宋体" w:hint="eastAsia"/>
          <w:sz w:val="24"/>
          <w:szCs w:val="24"/>
        </w:rPr>
        <w:t>，具备</w:t>
      </w:r>
      <w:r w:rsidRPr="00953EEF">
        <w:rPr>
          <w:rFonts w:ascii="宋体" w:hAnsi="宋体"/>
          <w:sz w:val="24"/>
          <w:szCs w:val="24"/>
        </w:rPr>
        <w:t>团队合作精神</w:t>
      </w:r>
      <w:r w:rsidRPr="00953EEF">
        <w:rPr>
          <w:rFonts w:ascii="宋体" w:hAnsi="宋体" w:hint="eastAsia"/>
          <w:sz w:val="24"/>
          <w:szCs w:val="24"/>
        </w:rPr>
        <w:t>，为后续的专业拓展模块课程（或顶岗实习）学习打下扎实的基础。</w:t>
      </w:r>
      <w:r w:rsidRPr="00953EEF">
        <w:rPr>
          <w:rFonts w:ascii="宋体" w:hAnsi="宋体"/>
          <w:sz w:val="24"/>
          <w:szCs w:val="24"/>
        </w:rPr>
        <w:t>具体可以分为知识目标</w:t>
      </w:r>
      <w:r w:rsidRPr="00953EEF">
        <w:rPr>
          <w:rFonts w:ascii="宋体" w:hAnsi="宋体" w:hint="eastAsia"/>
          <w:sz w:val="24"/>
          <w:szCs w:val="24"/>
        </w:rPr>
        <w:t>、能力目标</w:t>
      </w:r>
      <w:r w:rsidRPr="00953EEF">
        <w:rPr>
          <w:rFonts w:ascii="宋体" w:hAnsi="宋体"/>
          <w:sz w:val="24"/>
          <w:szCs w:val="24"/>
        </w:rPr>
        <w:t>和素质目标。</w:t>
      </w:r>
    </w:p>
    <w:p w:rsidR="00A93329" w:rsidRPr="00953EEF" w:rsidP="00953EEF">
      <w:pPr>
        <w:spacing w:line="360" w:lineRule="auto"/>
        <w:ind w:firstLine="480" w:firstLineChars="200"/>
        <w:rPr>
          <w:rFonts w:ascii="宋体" w:hAnsi="宋体" w:hint="eastAsia"/>
          <w:b/>
          <w:sz w:val="24"/>
          <w:szCs w:val="24"/>
        </w:rPr>
      </w:pPr>
      <w:r w:rsidRPr="00953EEF">
        <w:rPr>
          <w:rFonts w:ascii="宋体" w:hAnsi="宋体" w:hint="eastAsia"/>
          <w:b/>
          <w:sz w:val="24"/>
          <w:szCs w:val="24"/>
        </w:rPr>
        <w:t>1.知识目标</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（1）了解电位分析法的方法分类及其所用分析仪器的各个组成部件；</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（2）理解电位分析法的基本原理及其分析流程；</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（3）理解电位分析法的操作条件选择、优化的原则和方法；</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（4）合理应用电位分析法的专门术语及其定量方法；</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（5）掌握验证测试数据的可靠性和评价相关产品品质的知识；</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（6）理解电分析与测试中计算机技术的相关知识；</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（7）了解相关文献资料的检索方法和实验室管理知识。</w:t>
      </w:r>
    </w:p>
    <w:p w:rsidR="00A93329" w:rsidRPr="00953EEF" w:rsidP="00953EEF">
      <w:pPr>
        <w:spacing w:line="360" w:lineRule="auto"/>
        <w:ind w:firstLine="480" w:firstLineChars="200"/>
        <w:rPr>
          <w:rFonts w:ascii="宋体" w:hAnsi="宋体"/>
          <w:b/>
          <w:sz w:val="24"/>
          <w:szCs w:val="24"/>
        </w:rPr>
      </w:pPr>
      <w:r w:rsidRPr="00953EEF">
        <w:rPr>
          <w:rFonts w:ascii="宋体" w:hAnsi="宋体"/>
          <w:b/>
          <w:sz w:val="24"/>
          <w:szCs w:val="24"/>
        </w:rPr>
        <w:t>2.能力目标</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（1）能独立操作电位分析仪器；</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（2）针对具体样品能完成从试样处理到仪器操作、试验条件确定、定性或定量分析、数据处理、结果验证的整个过程，准确表述分析结果；</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（3）能对实验数据和分析方法作出科学的评价；</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（4）能对分析仪器进行日常维护，分析故障的可能原因，并排除仪器操作过程中出现的简单故障；</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（5）能按说明书制定分析仪器的操作规程；</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（6）能通过文献检索和网络，查阅相关资料，选择合适的分析方案；</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（7）对实际样品能设计合理的分析方案，并完成分析任务；</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（8）能综合运用所学知识和各类电分析方法，在分析测定过程中及时发现各种问题，进行独立判断，并提出合理的解决方案。</w:t>
      </w:r>
    </w:p>
    <w:p w:rsidR="00A93329" w:rsidRPr="00953EEF" w:rsidP="00953EEF">
      <w:pPr>
        <w:spacing w:line="360" w:lineRule="auto"/>
        <w:ind w:firstLine="480" w:firstLineChars="200"/>
        <w:rPr>
          <w:rFonts w:ascii="宋体" w:hAnsi="宋体" w:hint="eastAsia"/>
          <w:b/>
          <w:sz w:val="24"/>
          <w:szCs w:val="24"/>
        </w:rPr>
      </w:pPr>
      <w:r w:rsidRPr="00953EEF">
        <w:rPr>
          <w:rFonts w:ascii="宋体" w:hAnsi="宋体" w:hint="eastAsia"/>
          <w:b/>
          <w:sz w:val="24"/>
          <w:szCs w:val="24"/>
        </w:rPr>
        <w:t>3</w:t>
      </w:r>
      <w:r w:rsidRPr="00953EEF">
        <w:rPr>
          <w:rFonts w:ascii="宋体" w:hAnsi="宋体"/>
          <w:b/>
          <w:sz w:val="24"/>
          <w:szCs w:val="24"/>
        </w:rPr>
        <w:t>.</w:t>
      </w:r>
      <w:r w:rsidRPr="00953EEF">
        <w:rPr>
          <w:rFonts w:ascii="宋体" w:hAnsi="宋体" w:hint="eastAsia"/>
          <w:b/>
          <w:sz w:val="24"/>
          <w:szCs w:val="24"/>
        </w:rPr>
        <w:t>素质目标</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（1）领悟全面质量管理理念，营造规范、整洁、有序的工作环境；</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（2）追求实是求事、一丝不苟的工作作风；</w:t>
      </w:r>
    </w:p>
    <w:p w:rsidR="00A93329" w:rsidRPr="00953EEF" w:rsidP="00953EEF">
      <w:pPr>
        <w:spacing w:line="360" w:lineRule="auto"/>
        <w:ind w:firstLine="480" w:firstLineChars="200"/>
        <w:rPr>
          <w:rFonts w:ascii="宋体" w:hAnsi="宋体" w:hint="eastAsia"/>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134" w:right="1417" w:bottom="1134" w:left="1417" w:header="851" w:footer="992" w:gutter="0"/>
          <w:pgNumType w:start="3"/>
          <w:cols w:space="720"/>
          <w:titlePg w:val="0"/>
          <w:docGrid w:type="lines" w:linePitch="312"/>
        </w:sectPr>
      </w:pPr>
      <w:r w:rsidRPr="00953EEF">
        <w:rPr>
          <w:rFonts w:ascii="宋体" w:hAnsi="宋体" w:hint="eastAsia"/>
          <w:sz w:val="24"/>
          <w:szCs w:val="24"/>
        </w:rPr>
        <w:t>（3）强化科学、创新、竞争、参与、安全、节约和环保意识；</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（4）具有良好的职业道德品质和团队合作精神。</w:t>
      </w:r>
    </w:p>
    <w:p w:rsidR="00A93329" w:rsidRPr="00953EEF" w:rsidP="00953EEF">
      <w:pPr>
        <w:spacing w:line="360" w:lineRule="auto"/>
        <w:ind w:firstLine="480" w:firstLineChars="200"/>
        <w:rPr>
          <w:rFonts w:ascii="宋体" w:hAnsi="宋体" w:hint="eastAsia"/>
          <w:b/>
          <w:sz w:val="24"/>
          <w:szCs w:val="24"/>
        </w:rPr>
      </w:pPr>
      <w:r w:rsidRPr="00953EEF">
        <w:rPr>
          <w:rFonts w:ascii="宋体" w:hAnsi="宋体" w:hint="eastAsia"/>
          <w:b/>
          <w:sz w:val="24"/>
          <w:szCs w:val="24"/>
        </w:rPr>
        <w:t>三、课程设计</w:t>
      </w:r>
    </w:p>
    <w:p w:rsidR="00A93329" w:rsidRPr="00953EEF" w:rsidP="00953EEF">
      <w:pPr>
        <w:spacing w:line="360" w:lineRule="auto"/>
        <w:ind w:firstLine="480" w:firstLineChars="200"/>
        <w:rPr>
          <w:rFonts w:ascii="宋体" w:hAnsi="宋体"/>
          <w:b/>
          <w:sz w:val="24"/>
          <w:szCs w:val="24"/>
        </w:rPr>
      </w:pPr>
      <w:r w:rsidRPr="00953EEF">
        <w:rPr>
          <w:rFonts w:ascii="宋体" w:hAnsi="宋体"/>
          <w:b/>
          <w:sz w:val="24"/>
          <w:szCs w:val="24"/>
        </w:rPr>
        <w:t>1</w:t>
      </w:r>
      <w:r w:rsidRPr="00953EEF">
        <w:rPr>
          <w:rFonts w:ascii="宋体" w:hAnsi="宋体"/>
          <w:b/>
          <w:sz w:val="24"/>
          <w:szCs w:val="24"/>
        </w:rPr>
        <w:t>.</w:t>
      </w:r>
      <w:r w:rsidRPr="00953EEF">
        <w:rPr>
          <w:rFonts w:ascii="宋体" w:hAnsi="宋体" w:hint="eastAsia"/>
          <w:b/>
          <w:sz w:val="24"/>
          <w:szCs w:val="24"/>
        </w:rPr>
        <w:t>设计</w:t>
      </w:r>
      <w:r w:rsidRPr="00953EEF">
        <w:rPr>
          <w:rFonts w:ascii="宋体" w:hAnsi="宋体"/>
          <w:b/>
          <w:sz w:val="24"/>
          <w:szCs w:val="24"/>
        </w:rPr>
        <w:t>基本理念</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（1）以学生为本，注重全面素质教育</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社会经济的蓬勃发展对人才素质提出了更高的要求，高职教育不仅要使学生掌握专业知识与技能，还应使其具备较高的综合素质。素质的培养必须以学生为中心。在仪器分析教学中，必须以学生为主体，让学生进行实践操作为基础，采用引探法教学，通过教师设置学习情境，引导学生积极主动地参与教学活动，把学生学习的趣味性、主动性、探究性、参与性与创造性有机地融合，将学生置于一种动态、开放和多元的学习环境中，着重培养学生的开放性思维、创新的合作精神和获取信息的能力，挖掘学生的内在潜能，使他们的素质全面和谐地发展。</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（2）依据认知规律，提高教学效率</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课堂教学是由教学内容、学生、教师和教学环境整合而成的系统，是师生共同探求新知识的过程。因此，电分析技术课堂教学要遵循学生认知规律，展现知识的产生、发展和形成过程，使学生的获得认知、参加活动、增加体验、发展情感和价值观在学习中得到和谐统一。</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在电分析技术教学中，应根据</w:t>
      </w:r>
      <w:r w:rsidRPr="00953EEF">
        <w:rPr>
          <w:rFonts w:ascii="宋体" w:hAnsi="宋体" w:hint="eastAsia"/>
          <w:sz w:val="24"/>
          <w:szCs w:val="24"/>
        </w:rPr>
        <w:t>“</w:t>
      </w:r>
      <w:r w:rsidRPr="00953EEF">
        <w:rPr>
          <w:rFonts w:ascii="宋体" w:hAnsi="宋体" w:hint="eastAsia"/>
          <w:sz w:val="24"/>
          <w:szCs w:val="24"/>
        </w:rPr>
        <w:t>由浅入深、由易到难、由表及里</w:t>
      </w:r>
      <w:r w:rsidRPr="00953EEF">
        <w:rPr>
          <w:rFonts w:ascii="宋体" w:hAnsi="宋体" w:hint="eastAsia"/>
          <w:sz w:val="24"/>
          <w:szCs w:val="24"/>
        </w:rPr>
        <w:t>”</w:t>
      </w:r>
      <w:r w:rsidRPr="00953EEF">
        <w:rPr>
          <w:rFonts w:ascii="宋体" w:hAnsi="宋体" w:hint="eastAsia"/>
          <w:sz w:val="24"/>
          <w:szCs w:val="24"/>
        </w:rPr>
        <w:t>的认知心理顺序，建立</w:t>
      </w:r>
      <w:r w:rsidRPr="00953EEF">
        <w:rPr>
          <w:rFonts w:ascii="宋体" w:hAnsi="宋体" w:hint="eastAsia"/>
          <w:sz w:val="24"/>
          <w:szCs w:val="24"/>
        </w:rPr>
        <w:t>“</w:t>
      </w:r>
      <w:r w:rsidRPr="00953EEF">
        <w:rPr>
          <w:rFonts w:ascii="宋体" w:hAnsi="宋体" w:hint="eastAsia"/>
          <w:sz w:val="24"/>
          <w:szCs w:val="24"/>
        </w:rPr>
        <w:t>实践</w:t>
      </w:r>
      <w:r w:rsidRPr="00953EEF">
        <w:rPr>
          <w:rFonts w:ascii="宋体" w:hAnsi="宋体" w:hint="eastAsia"/>
          <w:sz w:val="24"/>
          <w:szCs w:val="24"/>
        </w:rPr>
        <w:t>—</w:t>
      </w:r>
      <w:r w:rsidRPr="00953EEF">
        <w:rPr>
          <w:rFonts w:ascii="宋体" w:hAnsi="宋体" w:hint="eastAsia"/>
          <w:sz w:val="24"/>
          <w:szCs w:val="24"/>
        </w:rPr>
        <w:t>理论</w:t>
      </w:r>
      <w:r w:rsidRPr="00953EEF">
        <w:rPr>
          <w:rFonts w:ascii="宋体" w:hAnsi="宋体" w:hint="eastAsia"/>
          <w:sz w:val="24"/>
          <w:szCs w:val="24"/>
        </w:rPr>
        <w:t>—</w:t>
      </w:r>
      <w:r w:rsidRPr="00953EEF">
        <w:rPr>
          <w:rFonts w:ascii="宋体" w:hAnsi="宋体" w:hint="eastAsia"/>
          <w:sz w:val="24"/>
          <w:szCs w:val="24"/>
        </w:rPr>
        <w:t>再实践</w:t>
      </w:r>
      <w:r w:rsidRPr="00953EEF">
        <w:rPr>
          <w:rFonts w:ascii="宋体" w:hAnsi="宋体" w:hint="eastAsia"/>
          <w:sz w:val="24"/>
          <w:szCs w:val="24"/>
        </w:rPr>
        <w:t>—</w:t>
      </w:r>
      <w:r w:rsidRPr="00953EEF">
        <w:rPr>
          <w:rFonts w:ascii="宋体" w:hAnsi="宋体" w:hint="eastAsia"/>
          <w:sz w:val="24"/>
          <w:szCs w:val="24"/>
        </w:rPr>
        <w:t>再理论</w:t>
      </w:r>
      <w:r w:rsidRPr="00953EEF">
        <w:rPr>
          <w:rFonts w:ascii="宋体" w:hAnsi="宋体" w:hint="eastAsia"/>
          <w:sz w:val="24"/>
          <w:szCs w:val="24"/>
        </w:rPr>
        <w:t>”</w:t>
      </w:r>
      <w:r w:rsidRPr="00953EEF">
        <w:rPr>
          <w:rFonts w:ascii="宋体" w:hAnsi="宋体" w:hint="eastAsia"/>
          <w:sz w:val="24"/>
          <w:szCs w:val="24"/>
        </w:rPr>
        <w:t>的教学活动过程，将</w:t>
      </w:r>
      <w:r w:rsidRPr="00953EEF">
        <w:rPr>
          <w:rFonts w:ascii="宋体" w:hAnsi="宋体" w:hint="eastAsia"/>
          <w:sz w:val="24"/>
          <w:szCs w:val="24"/>
        </w:rPr>
        <w:t>“</w:t>
      </w:r>
      <w:r w:rsidRPr="00953EEF">
        <w:rPr>
          <w:rFonts w:ascii="宋体" w:hAnsi="宋体" w:hint="eastAsia"/>
          <w:sz w:val="24"/>
          <w:szCs w:val="24"/>
        </w:rPr>
        <w:t>一体化、多层次、开放式</w:t>
      </w:r>
      <w:r w:rsidRPr="00953EEF">
        <w:rPr>
          <w:rFonts w:ascii="宋体" w:hAnsi="宋体" w:hint="eastAsia"/>
          <w:sz w:val="24"/>
          <w:szCs w:val="24"/>
        </w:rPr>
        <w:t>”</w:t>
      </w:r>
      <w:r w:rsidRPr="00953EEF">
        <w:rPr>
          <w:rFonts w:ascii="宋体" w:hAnsi="宋体" w:hint="eastAsia"/>
          <w:sz w:val="24"/>
          <w:szCs w:val="24"/>
        </w:rPr>
        <w:t>的实践教学体系与理论知识的传授融合，构建</w:t>
      </w:r>
      <w:r w:rsidRPr="00953EEF">
        <w:rPr>
          <w:rFonts w:ascii="宋体" w:hAnsi="宋体" w:hint="eastAsia"/>
          <w:sz w:val="24"/>
          <w:szCs w:val="24"/>
        </w:rPr>
        <w:t>“</w:t>
      </w:r>
      <w:r w:rsidRPr="00953EEF">
        <w:rPr>
          <w:rFonts w:ascii="宋体" w:hAnsi="宋体" w:hint="eastAsia"/>
          <w:sz w:val="24"/>
          <w:szCs w:val="24"/>
        </w:rPr>
        <w:t>基本技能训练</w:t>
      </w:r>
      <w:r w:rsidRPr="00953EEF">
        <w:rPr>
          <w:rFonts w:ascii="宋体" w:hAnsi="宋体" w:hint="eastAsia"/>
          <w:sz w:val="24"/>
          <w:szCs w:val="24"/>
        </w:rPr>
        <w:t>—</w:t>
      </w:r>
      <w:r w:rsidRPr="00953EEF">
        <w:rPr>
          <w:rFonts w:ascii="宋体" w:hAnsi="宋体" w:hint="eastAsia"/>
          <w:sz w:val="24"/>
          <w:szCs w:val="24"/>
        </w:rPr>
        <w:t>技术知识</w:t>
      </w:r>
      <w:r w:rsidRPr="00953EEF">
        <w:rPr>
          <w:rFonts w:ascii="宋体" w:hAnsi="宋体" w:hint="eastAsia"/>
          <w:sz w:val="24"/>
          <w:szCs w:val="24"/>
        </w:rPr>
        <w:t>—</w:t>
      </w:r>
      <w:r w:rsidRPr="00953EEF">
        <w:rPr>
          <w:rFonts w:ascii="宋体" w:hAnsi="宋体" w:hint="eastAsia"/>
          <w:sz w:val="24"/>
          <w:szCs w:val="24"/>
        </w:rPr>
        <w:t>专题实验项目</w:t>
      </w:r>
      <w:r w:rsidRPr="00953EEF">
        <w:rPr>
          <w:rFonts w:ascii="宋体" w:hAnsi="宋体" w:hint="eastAsia"/>
          <w:sz w:val="24"/>
          <w:szCs w:val="24"/>
        </w:rPr>
        <w:t>—</w:t>
      </w:r>
      <w:r w:rsidRPr="00953EEF">
        <w:rPr>
          <w:rFonts w:ascii="宋体" w:hAnsi="宋体" w:hint="eastAsia"/>
          <w:sz w:val="24"/>
          <w:szCs w:val="24"/>
        </w:rPr>
        <w:t>技术理论</w:t>
      </w:r>
      <w:r w:rsidRPr="00953EEF">
        <w:rPr>
          <w:rFonts w:ascii="宋体" w:hAnsi="宋体" w:hint="eastAsia"/>
          <w:sz w:val="24"/>
          <w:szCs w:val="24"/>
        </w:rPr>
        <w:t>—</w:t>
      </w:r>
      <w:r w:rsidRPr="00953EEF">
        <w:rPr>
          <w:rFonts w:ascii="宋体" w:hAnsi="宋体" w:hint="eastAsia"/>
          <w:sz w:val="24"/>
          <w:szCs w:val="24"/>
        </w:rPr>
        <w:t>创新实验</w:t>
      </w:r>
      <w:r w:rsidRPr="00953EEF">
        <w:rPr>
          <w:rFonts w:ascii="宋体" w:hAnsi="宋体" w:hint="eastAsia"/>
          <w:sz w:val="24"/>
          <w:szCs w:val="24"/>
        </w:rPr>
        <w:t>”</w:t>
      </w:r>
      <w:r w:rsidRPr="00953EEF">
        <w:rPr>
          <w:rFonts w:ascii="宋体" w:hAnsi="宋体" w:hint="eastAsia"/>
          <w:sz w:val="24"/>
          <w:szCs w:val="24"/>
        </w:rPr>
        <w:t>的教学体系，循序渐进地提高学生的认知水平、操作技能和工作能力，最有效地提高教学效率。</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（3）行动导向教学，提高学生的积极性</w:t>
      </w:r>
    </w:p>
    <w:p w:rsidR="00A93329" w:rsidRPr="00953EEF" w:rsidP="00953EEF">
      <w:pPr>
        <w:spacing w:line="360" w:lineRule="auto"/>
        <w:ind w:firstLine="480" w:firstLineChars="200"/>
        <w:rPr>
          <w:rFonts w:ascii="宋体" w:hAnsi="宋体" w:hint="eastAsia"/>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134" w:right="1417" w:bottom="1134" w:left="1417" w:header="851" w:footer="992" w:gutter="0"/>
          <w:pgNumType w:start="4"/>
          <w:cols w:space="720"/>
          <w:titlePg w:val="0"/>
          <w:docGrid w:type="lines" w:linePitch="312"/>
        </w:sectPr>
      </w:pPr>
      <w:r w:rsidRPr="00953EEF">
        <w:rPr>
          <w:rFonts w:ascii="宋体" w:hAnsi="宋体" w:hint="eastAsia"/>
          <w:sz w:val="24"/>
          <w:szCs w:val="24"/>
        </w:rPr>
        <w:t>《电分析技术》课程教学实施行动导向教学，构建</w:t>
      </w:r>
      <w:r w:rsidRPr="00953EEF">
        <w:rPr>
          <w:rFonts w:ascii="宋体" w:hAnsi="宋体" w:hint="eastAsia"/>
          <w:sz w:val="24"/>
          <w:szCs w:val="24"/>
        </w:rPr>
        <w:t>“</w:t>
      </w:r>
      <w:r w:rsidRPr="00953EEF">
        <w:rPr>
          <w:rFonts w:ascii="宋体" w:hAnsi="宋体" w:hint="eastAsia"/>
          <w:sz w:val="24"/>
          <w:szCs w:val="24"/>
        </w:rPr>
        <w:t>真实的虚拟</w:t>
      </w:r>
      <w:r w:rsidRPr="00953EEF">
        <w:rPr>
          <w:rFonts w:ascii="宋体" w:hAnsi="宋体" w:hint="eastAsia"/>
          <w:sz w:val="24"/>
          <w:szCs w:val="24"/>
        </w:rPr>
        <w:t>”</w:t>
      </w:r>
      <w:r w:rsidRPr="00953EEF">
        <w:rPr>
          <w:rFonts w:ascii="宋体" w:hAnsi="宋体" w:hint="eastAsia"/>
          <w:sz w:val="24"/>
          <w:szCs w:val="24"/>
        </w:rPr>
        <w:t>学习情境，遵循为行动而学习的原则，让行动成为学习的起始点，尽可能地让学生通过行动来学习，学生不再是教学的受体，更重要的是学习的主体。为此，精心设计以生产生活实践中具体样品的检测项目为导向的项目化教学，按照</w:t>
      </w:r>
      <w:r w:rsidRPr="00953EEF">
        <w:rPr>
          <w:rFonts w:ascii="宋体" w:hAnsi="宋体" w:hint="eastAsia"/>
          <w:sz w:val="24"/>
          <w:szCs w:val="24"/>
        </w:rPr>
        <w:t>“</w:t>
      </w:r>
      <w:r w:rsidRPr="00953EEF">
        <w:rPr>
          <w:rFonts w:ascii="宋体" w:hAnsi="宋体" w:hint="eastAsia"/>
          <w:sz w:val="24"/>
          <w:szCs w:val="24"/>
        </w:rPr>
        <w:t>基本技能训练</w:t>
      </w:r>
      <w:r w:rsidRPr="00953EEF">
        <w:rPr>
          <w:rFonts w:ascii="宋体" w:hAnsi="宋体" w:hint="eastAsia"/>
          <w:sz w:val="24"/>
          <w:szCs w:val="24"/>
        </w:rPr>
        <w:t>—</w:t>
      </w:r>
      <w:r w:rsidRPr="00953EEF">
        <w:rPr>
          <w:rFonts w:ascii="宋体" w:hAnsi="宋体" w:hint="eastAsia"/>
          <w:sz w:val="24"/>
          <w:szCs w:val="24"/>
        </w:rPr>
        <w:t>技术知识</w:t>
      </w:r>
      <w:r w:rsidRPr="00953EEF">
        <w:rPr>
          <w:rFonts w:ascii="宋体" w:hAnsi="宋体" w:hint="eastAsia"/>
          <w:sz w:val="24"/>
          <w:szCs w:val="24"/>
        </w:rPr>
        <w:t>—</w:t>
      </w:r>
      <w:r w:rsidRPr="00953EEF">
        <w:rPr>
          <w:rFonts w:ascii="宋体" w:hAnsi="宋体" w:hint="eastAsia"/>
          <w:sz w:val="24"/>
          <w:szCs w:val="24"/>
        </w:rPr>
        <w:t>专题实验项目</w:t>
      </w:r>
      <w:r w:rsidRPr="00953EEF">
        <w:rPr>
          <w:rFonts w:ascii="宋体" w:hAnsi="宋体" w:hint="eastAsia"/>
          <w:sz w:val="24"/>
          <w:szCs w:val="24"/>
        </w:rPr>
        <w:t>—</w:t>
      </w:r>
      <w:r w:rsidRPr="00953EEF">
        <w:rPr>
          <w:rFonts w:ascii="宋体" w:hAnsi="宋体" w:hint="eastAsia"/>
          <w:sz w:val="24"/>
          <w:szCs w:val="24"/>
        </w:rPr>
        <w:t>技术理论</w:t>
      </w:r>
      <w:r w:rsidRPr="00953EEF">
        <w:rPr>
          <w:rFonts w:ascii="宋体" w:hAnsi="宋体" w:hint="eastAsia"/>
          <w:sz w:val="24"/>
          <w:szCs w:val="24"/>
        </w:rPr>
        <w:t>—</w:t>
      </w:r>
      <w:r w:rsidRPr="00953EEF">
        <w:rPr>
          <w:rFonts w:ascii="宋体" w:hAnsi="宋体" w:hint="eastAsia"/>
          <w:sz w:val="24"/>
          <w:szCs w:val="24"/>
        </w:rPr>
        <w:t>创新实验</w:t>
      </w:r>
      <w:r w:rsidRPr="00953EEF">
        <w:rPr>
          <w:rFonts w:ascii="宋体" w:hAnsi="宋体" w:hint="eastAsia"/>
          <w:sz w:val="24"/>
          <w:szCs w:val="24"/>
        </w:rPr>
        <w:t>”</w:t>
      </w:r>
      <w:r w:rsidRPr="00953EEF">
        <w:rPr>
          <w:rFonts w:ascii="宋体" w:hAnsi="宋体" w:hint="eastAsia"/>
          <w:sz w:val="24"/>
          <w:szCs w:val="24"/>
        </w:rPr>
        <w:t>教学体系来构建各子模块中的项目教学任务，每个任务可以作为一个教学单元来组织教学，课时按需分配，以职业能力为目标，构建</w:t>
      </w:r>
      <w:r w:rsidRPr="00953EEF">
        <w:rPr>
          <w:rFonts w:ascii="宋体" w:hAnsi="宋体" w:hint="eastAsia"/>
          <w:sz w:val="24"/>
          <w:szCs w:val="24"/>
        </w:rPr>
        <w:t>“</w:t>
      </w:r>
      <w:r w:rsidRPr="00953EEF">
        <w:rPr>
          <w:rFonts w:ascii="宋体" w:hAnsi="宋体" w:hint="eastAsia"/>
          <w:sz w:val="24"/>
          <w:szCs w:val="24"/>
        </w:rPr>
        <w:t>理论-实践一体化</w:t>
      </w:r>
      <w:r w:rsidRPr="00953EEF">
        <w:rPr>
          <w:rFonts w:ascii="宋体" w:hAnsi="宋体" w:hint="eastAsia"/>
          <w:sz w:val="24"/>
          <w:szCs w:val="24"/>
        </w:rPr>
        <w:t>”</w:t>
      </w:r>
      <w:r w:rsidRPr="00953EEF">
        <w:rPr>
          <w:rFonts w:ascii="宋体" w:hAnsi="宋体" w:hint="eastAsia"/>
          <w:sz w:val="24"/>
          <w:szCs w:val="24"/>
        </w:rPr>
        <w:t>的教学过程，教学活动主要在实训室完成。在整个教学过程中，学生是基于主动、情境、引导和社会化意义的</w:t>
      </w:r>
      <w:r w:rsidRPr="00953EEF">
        <w:rPr>
          <w:rFonts w:ascii="宋体" w:hAnsi="宋体" w:hint="eastAsia"/>
          <w:sz w:val="24"/>
          <w:szCs w:val="24"/>
        </w:rPr>
        <w:t>“</w:t>
      </w:r>
      <w:r w:rsidRPr="00953EEF">
        <w:rPr>
          <w:rFonts w:ascii="宋体" w:hAnsi="宋体" w:hint="eastAsia"/>
          <w:sz w:val="24"/>
          <w:szCs w:val="24"/>
        </w:rPr>
        <w:t>学</w:t>
      </w:r>
      <w:r w:rsidRPr="00953EEF">
        <w:rPr>
          <w:rFonts w:ascii="宋体" w:hAnsi="宋体" w:hint="eastAsia"/>
          <w:sz w:val="24"/>
          <w:szCs w:val="24"/>
        </w:rPr>
        <w:t>”</w:t>
      </w:r>
      <w:r w:rsidRPr="00953EEF">
        <w:rPr>
          <w:rFonts w:ascii="宋体" w:hAnsi="宋体" w:hint="eastAsia"/>
          <w:sz w:val="24"/>
          <w:szCs w:val="24"/>
        </w:rPr>
        <w:t>，教师则是基于激励、咨询、描述和解释性意义的</w:t>
      </w:r>
      <w:r w:rsidRPr="00953EEF">
        <w:rPr>
          <w:rFonts w:ascii="宋体" w:hAnsi="宋体" w:hint="eastAsia"/>
          <w:sz w:val="24"/>
          <w:szCs w:val="24"/>
        </w:rPr>
        <w:t>“</w:t>
      </w:r>
      <w:r w:rsidRPr="00953EEF">
        <w:rPr>
          <w:rFonts w:ascii="宋体" w:hAnsi="宋体" w:hint="eastAsia"/>
          <w:sz w:val="24"/>
          <w:szCs w:val="24"/>
        </w:rPr>
        <w:t>教</w:t>
      </w:r>
      <w:r w:rsidRPr="00953EEF">
        <w:rPr>
          <w:rFonts w:ascii="宋体" w:hAnsi="宋体" w:hint="eastAsia"/>
          <w:sz w:val="24"/>
          <w:szCs w:val="24"/>
        </w:rPr>
        <w:t>”</w:t>
      </w:r>
      <w:r w:rsidRPr="00953EEF">
        <w:rPr>
          <w:rFonts w:ascii="宋体" w:hAnsi="宋体" w:hint="eastAsia"/>
          <w:sz w:val="24"/>
          <w:szCs w:val="24"/>
        </w:rPr>
        <w:t>，最大程度地提高学生的积极性。</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（4）工作过程为中心，推进课程融合</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课程按照对实际的多个职业工作过程的归纳、整合后的职业工作顺序来设计课程体系的每一个子模块。学生通过一个子模块的学习，就可以完成职业的一个典型的综合性工作任务。通过若干个相互关联的所有子模块的学习，学生就可以获得检验检测职业的从业资格和能力。</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在《电分析技术》课程教学中，按照仪器分析概述和方法划分为3个子模块，精心设计每一个子模块的教学项目，按职业工作过程建立子模块的课程内容结构。以情境教学为主、任务驱动，按职业活动过程的每一个环节来传授相关的技术知识，使学生在实施任务过程中传授相应的技术知识和完成操作技能训练，实现操作技能和理论知识的有机整合，教师在整个教学过程中，扮演着一个组织者、引导者、协调人的角色，勤于提供指导、咨询和帮助。</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（5）任务驱动，倡导引探教学</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课程倡导基于任务的教学模式，让学生在教师的指导下，通过感知、体验、实践、参与和合作等方式，实现完成任务所要达到的目标，感受成功，在学习过程中进行情感和策略调整，以形成积极的学习态度。</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教学过程是一个学生主动参与的过程，主要采用引探教学法。学生在教师的引导下，实践、探究而完成整个教学过程。强调学生团结协作，积极主动参与，培养学生全新的学习方式，自主、合作、探究，在掌握知识与技能的同时，使学生体会到学习的乐趣，注重过程体验，培养学生积极的学习态度和情感，有效地提高学生的综合职业能力。</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（6）注重过程评价，促进学生发展</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模块项目化课程，不仅注重学生的学习结果，更重要的是注重完成学习任务的全过程。教学评价做到形成性评价与总结性评价相结合，定性评价与定量评价相结合，注重过程评价，并更多地关注学生自身的发展。以工作过程为中心的电分析技术课程教学模式，应进行以激发学生潜在的学习动力，提高学习效率为目的，并为学生的终身发展提供服务的发展性教学评价，反对通过单一量化手段进行评价，主张评价主体互动化，评价内容多元化，评价过程动态化。在评价过程中，应注意评价的正面鼓励和激励作用，公正的评价和真诚的激励能使学生获得巨大的动力，从而鼓足前进的勇气，使师生间的情感关系达到质的飞跃。</w:t>
      </w:r>
    </w:p>
    <w:p w:rsidR="00A93329" w:rsidRPr="00953EEF" w:rsidP="00953EEF">
      <w:pPr>
        <w:spacing w:line="360" w:lineRule="auto"/>
        <w:ind w:firstLine="480" w:firstLineChars="200"/>
        <w:rPr>
          <w:rFonts w:ascii="宋体" w:hAnsi="宋体" w:hint="eastAsia"/>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134" w:right="1417" w:bottom="1134" w:left="1417" w:header="851" w:footer="992" w:gutter="0"/>
          <w:pgNumType w:start="5"/>
          <w:cols w:space="720"/>
          <w:titlePg w:val="0"/>
          <w:docGrid w:type="lines" w:linePitch="312"/>
        </w:sectPr>
      </w:pP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本课程理论知识考核采用学习报告、课堂提问、课堂练习、作业、讨论题，辅以学习态度考核、阶段性考核、期末综合性考核等多种形式结合，其中讨论题可以采用分组、分层次、学生自制相关</w:t>
      </w:r>
      <w:r w:rsidRPr="00953EEF">
        <w:rPr>
          <w:rFonts w:ascii="宋体" w:hAnsi="宋体" w:hint="eastAsia"/>
          <w:sz w:val="24"/>
          <w:szCs w:val="24"/>
        </w:rPr>
        <w:t>“</w:t>
      </w:r>
      <w:r w:rsidRPr="00953EEF">
        <w:rPr>
          <w:rFonts w:ascii="宋体" w:hAnsi="宋体" w:hint="eastAsia"/>
          <w:sz w:val="24"/>
          <w:szCs w:val="24"/>
        </w:rPr>
        <w:t>报告</w:t>
      </w:r>
      <w:r w:rsidRPr="00953EEF">
        <w:rPr>
          <w:rFonts w:ascii="宋体" w:hAnsi="宋体" w:hint="eastAsia"/>
          <w:sz w:val="24"/>
          <w:szCs w:val="24"/>
        </w:rPr>
        <w:t>”</w:t>
      </w:r>
      <w:r w:rsidRPr="00953EEF">
        <w:rPr>
          <w:rFonts w:ascii="宋体" w:hAnsi="宋体" w:hint="eastAsia"/>
          <w:sz w:val="24"/>
          <w:szCs w:val="24"/>
        </w:rPr>
        <w:t>上台讲解、小组讨论等形式；课堂提问与课堂练习则力求兼顾全班同学，活跃课堂教学氛围；阶段性考核和期末综合性考核可以是闭卷、口试、操作考试及笔试相结合、技能竞赛等形式，考核内容以应用为主，着力避免</w:t>
      </w:r>
      <w:r w:rsidRPr="00953EEF">
        <w:rPr>
          <w:rFonts w:ascii="宋体" w:hAnsi="宋体" w:hint="eastAsia"/>
          <w:sz w:val="24"/>
          <w:szCs w:val="24"/>
        </w:rPr>
        <w:t>“</w:t>
      </w:r>
      <w:r w:rsidRPr="00953EEF">
        <w:rPr>
          <w:rFonts w:ascii="宋体" w:hAnsi="宋体" w:hint="eastAsia"/>
          <w:sz w:val="24"/>
          <w:szCs w:val="24"/>
        </w:rPr>
        <w:t>死记硬背得高分</w:t>
      </w:r>
      <w:r w:rsidRPr="00953EEF">
        <w:rPr>
          <w:rFonts w:ascii="宋体" w:hAnsi="宋体" w:hint="eastAsia"/>
          <w:sz w:val="24"/>
          <w:szCs w:val="24"/>
        </w:rPr>
        <w:t>”</w:t>
      </w:r>
      <w:r w:rsidRPr="00953EEF">
        <w:rPr>
          <w:rFonts w:ascii="宋体" w:hAnsi="宋体" w:hint="eastAsia"/>
          <w:sz w:val="24"/>
          <w:szCs w:val="24"/>
        </w:rPr>
        <w:t>的现象，培养学生的综合能力。</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操作技能考核注重实验综合技能，参照职业技能鉴定标准，精心设计操作技能考核评分表，在完成每个实训项目的训练后，要求学生按照评分标准自检、互检和校内外教师检，从而保证公平、公正地评价学生。对考核不合格的学生，则要求其在开放的实训室完成再训练，直到达标为止，由此确保每位学生均能达到预期的本课程培养目标。</w:t>
      </w:r>
    </w:p>
    <w:p w:rsidR="00A93329" w:rsidRPr="00953EEF" w:rsidP="00953EEF">
      <w:pPr>
        <w:numPr>
          <w:ilvl w:val="0"/>
          <w:numId w:val="2"/>
        </w:numPr>
        <w:spacing w:line="360" w:lineRule="auto"/>
        <w:ind w:firstLine="480" w:firstLineChars="200"/>
        <w:rPr>
          <w:rFonts w:ascii="宋体" w:hAnsi="宋体"/>
          <w:b/>
          <w:sz w:val="24"/>
          <w:szCs w:val="24"/>
        </w:rPr>
      </w:pPr>
      <w:r w:rsidRPr="00953EEF">
        <w:rPr>
          <w:rFonts w:ascii="宋体" w:hAnsi="宋体" w:hint="eastAsia"/>
          <w:b/>
          <w:sz w:val="24"/>
          <w:szCs w:val="24"/>
        </w:rPr>
        <w:t>总体</w:t>
      </w:r>
      <w:r w:rsidRPr="00953EEF">
        <w:rPr>
          <w:rFonts w:ascii="宋体" w:hAnsi="宋体"/>
          <w:b/>
          <w:sz w:val="24"/>
          <w:szCs w:val="24"/>
        </w:rPr>
        <w:t>设计思路</w:t>
      </w:r>
    </w:p>
    <w:p w:rsidR="00A93329" w:rsidRPr="00953EEF" w:rsidP="00953EEF">
      <w:pPr>
        <w:spacing w:line="360" w:lineRule="auto"/>
        <w:ind w:firstLine="480" w:firstLineChars="200"/>
        <w:rPr>
          <w:rFonts w:ascii="宋体" w:hAnsi="宋体"/>
          <w:bCs/>
          <w:sz w:val="24"/>
          <w:szCs w:val="24"/>
        </w:rPr>
      </w:pPr>
      <w:r w:rsidRPr="00953EEF">
        <w:rPr>
          <w:rFonts w:ascii="宋体" w:hAnsi="宋体"/>
          <w:bCs/>
          <w:sz w:val="24"/>
          <w:szCs w:val="24"/>
        </w:rPr>
        <w:t>（1）课程设计思想</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以职业分析和职业标准确定课程的职业能力，以职业能力为目标，构建由实践情境构成，工作过程为中心，项目导向、任务驱动的</w:t>
      </w:r>
      <w:r w:rsidRPr="00953EEF">
        <w:rPr>
          <w:rFonts w:ascii="宋体" w:hAnsi="宋体" w:hint="eastAsia"/>
          <w:sz w:val="24"/>
          <w:szCs w:val="24"/>
        </w:rPr>
        <w:t>“</w:t>
      </w:r>
      <w:r w:rsidRPr="00953EEF">
        <w:rPr>
          <w:rFonts w:ascii="宋体" w:hAnsi="宋体" w:hint="eastAsia"/>
          <w:sz w:val="24"/>
          <w:szCs w:val="24"/>
        </w:rPr>
        <w:t>理论-实践一体化</w:t>
      </w:r>
      <w:r w:rsidRPr="00953EEF">
        <w:rPr>
          <w:rFonts w:ascii="宋体" w:hAnsi="宋体" w:hint="eastAsia"/>
          <w:sz w:val="24"/>
          <w:szCs w:val="24"/>
        </w:rPr>
        <w:t>”</w:t>
      </w:r>
      <w:r w:rsidRPr="00953EEF">
        <w:rPr>
          <w:rFonts w:ascii="宋体" w:hAnsi="宋体" w:hint="eastAsia"/>
          <w:sz w:val="24"/>
          <w:szCs w:val="24"/>
        </w:rPr>
        <w:t>的教学过程；以职业能力为目标进行课程各环节的评价和调控；以多种教学形式注重学生职业能力的培养，并将素质教育贯穿整个教学过程中。</w:t>
      </w:r>
    </w:p>
    <w:p w:rsidR="00A93329" w:rsidRPr="00953EEF" w:rsidP="00953EEF">
      <w:pPr>
        <w:spacing w:line="360" w:lineRule="auto"/>
        <w:ind w:firstLine="480" w:firstLineChars="200"/>
        <w:rPr>
          <w:rFonts w:ascii="宋体" w:hAnsi="宋体" w:hint="eastAsia"/>
          <w:bCs/>
          <w:sz w:val="24"/>
          <w:szCs w:val="24"/>
        </w:rPr>
      </w:pPr>
      <w:r w:rsidRPr="00953EEF">
        <w:rPr>
          <w:rFonts w:ascii="宋体" w:hAnsi="宋体" w:hint="eastAsia"/>
          <w:bCs/>
          <w:sz w:val="24"/>
          <w:szCs w:val="24"/>
        </w:rPr>
        <w:t>（2）</w:t>
      </w:r>
      <w:r w:rsidRPr="00953EEF">
        <w:rPr>
          <w:rFonts w:ascii="宋体" w:hAnsi="宋体"/>
          <w:bCs/>
          <w:sz w:val="24"/>
          <w:szCs w:val="24"/>
        </w:rPr>
        <w:t>课程设计原则</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《电分析技术》课程内容的设计和编排遵循了三个原则：科学性原则、情境性原则、人本性原则。科学性原则是指涉及事实、概念、原理和理解方面的陈述性知识必须是实际存在的客观知识，主要解决</w:t>
      </w:r>
      <w:r w:rsidRPr="00953EEF">
        <w:rPr>
          <w:rFonts w:ascii="宋体" w:hAnsi="宋体" w:hint="eastAsia"/>
          <w:sz w:val="24"/>
          <w:szCs w:val="24"/>
        </w:rPr>
        <w:t>“</w:t>
      </w:r>
      <w:r w:rsidRPr="00953EEF">
        <w:rPr>
          <w:rFonts w:ascii="宋体" w:hAnsi="宋体" w:hint="eastAsia"/>
          <w:sz w:val="24"/>
          <w:szCs w:val="24"/>
        </w:rPr>
        <w:t>是什么</w:t>
      </w:r>
      <w:r w:rsidRPr="00953EEF">
        <w:rPr>
          <w:rFonts w:ascii="宋体" w:hAnsi="宋体" w:hint="eastAsia"/>
          <w:sz w:val="24"/>
          <w:szCs w:val="24"/>
        </w:rPr>
        <w:t>”</w:t>
      </w:r>
      <w:r w:rsidRPr="00953EEF">
        <w:rPr>
          <w:rFonts w:ascii="宋体" w:hAnsi="宋体" w:hint="eastAsia"/>
          <w:sz w:val="24"/>
          <w:szCs w:val="24"/>
        </w:rPr>
        <w:t>和</w:t>
      </w:r>
      <w:r w:rsidRPr="00953EEF">
        <w:rPr>
          <w:rFonts w:ascii="宋体" w:hAnsi="宋体" w:hint="eastAsia"/>
          <w:sz w:val="24"/>
          <w:szCs w:val="24"/>
        </w:rPr>
        <w:t>“</w:t>
      </w:r>
      <w:r w:rsidRPr="00953EEF">
        <w:rPr>
          <w:rFonts w:ascii="宋体" w:hAnsi="宋体" w:hint="eastAsia"/>
          <w:sz w:val="24"/>
          <w:szCs w:val="24"/>
        </w:rPr>
        <w:t>为什么</w:t>
      </w:r>
      <w:r w:rsidRPr="00953EEF">
        <w:rPr>
          <w:rFonts w:ascii="宋体" w:hAnsi="宋体" w:hint="eastAsia"/>
          <w:sz w:val="24"/>
          <w:szCs w:val="24"/>
        </w:rPr>
        <w:t>”</w:t>
      </w:r>
      <w:r w:rsidRPr="00953EEF">
        <w:rPr>
          <w:rFonts w:ascii="宋体" w:hAnsi="宋体" w:hint="eastAsia"/>
          <w:sz w:val="24"/>
          <w:szCs w:val="24"/>
        </w:rPr>
        <w:t>的问题；情境性原则是指课程教学中要帮助学生获取自我建构的主观知识，即涉及经验和策略的过程性知识，主要解决</w:t>
      </w:r>
      <w:r w:rsidRPr="00953EEF">
        <w:rPr>
          <w:rFonts w:ascii="宋体" w:hAnsi="宋体" w:hint="eastAsia"/>
          <w:sz w:val="24"/>
          <w:szCs w:val="24"/>
        </w:rPr>
        <w:t>“</w:t>
      </w:r>
      <w:r w:rsidRPr="00953EEF">
        <w:rPr>
          <w:rFonts w:ascii="宋体" w:hAnsi="宋体" w:hint="eastAsia"/>
          <w:sz w:val="24"/>
          <w:szCs w:val="24"/>
        </w:rPr>
        <w:t>怎么做</w:t>
      </w:r>
      <w:r w:rsidRPr="00953EEF">
        <w:rPr>
          <w:rFonts w:ascii="宋体" w:hAnsi="宋体" w:hint="eastAsia"/>
          <w:sz w:val="24"/>
          <w:szCs w:val="24"/>
        </w:rPr>
        <w:t>”</w:t>
      </w:r>
      <w:r w:rsidRPr="00953EEF">
        <w:rPr>
          <w:rFonts w:ascii="宋体" w:hAnsi="宋体" w:hint="eastAsia"/>
          <w:sz w:val="24"/>
          <w:szCs w:val="24"/>
        </w:rPr>
        <w:t>和</w:t>
      </w:r>
      <w:r w:rsidRPr="00953EEF">
        <w:rPr>
          <w:rFonts w:ascii="宋体" w:hAnsi="宋体" w:hint="eastAsia"/>
          <w:sz w:val="24"/>
          <w:szCs w:val="24"/>
        </w:rPr>
        <w:t>“</w:t>
      </w:r>
      <w:r w:rsidRPr="00953EEF">
        <w:rPr>
          <w:rFonts w:ascii="宋体" w:hAnsi="宋体" w:hint="eastAsia"/>
          <w:sz w:val="24"/>
          <w:szCs w:val="24"/>
        </w:rPr>
        <w:t>怎样做更好</w:t>
      </w:r>
      <w:r w:rsidRPr="00953EEF">
        <w:rPr>
          <w:rFonts w:ascii="宋体" w:hAnsi="宋体" w:hint="eastAsia"/>
          <w:sz w:val="24"/>
          <w:szCs w:val="24"/>
        </w:rPr>
        <w:t>”</w:t>
      </w:r>
      <w:r w:rsidRPr="00953EEF">
        <w:rPr>
          <w:rFonts w:ascii="宋体" w:hAnsi="宋体" w:hint="eastAsia"/>
          <w:sz w:val="24"/>
          <w:szCs w:val="24"/>
        </w:rPr>
        <w:t>的问题；人本性原则是指学生从科学性原则和情境性原则交叉领域获得的理论和经验双重知识再经过</w:t>
      </w:r>
      <w:r w:rsidRPr="00953EEF">
        <w:rPr>
          <w:rFonts w:ascii="宋体" w:hAnsi="宋体" w:hint="eastAsia"/>
          <w:sz w:val="24"/>
          <w:szCs w:val="24"/>
        </w:rPr>
        <w:t>“</w:t>
      </w:r>
      <w:r w:rsidRPr="00953EEF">
        <w:rPr>
          <w:rFonts w:ascii="宋体" w:hAnsi="宋体" w:hint="eastAsia"/>
          <w:sz w:val="24"/>
          <w:szCs w:val="24"/>
        </w:rPr>
        <w:t>获取</w:t>
      </w:r>
      <w:r w:rsidRPr="00953EEF">
        <w:rPr>
          <w:rFonts w:ascii="宋体" w:hAnsi="宋体" w:hint="eastAsia"/>
          <w:sz w:val="24"/>
          <w:szCs w:val="24"/>
        </w:rPr>
        <w:t>—</w:t>
      </w:r>
      <w:r w:rsidRPr="00953EEF">
        <w:rPr>
          <w:rFonts w:ascii="宋体" w:hAnsi="宋体" w:hint="eastAsia"/>
          <w:sz w:val="24"/>
          <w:szCs w:val="24"/>
        </w:rPr>
        <w:t>反思</w:t>
      </w:r>
      <w:r w:rsidRPr="00953EEF">
        <w:rPr>
          <w:rFonts w:ascii="宋体" w:hAnsi="宋体" w:hint="eastAsia"/>
          <w:sz w:val="24"/>
          <w:szCs w:val="24"/>
        </w:rPr>
        <w:t>—</w:t>
      </w:r>
      <w:r w:rsidRPr="00953EEF">
        <w:rPr>
          <w:rFonts w:ascii="宋体" w:hAnsi="宋体" w:hint="eastAsia"/>
          <w:sz w:val="24"/>
          <w:szCs w:val="24"/>
        </w:rPr>
        <w:t>内化</w:t>
      </w:r>
      <w:r w:rsidRPr="00953EEF">
        <w:rPr>
          <w:rFonts w:ascii="宋体" w:hAnsi="宋体" w:hint="eastAsia"/>
          <w:sz w:val="24"/>
          <w:szCs w:val="24"/>
        </w:rPr>
        <w:t>—</w:t>
      </w:r>
      <w:r w:rsidRPr="00953EEF">
        <w:rPr>
          <w:rFonts w:ascii="宋体" w:hAnsi="宋体" w:hint="eastAsia"/>
          <w:sz w:val="24"/>
          <w:szCs w:val="24"/>
        </w:rPr>
        <w:t>实践</w:t>
      </w:r>
      <w:r w:rsidRPr="00953EEF">
        <w:rPr>
          <w:rFonts w:ascii="宋体" w:hAnsi="宋体" w:hint="eastAsia"/>
          <w:sz w:val="24"/>
          <w:szCs w:val="24"/>
        </w:rPr>
        <w:t>”</w:t>
      </w:r>
      <w:r w:rsidRPr="00953EEF">
        <w:rPr>
          <w:rFonts w:ascii="宋体" w:hAnsi="宋体" w:hint="eastAsia"/>
          <w:sz w:val="24"/>
          <w:szCs w:val="24"/>
        </w:rPr>
        <w:t>，转化为个体能力，它是实现教育根本目标的保证，在课程开发中具有最高层次。</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本课程教学设计以情境性原则为主、科学性原则为辅，将实际职业情境加工成具有普遍意义的学习情境，即营造</w:t>
      </w:r>
      <w:r w:rsidRPr="00953EEF">
        <w:rPr>
          <w:rFonts w:ascii="宋体" w:hAnsi="宋体" w:hint="eastAsia"/>
          <w:sz w:val="24"/>
          <w:szCs w:val="24"/>
        </w:rPr>
        <w:t>“</w:t>
      </w:r>
      <w:r w:rsidRPr="00953EEF">
        <w:rPr>
          <w:rFonts w:ascii="宋体" w:hAnsi="宋体" w:hint="eastAsia"/>
          <w:sz w:val="24"/>
          <w:szCs w:val="24"/>
        </w:rPr>
        <w:t>真实的虚拟</w:t>
      </w:r>
      <w:r w:rsidRPr="00953EEF">
        <w:rPr>
          <w:rFonts w:ascii="宋体" w:hAnsi="宋体" w:hint="eastAsia"/>
          <w:sz w:val="24"/>
          <w:szCs w:val="24"/>
        </w:rPr>
        <w:t>”</w:t>
      </w:r>
      <w:r w:rsidRPr="00953EEF">
        <w:rPr>
          <w:rFonts w:ascii="宋体" w:hAnsi="宋体" w:hint="eastAsia"/>
          <w:sz w:val="24"/>
          <w:szCs w:val="24"/>
        </w:rPr>
        <w:t>情境，以工作过程作为参照系，将陈述性知识与过程性知识整合、理论知识与实践知识整合，以任务驱动设计工作过程环节，并针对每一个工作过程环节来传授相关课程内容，实现实践技能与理论知识的紧密结合。</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课程强调既着重培养学生的职业专门技术能力，即让学生通过实践操作的训练和理论知识的学习，掌握电分析方法和应用技术；又着重培养学生的职业关键能力，即学习能力、工作能力与创新能力。</w:t>
      </w:r>
    </w:p>
    <w:p w:rsidR="00A93329" w:rsidRPr="00953EEF" w:rsidP="00953EEF">
      <w:pPr>
        <w:spacing w:line="360" w:lineRule="auto"/>
        <w:ind w:firstLine="480" w:firstLineChars="200"/>
        <w:rPr>
          <w:rFonts w:ascii="宋体" w:hAnsi="宋体" w:hint="eastAsia"/>
          <w:bCs/>
          <w:sz w:val="24"/>
          <w:szCs w:val="24"/>
        </w:rPr>
      </w:pPr>
      <w:r w:rsidRPr="00953EEF">
        <w:rPr>
          <w:rFonts w:ascii="宋体" w:hAnsi="宋体" w:hint="eastAsia"/>
          <w:bCs/>
          <w:sz w:val="24"/>
          <w:szCs w:val="24"/>
        </w:rPr>
        <w:t>（3）实施</w:t>
      </w:r>
      <w:r w:rsidRPr="00953EEF">
        <w:rPr>
          <w:rFonts w:ascii="宋体" w:hAnsi="宋体" w:hint="eastAsia"/>
          <w:bCs/>
          <w:sz w:val="24"/>
          <w:szCs w:val="24"/>
        </w:rPr>
        <w:t>“</w:t>
      </w:r>
      <w:r w:rsidRPr="00953EEF">
        <w:rPr>
          <w:rFonts w:ascii="宋体" w:hAnsi="宋体" w:hint="eastAsia"/>
          <w:bCs/>
          <w:sz w:val="24"/>
          <w:szCs w:val="24"/>
        </w:rPr>
        <w:t>理论-实践一体化</w:t>
      </w:r>
      <w:r w:rsidRPr="00953EEF">
        <w:rPr>
          <w:rFonts w:ascii="宋体" w:hAnsi="宋体" w:hint="eastAsia"/>
          <w:bCs/>
          <w:sz w:val="24"/>
          <w:szCs w:val="24"/>
        </w:rPr>
        <w:t>”</w:t>
      </w:r>
      <w:r w:rsidRPr="00953EEF">
        <w:rPr>
          <w:rFonts w:ascii="宋体" w:hAnsi="宋体" w:hint="eastAsia"/>
          <w:bCs/>
          <w:sz w:val="24"/>
          <w:szCs w:val="24"/>
        </w:rPr>
        <w:t>教学设计方案</w:t>
      </w:r>
    </w:p>
    <w:p w:rsidR="00A93329" w:rsidRPr="00953EEF" w:rsidP="00953EEF">
      <w:pPr>
        <w:spacing w:line="360" w:lineRule="auto"/>
        <w:ind w:firstLine="480" w:firstLineChars="200"/>
        <w:rPr>
          <w:rFonts w:ascii="宋体" w:hAnsi="宋体" w:hint="eastAsia"/>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134" w:right="1417" w:bottom="1134" w:left="1417" w:header="851" w:footer="992" w:gutter="0"/>
          <w:pgNumType w:start="6"/>
          <w:cols w:space="720"/>
          <w:titlePg w:val="0"/>
          <w:docGrid w:type="lines" w:linePitch="312"/>
        </w:sectPr>
      </w:pPr>
      <w:r w:rsidRPr="00953EEF">
        <w:rPr>
          <w:rFonts w:ascii="宋体" w:hAnsi="宋体" w:hint="eastAsia"/>
          <w:sz w:val="24"/>
          <w:szCs w:val="24"/>
        </w:rPr>
        <w:t>实施</w:t>
      </w:r>
      <w:r w:rsidRPr="00953EEF">
        <w:rPr>
          <w:rFonts w:ascii="宋体" w:hAnsi="宋体" w:hint="eastAsia"/>
          <w:sz w:val="24"/>
          <w:szCs w:val="24"/>
        </w:rPr>
        <w:t>“</w:t>
      </w:r>
      <w:r w:rsidRPr="00953EEF">
        <w:rPr>
          <w:rFonts w:ascii="宋体" w:hAnsi="宋体" w:hint="eastAsia"/>
          <w:sz w:val="24"/>
          <w:szCs w:val="24"/>
        </w:rPr>
        <w:t>理论-实践一体化</w:t>
      </w:r>
      <w:r w:rsidRPr="00953EEF">
        <w:rPr>
          <w:rFonts w:ascii="宋体" w:hAnsi="宋体" w:hint="eastAsia"/>
          <w:sz w:val="24"/>
          <w:szCs w:val="24"/>
        </w:rPr>
        <w:t>”</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教学设计方案。整个课程体系采用模块化结构，按用不同的电分析方法检测物质划分为直接电位法和电位滴定法等2个教学子模块。</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每个教学子模块选取来自生活、生产实际的项目，以任务驱动设置若干教学单元。以实训项目作为载体，在完成每一个实训环节中帮助学生获取经验性知识，并渗透理论知识的讲授，在完成数个任务的基础上，再拓展相关技术理论知识，最后指导各子模块专题实验项目的完成。</w:t>
      </w:r>
    </w:p>
    <w:p w:rsidR="00A93329" w:rsidRPr="00953EEF" w:rsidP="00953EEF">
      <w:pPr>
        <w:spacing w:line="360" w:lineRule="auto"/>
        <w:ind w:firstLine="480" w:firstLineChars="200"/>
        <w:rPr>
          <w:rFonts w:ascii="宋体" w:hAnsi="宋体" w:hint="eastAsia"/>
          <w:bCs/>
          <w:sz w:val="24"/>
          <w:szCs w:val="24"/>
        </w:rPr>
      </w:pPr>
      <w:r w:rsidRPr="00953EEF">
        <w:rPr>
          <w:rFonts w:ascii="宋体" w:hAnsi="宋体" w:hint="eastAsia"/>
          <w:bCs/>
          <w:sz w:val="24"/>
          <w:szCs w:val="24"/>
        </w:rPr>
        <w:t>（4）课程组织方式与指导方法</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①</w:t>
      </w:r>
      <w:r w:rsidRPr="00953EEF">
        <w:rPr>
          <w:rFonts w:ascii="宋体" w:hAnsi="宋体" w:hint="eastAsia"/>
          <w:sz w:val="24"/>
          <w:szCs w:val="24"/>
        </w:rPr>
        <w:t>首先引入电分析法的基本知识和基本理论，引入各子模块的项目化学习方法和学习任务，再逐一展开相应电分析方法和分析仪器的基本操作项目，让学生在实训室完成操作技能的训练，并渗透基本理论知识的讲授。待学生掌握基本的操作技能后，再继续进行技术理论知识的学习探讨，最后完成各子模块专题实验项目的方案拟定、测定和报告。</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②</w:t>
      </w:r>
      <w:r w:rsidRPr="00953EEF">
        <w:rPr>
          <w:rFonts w:ascii="宋体" w:hAnsi="宋体" w:hint="eastAsia"/>
          <w:sz w:val="24"/>
          <w:szCs w:val="24"/>
        </w:rPr>
        <w:t>采用</w:t>
      </w:r>
      <w:r w:rsidRPr="00953EEF">
        <w:rPr>
          <w:rFonts w:ascii="宋体" w:hAnsi="宋体" w:hint="eastAsia"/>
          <w:sz w:val="24"/>
          <w:szCs w:val="24"/>
        </w:rPr>
        <w:t>“</w:t>
      </w:r>
      <w:r w:rsidRPr="00953EEF">
        <w:rPr>
          <w:rFonts w:ascii="宋体" w:hAnsi="宋体" w:hint="eastAsia"/>
          <w:sz w:val="24"/>
          <w:szCs w:val="24"/>
        </w:rPr>
        <w:t>小班教学模式</w:t>
      </w:r>
      <w:r w:rsidRPr="00953EEF">
        <w:rPr>
          <w:rFonts w:ascii="宋体" w:hAnsi="宋体" w:hint="eastAsia"/>
          <w:sz w:val="24"/>
          <w:szCs w:val="24"/>
        </w:rPr>
        <w:t>”</w:t>
      </w:r>
      <w:r w:rsidRPr="00953EEF">
        <w:rPr>
          <w:rFonts w:ascii="宋体" w:hAnsi="宋体" w:hint="eastAsia"/>
          <w:sz w:val="24"/>
          <w:szCs w:val="24"/>
        </w:rPr>
        <w:t>，充分利用、组合实践教学资源，通过对学生分组进行</w:t>
      </w:r>
      <w:r w:rsidRPr="00953EEF">
        <w:rPr>
          <w:rFonts w:ascii="宋体" w:hAnsi="宋体" w:hint="eastAsia"/>
          <w:sz w:val="24"/>
          <w:szCs w:val="24"/>
        </w:rPr>
        <w:t>“</w:t>
      </w:r>
      <w:r w:rsidRPr="00953EEF">
        <w:rPr>
          <w:rFonts w:ascii="宋体" w:hAnsi="宋体" w:hint="eastAsia"/>
          <w:sz w:val="24"/>
          <w:szCs w:val="24"/>
        </w:rPr>
        <w:t>大循环</w:t>
      </w:r>
      <w:r w:rsidRPr="00953EEF">
        <w:rPr>
          <w:rFonts w:ascii="宋体" w:hAnsi="宋体" w:hint="eastAsia"/>
          <w:sz w:val="24"/>
          <w:szCs w:val="24"/>
        </w:rPr>
        <w:t>”</w:t>
      </w:r>
      <w:r w:rsidRPr="00953EEF">
        <w:rPr>
          <w:rFonts w:ascii="宋体" w:hAnsi="宋体" w:hint="eastAsia"/>
          <w:sz w:val="24"/>
          <w:szCs w:val="24"/>
        </w:rPr>
        <w:t>让不同的教师分别进行不同子模块的项目教学，随后交叉完成其它子模块的教学，保证每个学习小组一台仪器，让每一位学生均有充足的实践训练时间。</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③</w:t>
      </w:r>
      <w:r w:rsidRPr="00953EEF">
        <w:rPr>
          <w:rFonts w:ascii="宋体" w:hAnsi="宋体" w:hint="eastAsia"/>
          <w:sz w:val="24"/>
          <w:szCs w:val="24"/>
        </w:rPr>
        <w:t>实验前学生预习实验项目、任务及操作方法，写出预习实验报告；实训时，教师对实验进行集中讲解、提示和演示，对实训有难度的同学进行个别辅导；实验后，学生写出实验报告，教师针对学生实验及实验报告中出现的问题进行分析、讲解，并指出解决方法。</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④</w:t>
      </w:r>
      <w:r w:rsidRPr="00953EEF">
        <w:rPr>
          <w:rFonts w:ascii="宋体" w:hAnsi="宋体" w:hint="eastAsia"/>
          <w:sz w:val="24"/>
          <w:szCs w:val="24"/>
        </w:rPr>
        <w:t>采用</w:t>
      </w:r>
      <w:r w:rsidRPr="00953EEF">
        <w:rPr>
          <w:rFonts w:ascii="宋体" w:hAnsi="宋体" w:hint="eastAsia"/>
          <w:sz w:val="24"/>
          <w:szCs w:val="24"/>
        </w:rPr>
        <w:t>“</w:t>
      </w:r>
      <w:r w:rsidRPr="00953EEF">
        <w:rPr>
          <w:rFonts w:ascii="宋体" w:hAnsi="宋体" w:hint="eastAsia"/>
          <w:sz w:val="24"/>
          <w:szCs w:val="24"/>
        </w:rPr>
        <w:t>微知库</w:t>
      </w:r>
      <w:r w:rsidRPr="00953EEF">
        <w:rPr>
          <w:rFonts w:ascii="宋体" w:hAnsi="宋体" w:hint="eastAsia"/>
          <w:sz w:val="24"/>
          <w:szCs w:val="24"/>
        </w:rPr>
        <w:t>”</w:t>
      </w:r>
      <w:r w:rsidRPr="00953EEF">
        <w:rPr>
          <w:rFonts w:ascii="宋体" w:hAnsi="宋体" w:hint="eastAsia"/>
          <w:sz w:val="24"/>
          <w:szCs w:val="24"/>
        </w:rPr>
        <w:t>和</w:t>
      </w:r>
      <w:r w:rsidRPr="00953EEF">
        <w:rPr>
          <w:rFonts w:ascii="宋体" w:hAnsi="宋体" w:hint="eastAsia"/>
          <w:sz w:val="24"/>
          <w:szCs w:val="24"/>
        </w:rPr>
        <w:t>“</w:t>
      </w:r>
      <w:r w:rsidRPr="00953EEF">
        <w:rPr>
          <w:rFonts w:ascii="宋体" w:hAnsi="宋体" w:hint="eastAsia"/>
          <w:sz w:val="24"/>
          <w:szCs w:val="24"/>
        </w:rPr>
        <w:t>麦可思教学质量管理平台</w:t>
      </w:r>
      <w:r w:rsidRPr="00953EEF">
        <w:rPr>
          <w:rFonts w:ascii="宋体" w:hAnsi="宋体" w:hint="eastAsia"/>
          <w:sz w:val="24"/>
          <w:szCs w:val="24"/>
        </w:rPr>
        <w:t>”</w:t>
      </w:r>
      <w:r w:rsidRPr="00953EEF">
        <w:rPr>
          <w:rFonts w:ascii="宋体" w:hAnsi="宋体" w:hint="eastAsia"/>
          <w:sz w:val="24"/>
          <w:szCs w:val="24"/>
        </w:rPr>
        <w:t>App，可联网实现各种教学资源上传下载、二维码签到、在线布置问卷和任务、实验数据及时采集、考试及教学统计、论坛、通知、反馈等功能。</w:t>
      </w:r>
      <w:r w:rsidRPr="00953EEF">
        <w:rPr>
          <w:rFonts w:ascii="宋体" w:hAnsi="宋体" w:hint="eastAsia"/>
          <w:sz w:val="24"/>
          <w:szCs w:val="24"/>
        </w:rPr>
        <w:t>“</w:t>
      </w:r>
      <w:r w:rsidRPr="00953EEF">
        <w:rPr>
          <w:rFonts w:ascii="宋体" w:hAnsi="宋体" w:hint="eastAsia"/>
          <w:sz w:val="24"/>
          <w:szCs w:val="24"/>
        </w:rPr>
        <w:t>微课</w:t>
      </w:r>
      <w:r w:rsidRPr="00953EEF">
        <w:rPr>
          <w:rFonts w:ascii="宋体" w:hAnsi="宋体" w:hint="eastAsia"/>
          <w:sz w:val="24"/>
          <w:szCs w:val="24"/>
        </w:rPr>
        <w:t>”</w:t>
      </w:r>
      <w:r w:rsidRPr="00953EEF">
        <w:rPr>
          <w:rFonts w:ascii="宋体" w:hAnsi="宋体" w:hint="eastAsia"/>
          <w:sz w:val="24"/>
          <w:szCs w:val="24"/>
        </w:rPr>
        <w:t>作为一种新型的教学手段，符合学习者的认知规律和视觉驻留规律，具有清晰直观、重点突出、可回放暂停、手机可播放等优点。采用混合式教学新型教学模式，建立线上教学与线下学习有机有效融合，创新在线学习成绩评价制度。课堂教学组织可分课前预学、课中导学、课后总结三个阶段实施。</w:t>
      </w:r>
    </w:p>
    <w:p w:rsidR="00A93329" w:rsidRPr="00953EEF" w:rsidP="00953EEF">
      <w:pPr>
        <w:spacing w:line="360" w:lineRule="auto"/>
        <w:ind w:firstLine="480" w:firstLineChars="200"/>
        <w:rPr>
          <w:rFonts w:ascii="宋体" w:hAnsi="宋体"/>
          <w:bCs/>
          <w:sz w:val="24"/>
          <w:szCs w:val="24"/>
        </w:rPr>
      </w:pPr>
      <w:r w:rsidRPr="00953EEF">
        <w:rPr>
          <w:rFonts w:ascii="宋体" w:hAnsi="宋体" w:hint="eastAsia"/>
          <w:bCs/>
          <w:sz w:val="24"/>
          <w:szCs w:val="24"/>
        </w:rPr>
        <w:t>（5）</w:t>
      </w:r>
      <w:r w:rsidRPr="00953EEF">
        <w:rPr>
          <w:rFonts w:ascii="宋体" w:hAnsi="宋体"/>
          <w:bCs/>
          <w:sz w:val="24"/>
          <w:szCs w:val="24"/>
        </w:rPr>
        <w:t>项目（或学习情境）设计</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整个学习领域由以下2个学习情境（子模块）组成：</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44"/>
        <w:gridCol w:w="4644"/>
      </w:tblGrid>
      <w:tr w:rsidTr="00953EEF">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500" w:type="pct"/>
            <w:vAlign w:val="center"/>
          </w:tcPr>
          <w:p w:rsidR="00A93329" w:rsidRPr="00953EEF" w:rsidP="00953EEF">
            <w:pPr>
              <w:spacing w:line="360" w:lineRule="auto"/>
              <w:jc w:val="center"/>
              <w:rPr>
                <w:rFonts w:ascii="宋体" w:hAnsi="宋体" w:hint="eastAsia"/>
                <w:b/>
                <w:sz w:val="24"/>
                <w:szCs w:val="24"/>
              </w:rPr>
            </w:pPr>
            <w:r w:rsidRPr="00953EEF">
              <w:rPr>
                <w:rFonts w:ascii="宋体" w:hAnsi="宋体" w:hint="eastAsia"/>
                <w:b/>
                <w:sz w:val="24"/>
                <w:szCs w:val="24"/>
              </w:rPr>
              <w:t>子模块1</w:t>
            </w:r>
          </w:p>
        </w:tc>
        <w:tc>
          <w:tcPr>
            <w:tcW w:w="2500" w:type="pct"/>
            <w:vAlign w:val="center"/>
          </w:tcPr>
          <w:p w:rsidR="00A93329" w:rsidRPr="00953EEF" w:rsidP="00953EEF">
            <w:pPr>
              <w:spacing w:line="360" w:lineRule="auto"/>
              <w:jc w:val="center"/>
              <w:rPr>
                <w:rFonts w:ascii="宋体" w:hAnsi="宋体" w:hint="eastAsia"/>
                <w:b/>
                <w:sz w:val="24"/>
                <w:szCs w:val="24"/>
              </w:rPr>
            </w:pPr>
            <w:r w:rsidRPr="00953EEF">
              <w:rPr>
                <w:rFonts w:ascii="宋体" w:hAnsi="宋体" w:hint="eastAsia"/>
                <w:b/>
                <w:sz w:val="24"/>
                <w:szCs w:val="24"/>
              </w:rPr>
              <w:t>子模块2</w:t>
            </w:r>
          </w:p>
        </w:tc>
      </w:tr>
      <w:tr w:rsidTr="00953EEF">
        <w:tblPrEx>
          <w:tblW w:w="5000" w:type="pct"/>
          <w:jc w:val="center"/>
          <w:tblInd w:w="0" w:type="dxa"/>
          <w:tblLook w:val="0000"/>
        </w:tblPrEx>
        <w:trPr>
          <w:jc w:val="center"/>
        </w:trPr>
        <w:tc>
          <w:tcPr>
            <w:tcW w:w="2500"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直接电位法</w:t>
            </w:r>
          </w:p>
        </w:tc>
        <w:tc>
          <w:tcPr>
            <w:tcW w:w="2500"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电位滴定法</w:t>
            </w:r>
          </w:p>
        </w:tc>
      </w:tr>
    </w:tbl>
    <w:p w:rsidR="00A93329" w:rsidRPr="00953EEF" w:rsidP="00953EEF">
      <w:pPr>
        <w:spacing w:line="360" w:lineRule="auto"/>
        <w:ind w:firstLine="480" w:firstLineChars="200"/>
        <w:rPr>
          <w:rFonts w:ascii="宋体" w:hAnsi="宋体" w:hint="eastAsia"/>
          <w:sz w:val="24"/>
          <w:szCs w:val="24"/>
        </w:rPr>
      </w:pPr>
    </w:p>
    <w:p w:rsidR="00A93329" w:rsidRPr="00953EEF" w:rsidP="00953EEF">
      <w:pPr>
        <w:numPr>
          <w:ilvl w:val="0"/>
          <w:numId w:val="2"/>
        </w:numPr>
        <w:spacing w:line="360" w:lineRule="auto"/>
        <w:ind w:firstLine="480" w:firstLineChars="200"/>
        <w:rPr>
          <w:rFonts w:ascii="宋体" w:hAnsi="宋体" w:hint="eastAsia"/>
          <w:b/>
          <w:sz w:val="24"/>
          <w:szCs w:val="24"/>
        </w:rPr>
      </w:pPr>
      <w:r w:rsidRPr="00953EEF">
        <w:rPr>
          <w:rFonts w:ascii="宋体" w:hAnsi="宋体" w:hint="eastAsia"/>
          <w:b/>
          <w:sz w:val="24"/>
          <w:szCs w:val="24"/>
        </w:rPr>
        <w:t>《电分析技术》模块项目化教学内容体系和课时分配方案</w:t>
      </w:r>
    </w:p>
    <w:p w:rsidR="00A93329" w:rsidRPr="00953EEF" w:rsidP="00953EEF">
      <w:pPr>
        <w:spacing w:line="360" w:lineRule="auto"/>
        <w:ind w:firstLine="480" w:firstLineChars="200"/>
        <w:rPr>
          <w:rFonts w:ascii="宋体" w:hAnsi="宋体" w:hint="eastAsia"/>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134" w:right="1417" w:bottom="1134" w:left="1417" w:header="851" w:footer="992" w:gutter="0"/>
          <w:pgNumType w:start="7"/>
          <w:cols w:space="720"/>
          <w:titlePg w:val="0"/>
          <w:docGrid w:type="lines" w:linePitch="312"/>
        </w:sectPr>
      </w:pPr>
      <w:r w:rsidRPr="00953EEF">
        <w:rPr>
          <w:rFonts w:ascii="宋体" w:hAnsi="宋体" w:hint="eastAsia"/>
          <w:sz w:val="24"/>
          <w:szCs w:val="24"/>
        </w:rPr>
        <w:t>本课程以项目为导向，以样品检测任务为驱动，按照</w:t>
      </w:r>
      <w:r w:rsidRPr="00953EEF">
        <w:rPr>
          <w:rFonts w:ascii="宋体" w:hAnsi="宋体" w:hint="eastAsia"/>
          <w:sz w:val="24"/>
          <w:szCs w:val="24"/>
        </w:rPr>
        <w:t>“</w:t>
      </w:r>
      <w:r w:rsidRPr="00953EEF">
        <w:rPr>
          <w:rFonts w:ascii="宋体" w:hAnsi="宋体" w:hint="eastAsia"/>
          <w:sz w:val="24"/>
          <w:szCs w:val="24"/>
        </w:rPr>
        <w:t>理论-实践一体化</w:t>
      </w:r>
      <w:r w:rsidRPr="00953EEF">
        <w:rPr>
          <w:rFonts w:ascii="宋体" w:hAnsi="宋体" w:hint="eastAsia"/>
          <w:sz w:val="24"/>
          <w:szCs w:val="24"/>
        </w:rPr>
        <w:t>”</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的模块项目化教学内容体系，采用引探法展开教学。本课程由2个子模块、</w:t>
      </w:r>
      <w:r w:rsidRPr="00953EEF">
        <w:rPr>
          <w:rFonts w:ascii="宋体" w:hAnsi="宋体" w:hint="eastAsia"/>
          <w:sz w:val="24"/>
          <w:szCs w:val="24"/>
        </w:rPr>
        <w:t>3个项目、9个任务（含理论学习任务和实践学习任务）和1个技能考核项目组成，模块化教学内容体系和课时分配方案如下表：</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6"/>
        <w:gridCol w:w="2095"/>
        <w:gridCol w:w="3968"/>
        <w:gridCol w:w="598"/>
        <w:gridCol w:w="786"/>
        <w:gridCol w:w="765"/>
      </w:tblGrid>
      <w:tr w:rsidTr="00953EEF">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579" w:type="pct"/>
            <w:vMerge w:val="restart"/>
            <w:vAlign w:val="center"/>
          </w:tcPr>
          <w:p w:rsidR="00A93329" w:rsidRPr="00953EEF" w:rsidP="00953EEF">
            <w:pPr>
              <w:pStyle w:val="a"/>
              <w:spacing w:line="360" w:lineRule="auto"/>
              <w:rPr>
                <w:rFonts w:ascii="宋体" w:hAnsi="宋体" w:hint="eastAsia"/>
                <w:b/>
                <w:sz w:val="24"/>
                <w:szCs w:val="24"/>
              </w:rPr>
            </w:pPr>
            <w:r w:rsidRPr="00953EEF">
              <w:rPr>
                <w:rFonts w:ascii="宋体" w:hAnsi="宋体" w:hint="eastAsia"/>
                <w:b/>
                <w:sz w:val="24"/>
                <w:szCs w:val="24"/>
              </w:rPr>
              <w:t>子模块</w:t>
            </w:r>
          </w:p>
        </w:tc>
        <w:tc>
          <w:tcPr>
            <w:tcW w:w="3264" w:type="pct"/>
            <w:gridSpan w:val="2"/>
            <w:vMerge w:val="restart"/>
            <w:vAlign w:val="center"/>
          </w:tcPr>
          <w:p w:rsidR="00A93329" w:rsidRPr="00953EEF" w:rsidP="00953EEF">
            <w:pPr>
              <w:spacing w:line="360" w:lineRule="auto"/>
              <w:jc w:val="center"/>
              <w:rPr>
                <w:rFonts w:ascii="宋体" w:hAnsi="宋体" w:hint="eastAsia"/>
                <w:b/>
                <w:sz w:val="24"/>
                <w:szCs w:val="24"/>
              </w:rPr>
            </w:pPr>
            <w:r w:rsidRPr="00953EEF">
              <w:rPr>
                <w:rFonts w:ascii="宋体" w:hAnsi="宋体" w:hint="eastAsia"/>
                <w:b/>
                <w:sz w:val="24"/>
                <w:szCs w:val="24"/>
              </w:rPr>
              <w:t>课程项目及学习任务</w:t>
            </w:r>
          </w:p>
        </w:tc>
        <w:tc>
          <w:tcPr>
            <w:tcW w:w="1157" w:type="pct"/>
            <w:gridSpan w:val="3"/>
            <w:vAlign w:val="center"/>
          </w:tcPr>
          <w:p w:rsidR="00A93329" w:rsidRPr="00953EEF" w:rsidP="00953EEF">
            <w:pPr>
              <w:spacing w:line="360" w:lineRule="auto"/>
              <w:jc w:val="center"/>
              <w:rPr>
                <w:rFonts w:ascii="宋体" w:hAnsi="宋体" w:hint="eastAsia"/>
                <w:b/>
                <w:sz w:val="24"/>
                <w:szCs w:val="24"/>
              </w:rPr>
            </w:pPr>
            <w:r w:rsidRPr="00953EEF">
              <w:rPr>
                <w:rFonts w:ascii="宋体" w:hAnsi="宋体" w:hint="eastAsia"/>
                <w:b/>
                <w:sz w:val="24"/>
                <w:szCs w:val="24"/>
              </w:rPr>
              <w:t>参考学时数</w:t>
            </w: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hint="eastAsia"/>
                <w:b/>
                <w:sz w:val="24"/>
                <w:szCs w:val="24"/>
              </w:rPr>
            </w:pPr>
          </w:p>
        </w:tc>
        <w:tc>
          <w:tcPr>
            <w:tcW w:w="3264" w:type="pct"/>
            <w:gridSpan w:val="2"/>
            <w:vMerge/>
            <w:vAlign w:val="center"/>
          </w:tcPr>
          <w:p w:rsidR="00A93329" w:rsidRPr="00953EEF" w:rsidP="00953EEF">
            <w:pPr>
              <w:spacing w:line="360" w:lineRule="auto"/>
              <w:rPr>
                <w:rFonts w:ascii="宋体" w:hAnsi="宋体" w:hint="eastAsia"/>
                <w:b/>
                <w:sz w:val="24"/>
                <w:szCs w:val="24"/>
              </w:rPr>
            </w:pPr>
          </w:p>
        </w:tc>
        <w:tc>
          <w:tcPr>
            <w:tcW w:w="322" w:type="pct"/>
            <w:vAlign w:val="center"/>
          </w:tcPr>
          <w:p w:rsidR="00A93329" w:rsidRPr="00953EEF" w:rsidP="00953EEF">
            <w:pPr>
              <w:pStyle w:val="a"/>
              <w:spacing w:line="360" w:lineRule="auto"/>
              <w:rPr>
                <w:rFonts w:ascii="宋体" w:hAnsi="宋体" w:hint="eastAsia"/>
                <w:b/>
                <w:sz w:val="24"/>
                <w:szCs w:val="24"/>
              </w:rPr>
            </w:pPr>
            <w:r w:rsidRPr="00953EEF">
              <w:rPr>
                <w:rFonts w:ascii="宋体" w:hAnsi="宋体" w:hint="eastAsia"/>
                <w:b/>
                <w:sz w:val="24"/>
                <w:szCs w:val="24"/>
              </w:rPr>
              <w:t>合计</w:t>
            </w:r>
          </w:p>
        </w:tc>
        <w:tc>
          <w:tcPr>
            <w:tcW w:w="423" w:type="pct"/>
            <w:vAlign w:val="center"/>
          </w:tcPr>
          <w:p w:rsidR="00A93329" w:rsidRPr="00953EEF" w:rsidP="00953EEF">
            <w:pPr>
              <w:spacing w:line="360" w:lineRule="auto"/>
              <w:jc w:val="center"/>
              <w:rPr>
                <w:rFonts w:ascii="宋体" w:hAnsi="宋体" w:hint="eastAsia"/>
                <w:b/>
                <w:sz w:val="24"/>
                <w:szCs w:val="24"/>
              </w:rPr>
            </w:pPr>
            <w:r w:rsidRPr="00953EEF">
              <w:rPr>
                <w:rFonts w:ascii="宋体" w:hAnsi="宋体" w:hint="eastAsia"/>
                <w:b/>
                <w:sz w:val="24"/>
                <w:szCs w:val="24"/>
              </w:rPr>
              <w:t>理论教学</w:t>
            </w:r>
          </w:p>
        </w:tc>
        <w:tc>
          <w:tcPr>
            <w:tcW w:w="412" w:type="pct"/>
            <w:vAlign w:val="center"/>
          </w:tcPr>
          <w:p w:rsidR="00A93329" w:rsidRPr="00953EEF" w:rsidP="00953EEF">
            <w:pPr>
              <w:spacing w:line="360" w:lineRule="auto"/>
              <w:jc w:val="center"/>
              <w:rPr>
                <w:rFonts w:ascii="宋体" w:hAnsi="宋体" w:hint="eastAsia"/>
                <w:b/>
                <w:sz w:val="24"/>
                <w:szCs w:val="24"/>
              </w:rPr>
            </w:pPr>
            <w:r w:rsidRPr="00953EEF">
              <w:rPr>
                <w:rFonts w:ascii="宋体" w:hAnsi="宋体" w:hint="eastAsia"/>
                <w:b/>
                <w:sz w:val="24"/>
                <w:szCs w:val="24"/>
              </w:rPr>
              <w:t>实践教学</w:t>
            </w:r>
          </w:p>
        </w:tc>
      </w:tr>
      <w:tr w:rsidTr="00953EEF">
        <w:tblPrEx>
          <w:tblW w:w="5000" w:type="pct"/>
          <w:jc w:val="center"/>
          <w:tblInd w:w="0" w:type="dxa"/>
          <w:tblLook w:val="0000"/>
        </w:tblPrEx>
        <w:trPr>
          <w:jc w:val="center"/>
        </w:trPr>
        <w:tc>
          <w:tcPr>
            <w:tcW w:w="579" w:type="pct"/>
            <w:vMerge w:val="restart"/>
            <w:vAlign w:val="center"/>
          </w:tcPr>
          <w:p w:rsidR="00A93329" w:rsidRPr="00953EEF" w:rsidP="00953EEF">
            <w:pPr>
              <w:spacing w:line="360" w:lineRule="auto"/>
              <w:jc w:val="center"/>
              <w:rPr>
                <w:rFonts w:ascii="宋体" w:hAnsi="宋体"/>
                <w:sz w:val="24"/>
                <w:szCs w:val="24"/>
              </w:rPr>
            </w:pPr>
            <w:r w:rsidRPr="00953EEF">
              <w:rPr>
                <w:rFonts w:ascii="宋体" w:hAnsi="宋体" w:hint="eastAsia"/>
                <w:sz w:val="24"/>
                <w:szCs w:val="24"/>
              </w:rPr>
              <w:t>1-直接</w:t>
            </w:r>
            <w:r w:rsidRPr="00953EEF">
              <w:rPr>
                <w:rFonts w:ascii="宋体" w:hAnsi="宋体"/>
                <w:sz w:val="24"/>
                <w:szCs w:val="24"/>
              </w:rPr>
              <w:t>电</w:t>
            </w:r>
            <w:r w:rsidRPr="00953EEF">
              <w:rPr>
                <w:rFonts w:ascii="宋体" w:hAnsi="宋体" w:hint="eastAsia"/>
                <w:sz w:val="24"/>
                <w:szCs w:val="24"/>
              </w:rPr>
              <w:t>位</w:t>
            </w:r>
            <w:r w:rsidRPr="00953EEF">
              <w:rPr>
                <w:rFonts w:ascii="宋体" w:hAnsi="宋体"/>
                <w:sz w:val="24"/>
                <w:szCs w:val="24"/>
              </w:rPr>
              <w:t>法</w:t>
            </w:r>
          </w:p>
        </w:tc>
        <w:tc>
          <w:tcPr>
            <w:tcW w:w="1128" w:type="pct"/>
            <w:vMerge w:val="restar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项目1-1：</w:t>
            </w:r>
          </w:p>
          <w:p w:rsidR="00A93329" w:rsidRPr="00953EEF" w:rsidP="00953EEF">
            <w:pPr>
              <w:spacing w:line="360" w:lineRule="auto"/>
              <w:rPr>
                <w:rFonts w:ascii="宋体" w:hAnsi="宋体"/>
                <w:sz w:val="24"/>
                <w:szCs w:val="24"/>
              </w:rPr>
            </w:pPr>
            <w:r w:rsidRPr="00953EEF">
              <w:rPr>
                <w:rFonts w:ascii="宋体" w:hAnsi="宋体"/>
                <w:sz w:val="24"/>
                <w:szCs w:val="24"/>
              </w:rPr>
              <w:t>使用</w:t>
            </w:r>
            <w:r w:rsidRPr="00953EEF">
              <w:rPr>
                <w:rFonts w:ascii="宋体" w:hAnsi="宋体" w:hint="eastAsia"/>
                <w:sz w:val="24"/>
                <w:szCs w:val="24"/>
              </w:rPr>
              <w:t>pHS</w:t>
            </w:r>
            <w:r w:rsidRPr="00953EEF">
              <w:rPr>
                <w:rFonts w:ascii="宋体" w:hAnsi="宋体"/>
                <w:sz w:val="24"/>
                <w:szCs w:val="24"/>
              </w:rPr>
              <w:t>-3C型精密酸度计及电位法测定工业循环冷却水的pH</w:t>
            </w:r>
            <w:r w:rsidRPr="00953EEF">
              <w:rPr>
                <w:rFonts w:ascii="宋体" w:hAnsi="宋体" w:hint="eastAsia"/>
                <w:sz w:val="24"/>
                <w:szCs w:val="24"/>
              </w:rPr>
              <w:t>（直接比较法）</w:t>
            </w:r>
          </w:p>
        </w:tc>
        <w:tc>
          <w:tcPr>
            <w:tcW w:w="2136" w:type="pct"/>
            <w:vAlign w:val="center"/>
          </w:tcPr>
          <w:p w:rsidR="00A93329" w:rsidRPr="00953EEF" w:rsidP="00953EEF">
            <w:pPr>
              <w:spacing w:line="360" w:lineRule="auto"/>
              <w:rPr>
                <w:rFonts w:ascii="宋体" w:hAnsi="宋体"/>
                <w:sz w:val="24"/>
                <w:szCs w:val="24"/>
              </w:rPr>
            </w:pPr>
            <w:r w:rsidRPr="00953EEF">
              <w:rPr>
                <w:rFonts w:ascii="宋体" w:hAnsi="宋体" w:hint="eastAsia"/>
                <w:sz w:val="24"/>
                <w:szCs w:val="24"/>
              </w:rPr>
              <w:t>任务1-1-1电化学分析法概述和基本原理</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23"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12" w:type="pct"/>
            <w:vAlign w:val="center"/>
          </w:tcPr>
          <w:p w:rsidR="00A93329" w:rsidRPr="00953EEF" w:rsidP="00953EEF">
            <w:pPr>
              <w:spacing w:line="360" w:lineRule="auto"/>
              <w:jc w:val="center"/>
              <w:rPr>
                <w:rFonts w:ascii="宋体" w:hAnsi="宋体" w:hint="eastAsia"/>
                <w:sz w:val="24"/>
                <w:szCs w:val="24"/>
              </w:rPr>
            </w:pP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sz w:val="24"/>
                <w:szCs w:val="24"/>
              </w:rPr>
            </w:pPr>
          </w:p>
        </w:tc>
        <w:tc>
          <w:tcPr>
            <w:tcW w:w="1128" w:type="pct"/>
            <w:vMerge/>
            <w:vAlign w:val="center"/>
          </w:tcPr>
          <w:p w:rsidR="00A93329" w:rsidRPr="00953EEF" w:rsidP="00953EEF">
            <w:pPr>
              <w:spacing w:line="360" w:lineRule="auto"/>
              <w:rPr>
                <w:rFonts w:ascii="宋体" w:hAnsi="宋体"/>
                <w:sz w:val="24"/>
                <w:szCs w:val="24"/>
              </w:rPr>
            </w:pPr>
          </w:p>
        </w:tc>
        <w:tc>
          <w:tcPr>
            <w:tcW w:w="2136" w:type="pc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任务1-1-2</w:t>
            </w:r>
            <w:r w:rsidRPr="00953EEF">
              <w:rPr>
                <w:rFonts w:ascii="宋体" w:hAnsi="宋体"/>
                <w:sz w:val="24"/>
                <w:szCs w:val="24"/>
              </w:rPr>
              <w:t>离子选择性电极</w:t>
            </w:r>
            <w:r w:rsidRPr="00953EEF">
              <w:rPr>
                <w:rFonts w:ascii="宋体" w:hAnsi="宋体" w:hint="eastAsia"/>
                <w:sz w:val="24"/>
                <w:szCs w:val="24"/>
              </w:rPr>
              <w:t>与膜电位</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23" w:type="pct"/>
            <w:vAlign w:val="center"/>
          </w:tcPr>
          <w:p w:rsidR="00A93329" w:rsidRPr="00953EEF" w:rsidP="00953EEF">
            <w:pPr>
              <w:spacing w:line="360" w:lineRule="auto"/>
              <w:jc w:val="center"/>
              <w:rPr>
                <w:rFonts w:ascii="宋体" w:hAnsi="宋体"/>
                <w:sz w:val="24"/>
                <w:szCs w:val="24"/>
              </w:rPr>
            </w:pPr>
            <w:r w:rsidRPr="00953EEF">
              <w:rPr>
                <w:rFonts w:ascii="宋体" w:hAnsi="宋体"/>
                <w:sz w:val="24"/>
                <w:szCs w:val="24"/>
              </w:rPr>
              <w:t>2</w:t>
            </w:r>
          </w:p>
        </w:tc>
        <w:tc>
          <w:tcPr>
            <w:tcW w:w="412" w:type="pct"/>
            <w:vAlign w:val="center"/>
          </w:tcPr>
          <w:p w:rsidR="00A93329" w:rsidRPr="00953EEF" w:rsidP="00953EEF">
            <w:pPr>
              <w:spacing w:line="360" w:lineRule="auto"/>
              <w:jc w:val="center"/>
              <w:rPr>
                <w:rFonts w:ascii="宋体" w:hAnsi="宋体"/>
                <w:sz w:val="24"/>
                <w:szCs w:val="24"/>
              </w:rPr>
            </w:pP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sz w:val="24"/>
                <w:szCs w:val="24"/>
              </w:rPr>
            </w:pPr>
          </w:p>
        </w:tc>
        <w:tc>
          <w:tcPr>
            <w:tcW w:w="1128" w:type="pct"/>
            <w:vMerge/>
            <w:vAlign w:val="center"/>
          </w:tcPr>
          <w:p w:rsidR="00A93329" w:rsidRPr="00953EEF" w:rsidP="00953EEF">
            <w:pPr>
              <w:spacing w:line="360" w:lineRule="auto"/>
              <w:rPr>
                <w:rFonts w:ascii="宋体" w:hAnsi="宋体"/>
                <w:sz w:val="24"/>
                <w:szCs w:val="24"/>
              </w:rPr>
            </w:pPr>
          </w:p>
        </w:tc>
        <w:tc>
          <w:tcPr>
            <w:tcW w:w="2136" w:type="pct"/>
            <w:vAlign w:val="center"/>
          </w:tcPr>
          <w:p w:rsidR="00A93329" w:rsidRPr="00953EEF" w:rsidP="00953EEF">
            <w:pPr>
              <w:spacing w:line="360" w:lineRule="auto"/>
              <w:rPr>
                <w:rFonts w:ascii="宋体" w:hAnsi="宋体"/>
                <w:sz w:val="24"/>
                <w:szCs w:val="24"/>
              </w:rPr>
            </w:pPr>
            <w:r w:rsidRPr="00953EEF">
              <w:rPr>
                <w:rFonts w:ascii="宋体" w:hAnsi="宋体" w:hint="eastAsia"/>
                <w:sz w:val="24"/>
                <w:szCs w:val="24"/>
              </w:rPr>
              <w:t>任务1-1-3知识应用与技能训练</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4</w:t>
            </w:r>
          </w:p>
        </w:tc>
        <w:tc>
          <w:tcPr>
            <w:tcW w:w="423" w:type="pct"/>
            <w:vAlign w:val="center"/>
          </w:tcPr>
          <w:p w:rsidR="00A93329" w:rsidRPr="00953EEF" w:rsidP="00953EEF">
            <w:pPr>
              <w:spacing w:line="360" w:lineRule="auto"/>
              <w:jc w:val="center"/>
              <w:rPr>
                <w:rFonts w:ascii="宋体" w:hAnsi="宋体"/>
                <w:sz w:val="24"/>
                <w:szCs w:val="24"/>
              </w:rPr>
            </w:pPr>
          </w:p>
        </w:tc>
        <w:tc>
          <w:tcPr>
            <w:tcW w:w="41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4</w:t>
            </w: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sz w:val="24"/>
                <w:szCs w:val="24"/>
              </w:rPr>
            </w:pPr>
          </w:p>
        </w:tc>
        <w:tc>
          <w:tcPr>
            <w:tcW w:w="1128" w:type="pct"/>
            <w:vMerge/>
            <w:vAlign w:val="center"/>
          </w:tcPr>
          <w:p w:rsidR="00A93329" w:rsidRPr="00953EEF" w:rsidP="00953EEF">
            <w:pPr>
              <w:spacing w:line="360" w:lineRule="auto"/>
              <w:rPr>
                <w:rFonts w:ascii="宋体" w:hAnsi="宋体"/>
                <w:sz w:val="24"/>
                <w:szCs w:val="24"/>
              </w:rPr>
            </w:pPr>
          </w:p>
        </w:tc>
        <w:tc>
          <w:tcPr>
            <w:tcW w:w="2136" w:type="pct"/>
            <w:vAlign w:val="center"/>
          </w:tcPr>
          <w:p w:rsidR="00A93329" w:rsidRPr="00953EEF" w:rsidP="00953EEF">
            <w:pPr>
              <w:spacing w:line="360" w:lineRule="auto"/>
              <w:rPr>
                <w:rFonts w:ascii="宋体" w:hAnsi="宋体"/>
                <w:sz w:val="24"/>
                <w:szCs w:val="24"/>
              </w:rPr>
            </w:pPr>
            <w:r w:rsidRPr="00953EEF">
              <w:rPr>
                <w:rFonts w:ascii="宋体" w:hAnsi="宋体" w:hint="eastAsia"/>
                <w:sz w:val="24"/>
                <w:szCs w:val="24"/>
              </w:rPr>
              <w:t>技能</w:t>
            </w:r>
            <w:r w:rsidRPr="00953EEF">
              <w:rPr>
                <w:rFonts w:ascii="宋体" w:hAnsi="宋体"/>
                <w:sz w:val="24"/>
                <w:szCs w:val="24"/>
              </w:rPr>
              <w:t>考核：pH计的基本操作与水溶液pH的测定</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4</w:t>
            </w:r>
          </w:p>
        </w:tc>
        <w:tc>
          <w:tcPr>
            <w:tcW w:w="423" w:type="pct"/>
            <w:vAlign w:val="center"/>
          </w:tcPr>
          <w:p w:rsidR="00A93329" w:rsidRPr="00953EEF" w:rsidP="00953EEF">
            <w:pPr>
              <w:spacing w:line="360" w:lineRule="auto"/>
              <w:jc w:val="center"/>
              <w:rPr>
                <w:rFonts w:ascii="宋体" w:hAnsi="宋体"/>
                <w:sz w:val="24"/>
                <w:szCs w:val="24"/>
              </w:rPr>
            </w:pPr>
          </w:p>
        </w:tc>
        <w:tc>
          <w:tcPr>
            <w:tcW w:w="41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4</w:t>
            </w: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sz w:val="24"/>
                <w:szCs w:val="24"/>
              </w:rPr>
            </w:pPr>
          </w:p>
        </w:tc>
        <w:tc>
          <w:tcPr>
            <w:tcW w:w="1128" w:type="pct"/>
            <w:vMerge w:val="restar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项目1-2：</w:t>
            </w:r>
          </w:p>
          <w:p w:rsidR="00A93329" w:rsidRPr="00953EEF" w:rsidP="00953EEF">
            <w:pPr>
              <w:spacing w:line="360" w:lineRule="auto"/>
              <w:rPr>
                <w:rFonts w:ascii="宋体" w:hAnsi="宋体"/>
                <w:sz w:val="24"/>
                <w:szCs w:val="24"/>
              </w:rPr>
            </w:pPr>
            <w:r w:rsidRPr="00953EEF">
              <w:rPr>
                <w:rFonts w:ascii="宋体" w:hAnsi="宋体" w:hint="eastAsia"/>
                <w:sz w:val="24"/>
                <w:szCs w:val="24"/>
              </w:rPr>
              <w:t>使用PXD-12型数字离子计及氟离子选择性电极法测定生活饮用水中氟的含量（标准曲线法和标准加入法）</w:t>
            </w:r>
          </w:p>
        </w:tc>
        <w:tc>
          <w:tcPr>
            <w:tcW w:w="2136" w:type="pc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任务1-2-1直接电位法</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23"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12" w:type="pct"/>
            <w:vAlign w:val="center"/>
          </w:tcPr>
          <w:p w:rsidR="00A93329" w:rsidRPr="00953EEF" w:rsidP="00953EEF">
            <w:pPr>
              <w:spacing w:line="360" w:lineRule="auto"/>
              <w:jc w:val="center"/>
              <w:rPr>
                <w:rFonts w:ascii="宋体" w:hAnsi="宋体" w:hint="eastAsia"/>
                <w:sz w:val="24"/>
                <w:szCs w:val="24"/>
              </w:rPr>
            </w:pP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sz w:val="24"/>
                <w:szCs w:val="24"/>
              </w:rPr>
            </w:pPr>
          </w:p>
        </w:tc>
        <w:tc>
          <w:tcPr>
            <w:tcW w:w="1128" w:type="pct"/>
            <w:vMerge/>
            <w:vAlign w:val="center"/>
          </w:tcPr>
          <w:p w:rsidR="00A93329" w:rsidRPr="00953EEF" w:rsidP="00953EEF">
            <w:pPr>
              <w:spacing w:line="360" w:lineRule="auto"/>
              <w:rPr>
                <w:rFonts w:ascii="宋体" w:hAnsi="宋体"/>
                <w:sz w:val="24"/>
                <w:szCs w:val="24"/>
              </w:rPr>
            </w:pPr>
          </w:p>
        </w:tc>
        <w:tc>
          <w:tcPr>
            <w:tcW w:w="2136" w:type="pc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任务1-2-2知识应用与技能训练</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8</w:t>
            </w:r>
          </w:p>
        </w:tc>
        <w:tc>
          <w:tcPr>
            <w:tcW w:w="423" w:type="pct"/>
            <w:vAlign w:val="center"/>
          </w:tcPr>
          <w:p w:rsidR="00A93329" w:rsidRPr="00953EEF" w:rsidP="00953EEF">
            <w:pPr>
              <w:spacing w:line="360" w:lineRule="auto"/>
              <w:jc w:val="center"/>
              <w:rPr>
                <w:rFonts w:ascii="宋体" w:hAnsi="宋体"/>
                <w:sz w:val="24"/>
                <w:szCs w:val="24"/>
              </w:rPr>
            </w:pPr>
          </w:p>
        </w:tc>
        <w:tc>
          <w:tcPr>
            <w:tcW w:w="41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8</w:t>
            </w: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sz w:val="24"/>
                <w:szCs w:val="24"/>
              </w:rPr>
            </w:pPr>
          </w:p>
        </w:tc>
        <w:tc>
          <w:tcPr>
            <w:tcW w:w="1128" w:type="pct"/>
            <w:vMerge/>
            <w:vAlign w:val="center"/>
          </w:tcPr>
          <w:p w:rsidR="00A93329" w:rsidRPr="00953EEF" w:rsidP="00953EEF">
            <w:pPr>
              <w:spacing w:line="360" w:lineRule="auto"/>
              <w:rPr>
                <w:rFonts w:ascii="宋体" w:hAnsi="宋体"/>
                <w:sz w:val="24"/>
                <w:szCs w:val="24"/>
              </w:rPr>
            </w:pPr>
          </w:p>
        </w:tc>
        <w:tc>
          <w:tcPr>
            <w:tcW w:w="2136" w:type="pc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*任务1-2-3答辩与考核</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23"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12" w:type="pct"/>
            <w:vAlign w:val="center"/>
          </w:tcPr>
          <w:p w:rsidR="00A93329" w:rsidRPr="00953EEF" w:rsidP="00953EEF">
            <w:pPr>
              <w:spacing w:line="360" w:lineRule="auto"/>
              <w:jc w:val="center"/>
              <w:rPr>
                <w:rFonts w:ascii="宋体" w:hAnsi="宋体" w:hint="eastAsia"/>
                <w:sz w:val="24"/>
                <w:szCs w:val="24"/>
              </w:rPr>
            </w:pPr>
          </w:p>
        </w:tc>
      </w:tr>
      <w:tr w:rsidTr="00953EEF">
        <w:tblPrEx>
          <w:tblW w:w="5000" w:type="pct"/>
          <w:jc w:val="center"/>
          <w:tblInd w:w="0" w:type="dxa"/>
          <w:tblLook w:val="0000"/>
        </w:tblPrEx>
        <w:trPr>
          <w:jc w:val="center"/>
        </w:trPr>
        <w:tc>
          <w:tcPr>
            <w:tcW w:w="3843" w:type="pct"/>
            <w:gridSpan w:val="3"/>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b/>
                <w:sz w:val="24"/>
                <w:szCs w:val="24"/>
              </w:rPr>
              <w:t>小计</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b/>
                <w:sz w:val="24"/>
                <w:szCs w:val="24"/>
              </w:rPr>
              <w:t>24</w:t>
            </w:r>
          </w:p>
        </w:tc>
        <w:tc>
          <w:tcPr>
            <w:tcW w:w="423"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b/>
                <w:sz w:val="24"/>
                <w:szCs w:val="24"/>
              </w:rPr>
              <w:t>8</w:t>
            </w:r>
          </w:p>
        </w:tc>
        <w:tc>
          <w:tcPr>
            <w:tcW w:w="41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b/>
                <w:sz w:val="24"/>
                <w:szCs w:val="24"/>
              </w:rPr>
              <w:t>16</w:t>
            </w:r>
          </w:p>
        </w:tc>
      </w:tr>
      <w:tr w:rsidTr="00953EEF">
        <w:tblPrEx>
          <w:tblW w:w="5000" w:type="pct"/>
          <w:jc w:val="center"/>
          <w:tblInd w:w="0" w:type="dxa"/>
          <w:tblLook w:val="0000"/>
        </w:tblPrEx>
        <w:trPr>
          <w:jc w:val="center"/>
        </w:trPr>
        <w:tc>
          <w:tcPr>
            <w:tcW w:w="579" w:type="pct"/>
            <w:vMerge w:val="restart"/>
            <w:vAlign w:val="center"/>
          </w:tcPr>
          <w:p w:rsidR="00A93329" w:rsidRPr="00953EEF" w:rsidP="00953EEF">
            <w:pPr>
              <w:spacing w:line="360" w:lineRule="auto"/>
              <w:jc w:val="center"/>
              <w:rPr>
                <w:rFonts w:ascii="宋体" w:hAnsi="宋体"/>
                <w:sz w:val="24"/>
                <w:szCs w:val="24"/>
              </w:rPr>
            </w:pPr>
            <w:r w:rsidRPr="00953EEF">
              <w:rPr>
                <w:rFonts w:ascii="宋体" w:hAnsi="宋体" w:hint="eastAsia"/>
                <w:sz w:val="24"/>
                <w:szCs w:val="24"/>
              </w:rPr>
              <w:t>2-</w:t>
            </w:r>
            <w:r w:rsidRPr="00953EEF">
              <w:rPr>
                <w:rFonts w:ascii="宋体" w:hAnsi="宋体"/>
                <w:sz w:val="24"/>
                <w:szCs w:val="24"/>
              </w:rPr>
              <w:t>电</w:t>
            </w:r>
            <w:r w:rsidRPr="00953EEF">
              <w:rPr>
                <w:rFonts w:ascii="宋体" w:hAnsi="宋体" w:hint="eastAsia"/>
                <w:sz w:val="24"/>
                <w:szCs w:val="24"/>
              </w:rPr>
              <w:t>位滴定</w:t>
            </w:r>
            <w:r w:rsidRPr="00953EEF">
              <w:rPr>
                <w:rFonts w:ascii="宋体" w:hAnsi="宋体"/>
                <w:sz w:val="24"/>
                <w:szCs w:val="24"/>
              </w:rPr>
              <w:t>法</w:t>
            </w:r>
          </w:p>
        </w:tc>
        <w:tc>
          <w:tcPr>
            <w:tcW w:w="1128" w:type="pct"/>
            <w:vMerge w:val="restar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项目2-1：</w:t>
            </w:r>
          </w:p>
          <w:p w:rsidR="00A93329" w:rsidRPr="00953EEF" w:rsidP="00953EEF">
            <w:pPr>
              <w:spacing w:line="360" w:lineRule="auto"/>
              <w:rPr>
                <w:rFonts w:ascii="宋体" w:hAnsi="宋体"/>
                <w:sz w:val="24"/>
                <w:szCs w:val="24"/>
              </w:rPr>
            </w:pPr>
            <w:r w:rsidRPr="00953EEF">
              <w:rPr>
                <w:rFonts w:ascii="宋体" w:hAnsi="宋体" w:hint="eastAsia"/>
                <w:sz w:val="24"/>
                <w:szCs w:val="24"/>
              </w:rPr>
              <w:t>使用ZD-2型自动电位滴定仪及自动电位滴定法测定I</w:t>
            </w:r>
            <w:r w:rsidRPr="00953EEF">
              <w:rPr>
                <w:rFonts w:ascii="宋体" w:hAnsi="宋体" w:hint="eastAsia"/>
                <w:sz w:val="24"/>
                <w:szCs w:val="24"/>
                <w:vertAlign w:val="superscript"/>
              </w:rPr>
              <w:t>—</w:t>
            </w:r>
            <w:r w:rsidRPr="00953EEF">
              <w:rPr>
                <w:rFonts w:ascii="宋体" w:hAnsi="宋体" w:hint="eastAsia"/>
                <w:sz w:val="24"/>
                <w:szCs w:val="24"/>
              </w:rPr>
              <w:t>和Cl</w:t>
            </w:r>
            <w:r w:rsidRPr="00953EEF">
              <w:rPr>
                <w:rFonts w:ascii="宋体" w:hAnsi="宋体" w:hint="eastAsia"/>
                <w:sz w:val="24"/>
                <w:szCs w:val="24"/>
                <w:vertAlign w:val="superscript"/>
              </w:rPr>
              <w:t>—</w:t>
            </w:r>
            <w:r w:rsidRPr="00953EEF">
              <w:rPr>
                <w:rFonts w:ascii="宋体" w:hAnsi="宋体" w:hint="eastAsia"/>
                <w:sz w:val="24"/>
                <w:szCs w:val="24"/>
              </w:rPr>
              <w:t>的含量</w:t>
            </w:r>
          </w:p>
        </w:tc>
        <w:tc>
          <w:tcPr>
            <w:tcW w:w="2136" w:type="pc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*任务2-1-1电位滴定法</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23"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2</w:t>
            </w:r>
          </w:p>
        </w:tc>
        <w:tc>
          <w:tcPr>
            <w:tcW w:w="412" w:type="pct"/>
            <w:vAlign w:val="center"/>
          </w:tcPr>
          <w:p w:rsidR="00A93329" w:rsidRPr="00953EEF" w:rsidP="00953EEF">
            <w:pPr>
              <w:spacing w:line="360" w:lineRule="auto"/>
              <w:jc w:val="center"/>
              <w:rPr>
                <w:rFonts w:ascii="宋体" w:hAnsi="宋体" w:hint="eastAsia"/>
                <w:sz w:val="24"/>
                <w:szCs w:val="24"/>
              </w:rPr>
            </w:pPr>
          </w:p>
        </w:tc>
      </w:tr>
      <w:tr w:rsidTr="00953EEF">
        <w:tblPrEx>
          <w:tblW w:w="5000" w:type="pct"/>
          <w:jc w:val="center"/>
          <w:tblInd w:w="0" w:type="dxa"/>
          <w:tblLook w:val="0000"/>
        </w:tblPrEx>
        <w:trPr>
          <w:jc w:val="center"/>
        </w:trPr>
        <w:tc>
          <w:tcPr>
            <w:tcW w:w="579" w:type="pct"/>
            <w:vMerge/>
            <w:vAlign w:val="center"/>
          </w:tcPr>
          <w:p w:rsidR="00A93329" w:rsidRPr="00953EEF" w:rsidP="00953EEF">
            <w:pPr>
              <w:spacing w:line="360" w:lineRule="auto"/>
              <w:jc w:val="center"/>
              <w:rPr>
                <w:rFonts w:ascii="宋体" w:hAnsi="宋体"/>
                <w:sz w:val="24"/>
                <w:szCs w:val="24"/>
              </w:rPr>
            </w:pPr>
          </w:p>
        </w:tc>
        <w:tc>
          <w:tcPr>
            <w:tcW w:w="1128" w:type="pct"/>
            <w:vMerge/>
            <w:vAlign w:val="center"/>
          </w:tcPr>
          <w:p w:rsidR="00A93329" w:rsidRPr="00953EEF" w:rsidP="00953EEF">
            <w:pPr>
              <w:spacing w:line="360" w:lineRule="auto"/>
              <w:rPr>
                <w:rFonts w:ascii="宋体" w:hAnsi="宋体"/>
                <w:sz w:val="24"/>
                <w:szCs w:val="24"/>
              </w:rPr>
            </w:pPr>
          </w:p>
        </w:tc>
        <w:tc>
          <w:tcPr>
            <w:tcW w:w="2136" w:type="pct"/>
            <w:vAlign w:val="center"/>
          </w:tcPr>
          <w:p w:rsidR="00A93329" w:rsidRPr="00953EEF" w:rsidP="00953EEF">
            <w:pPr>
              <w:spacing w:line="360" w:lineRule="auto"/>
              <w:rPr>
                <w:rFonts w:ascii="宋体" w:hAnsi="宋体" w:hint="eastAsia"/>
                <w:sz w:val="24"/>
                <w:szCs w:val="24"/>
              </w:rPr>
            </w:pPr>
            <w:r w:rsidRPr="00953EEF">
              <w:rPr>
                <w:rFonts w:ascii="宋体" w:hAnsi="宋体" w:hint="eastAsia"/>
                <w:sz w:val="24"/>
                <w:szCs w:val="24"/>
              </w:rPr>
              <w:t>任务2-1-2知识应用与技能训练</w:t>
            </w:r>
          </w:p>
        </w:tc>
        <w:tc>
          <w:tcPr>
            <w:tcW w:w="32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8</w:t>
            </w:r>
          </w:p>
        </w:tc>
        <w:tc>
          <w:tcPr>
            <w:tcW w:w="423" w:type="pct"/>
            <w:vAlign w:val="center"/>
          </w:tcPr>
          <w:p w:rsidR="00A93329" w:rsidRPr="00953EEF" w:rsidP="00953EEF">
            <w:pPr>
              <w:spacing w:line="360" w:lineRule="auto"/>
              <w:jc w:val="center"/>
              <w:rPr>
                <w:rFonts w:ascii="宋体" w:hAnsi="宋体" w:hint="eastAsia"/>
                <w:sz w:val="24"/>
                <w:szCs w:val="24"/>
              </w:rPr>
            </w:pPr>
          </w:p>
        </w:tc>
        <w:tc>
          <w:tcPr>
            <w:tcW w:w="412" w:type="pct"/>
            <w:vAlign w:val="center"/>
          </w:tcPr>
          <w:p w:rsidR="00A93329" w:rsidRPr="00953EEF" w:rsidP="00953EEF">
            <w:pPr>
              <w:spacing w:line="360" w:lineRule="auto"/>
              <w:jc w:val="center"/>
              <w:rPr>
                <w:rFonts w:ascii="宋体" w:hAnsi="宋体" w:hint="eastAsia"/>
                <w:sz w:val="24"/>
                <w:szCs w:val="24"/>
              </w:rPr>
            </w:pPr>
            <w:r w:rsidRPr="00953EEF">
              <w:rPr>
                <w:rFonts w:ascii="宋体" w:hAnsi="宋体" w:hint="eastAsia"/>
                <w:sz w:val="24"/>
                <w:szCs w:val="24"/>
              </w:rPr>
              <w:t>8</w:t>
            </w:r>
          </w:p>
        </w:tc>
      </w:tr>
      <w:tr w:rsidTr="00953EEF">
        <w:tblPrEx>
          <w:tblW w:w="5000" w:type="pct"/>
          <w:jc w:val="center"/>
          <w:tblInd w:w="0" w:type="dxa"/>
          <w:tblLook w:val="0000"/>
        </w:tblPrEx>
        <w:trPr>
          <w:jc w:val="center"/>
        </w:trPr>
        <w:tc>
          <w:tcPr>
            <w:tcW w:w="3843" w:type="pct"/>
            <w:gridSpan w:val="3"/>
            <w:vAlign w:val="center"/>
          </w:tcPr>
          <w:p w:rsidR="00A93329" w:rsidRPr="00953EEF" w:rsidP="00953EEF">
            <w:pPr>
              <w:spacing w:line="360" w:lineRule="auto"/>
              <w:jc w:val="center"/>
              <w:rPr>
                <w:rFonts w:ascii="宋体" w:hAnsi="宋体" w:hint="eastAsia"/>
                <w:b/>
                <w:bCs/>
                <w:sz w:val="24"/>
                <w:szCs w:val="24"/>
              </w:rPr>
            </w:pPr>
            <w:r w:rsidRPr="00953EEF">
              <w:rPr>
                <w:rFonts w:ascii="宋体" w:hAnsi="宋体" w:hint="eastAsia"/>
                <w:b/>
                <w:bCs/>
                <w:sz w:val="24"/>
                <w:szCs w:val="24"/>
              </w:rPr>
              <w:t>小计</w:t>
            </w:r>
          </w:p>
        </w:tc>
        <w:tc>
          <w:tcPr>
            <w:tcW w:w="322" w:type="pct"/>
            <w:vAlign w:val="center"/>
          </w:tcPr>
          <w:p w:rsidR="00A93329" w:rsidRPr="00953EEF" w:rsidP="00953EEF">
            <w:pPr>
              <w:spacing w:line="360" w:lineRule="auto"/>
              <w:jc w:val="center"/>
              <w:rPr>
                <w:rFonts w:ascii="宋体" w:hAnsi="宋体"/>
                <w:b/>
                <w:bCs/>
                <w:sz w:val="24"/>
                <w:szCs w:val="24"/>
              </w:rPr>
            </w:pPr>
            <w:r w:rsidRPr="00953EEF">
              <w:rPr>
                <w:rFonts w:ascii="宋体" w:hAnsi="宋体" w:hint="eastAsia"/>
                <w:b/>
                <w:bCs/>
                <w:sz w:val="24"/>
                <w:szCs w:val="24"/>
              </w:rPr>
              <w:t>10</w:t>
            </w:r>
          </w:p>
        </w:tc>
        <w:tc>
          <w:tcPr>
            <w:tcW w:w="423" w:type="pct"/>
            <w:vAlign w:val="center"/>
          </w:tcPr>
          <w:p w:rsidR="00A93329" w:rsidRPr="00953EEF" w:rsidP="00953EEF">
            <w:pPr>
              <w:spacing w:line="360" w:lineRule="auto"/>
              <w:jc w:val="center"/>
              <w:rPr>
                <w:rFonts w:ascii="宋体" w:hAnsi="宋体" w:hint="eastAsia"/>
                <w:b/>
                <w:bCs/>
                <w:sz w:val="24"/>
                <w:szCs w:val="24"/>
              </w:rPr>
            </w:pPr>
            <w:r w:rsidRPr="00953EEF">
              <w:rPr>
                <w:rFonts w:ascii="宋体" w:hAnsi="宋体" w:hint="eastAsia"/>
                <w:b/>
                <w:bCs/>
                <w:sz w:val="24"/>
                <w:szCs w:val="24"/>
              </w:rPr>
              <w:t>2</w:t>
            </w:r>
          </w:p>
        </w:tc>
        <w:tc>
          <w:tcPr>
            <w:tcW w:w="412" w:type="pct"/>
            <w:vAlign w:val="center"/>
          </w:tcPr>
          <w:p w:rsidR="00A93329" w:rsidRPr="00953EEF" w:rsidP="00953EEF">
            <w:pPr>
              <w:spacing w:line="360" w:lineRule="auto"/>
              <w:jc w:val="center"/>
              <w:rPr>
                <w:rFonts w:ascii="宋体" w:hAnsi="宋体" w:hint="eastAsia"/>
                <w:b/>
                <w:bCs/>
                <w:sz w:val="24"/>
                <w:szCs w:val="24"/>
              </w:rPr>
            </w:pPr>
            <w:r w:rsidRPr="00953EEF">
              <w:rPr>
                <w:rFonts w:ascii="宋体" w:hAnsi="宋体" w:hint="eastAsia"/>
                <w:b/>
                <w:bCs/>
                <w:sz w:val="24"/>
                <w:szCs w:val="24"/>
              </w:rPr>
              <w:t>8</w:t>
            </w:r>
          </w:p>
        </w:tc>
      </w:tr>
      <w:tr w:rsidTr="00953EEF">
        <w:tblPrEx>
          <w:tblW w:w="5000" w:type="pct"/>
          <w:jc w:val="center"/>
          <w:tblInd w:w="0" w:type="dxa"/>
          <w:tblLook w:val="0000"/>
        </w:tblPrEx>
        <w:trPr>
          <w:jc w:val="center"/>
        </w:trPr>
        <w:tc>
          <w:tcPr>
            <w:tcW w:w="3843" w:type="pct"/>
            <w:gridSpan w:val="3"/>
            <w:vAlign w:val="center"/>
          </w:tcPr>
          <w:p w:rsidR="00A93329" w:rsidRPr="00953EEF" w:rsidP="00953EEF">
            <w:pPr>
              <w:spacing w:line="360" w:lineRule="auto"/>
              <w:jc w:val="center"/>
              <w:rPr>
                <w:rFonts w:ascii="宋体" w:hAnsi="宋体"/>
                <w:b/>
                <w:sz w:val="24"/>
                <w:szCs w:val="24"/>
              </w:rPr>
            </w:pPr>
            <w:r w:rsidRPr="00953EEF">
              <w:rPr>
                <w:rFonts w:ascii="宋体" w:hAnsi="宋体" w:hint="eastAsia"/>
                <w:b/>
                <w:sz w:val="24"/>
                <w:szCs w:val="24"/>
              </w:rPr>
              <w:t>习题课、期末复习、考查、节假日或机动</w:t>
            </w:r>
          </w:p>
        </w:tc>
        <w:tc>
          <w:tcPr>
            <w:tcW w:w="322" w:type="pct"/>
            <w:vAlign w:val="center"/>
          </w:tcPr>
          <w:p w:rsidR="00A93329" w:rsidRPr="00953EEF" w:rsidP="00953EEF">
            <w:pPr>
              <w:spacing w:line="360" w:lineRule="auto"/>
              <w:jc w:val="center"/>
              <w:rPr>
                <w:rFonts w:ascii="宋体" w:hAnsi="宋体"/>
                <w:b/>
                <w:sz w:val="24"/>
                <w:szCs w:val="24"/>
              </w:rPr>
            </w:pPr>
            <w:r w:rsidRPr="00953EEF">
              <w:rPr>
                <w:rFonts w:ascii="宋体" w:hAnsi="宋体" w:hint="eastAsia"/>
                <w:b/>
                <w:sz w:val="24"/>
                <w:szCs w:val="24"/>
              </w:rPr>
              <w:t>8</w:t>
            </w:r>
          </w:p>
        </w:tc>
        <w:tc>
          <w:tcPr>
            <w:tcW w:w="423" w:type="pct"/>
            <w:vAlign w:val="center"/>
          </w:tcPr>
          <w:p w:rsidR="00A93329" w:rsidRPr="00953EEF" w:rsidP="00953EEF">
            <w:pPr>
              <w:spacing w:line="360" w:lineRule="auto"/>
              <w:jc w:val="center"/>
              <w:rPr>
                <w:rFonts w:ascii="宋体" w:hAnsi="宋体"/>
                <w:b/>
                <w:sz w:val="24"/>
                <w:szCs w:val="24"/>
              </w:rPr>
            </w:pPr>
            <w:r w:rsidRPr="00953EEF">
              <w:rPr>
                <w:rFonts w:ascii="宋体" w:hAnsi="宋体" w:hint="eastAsia"/>
                <w:b/>
                <w:sz w:val="24"/>
                <w:szCs w:val="24"/>
              </w:rPr>
              <w:t>8</w:t>
            </w:r>
          </w:p>
        </w:tc>
        <w:tc>
          <w:tcPr>
            <w:tcW w:w="412" w:type="pct"/>
            <w:vAlign w:val="center"/>
          </w:tcPr>
          <w:p w:rsidR="00A93329" w:rsidRPr="00953EEF" w:rsidP="00953EEF">
            <w:pPr>
              <w:spacing w:line="360" w:lineRule="auto"/>
              <w:jc w:val="center"/>
              <w:rPr>
                <w:rFonts w:ascii="宋体" w:hAnsi="宋体"/>
                <w:b/>
                <w:sz w:val="24"/>
                <w:szCs w:val="24"/>
              </w:rPr>
            </w:pPr>
          </w:p>
        </w:tc>
      </w:tr>
    </w:tbl>
    <w:p>
      <w:p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134" w:right="1417" w:bottom="1134" w:left="1417" w:header="851" w:footer="992" w:gutter="0"/>
          <w:pgNumType w:start="8"/>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39"/>
        <w:gridCol w:w="598"/>
        <w:gridCol w:w="786"/>
        <w:gridCol w:w="765"/>
      </w:tblGrid>
      <w:tr w:rsidTr="00953EEF">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843" w:type="pct"/>
            <w:vAlign w:val="center"/>
          </w:tcPr>
          <w:p w:rsidR="00A93329" w:rsidRPr="00953EEF" w:rsidP="00953EEF">
            <w:pPr>
              <w:spacing w:line="360" w:lineRule="auto"/>
              <w:jc w:val="center"/>
              <w:rPr>
                <w:rFonts w:ascii="宋体" w:hAnsi="宋体"/>
                <w:b/>
                <w:sz w:val="24"/>
                <w:szCs w:val="24"/>
              </w:rPr>
            </w:pPr>
            <w:r w:rsidRPr="00953EEF">
              <w:rPr>
                <w:rFonts w:ascii="宋体" w:hAnsi="宋体"/>
                <w:b/>
                <w:sz w:val="24"/>
                <w:szCs w:val="24"/>
              </w:rPr>
              <w:t>总计</w:t>
            </w:r>
          </w:p>
        </w:tc>
        <w:tc>
          <w:tcPr>
            <w:tcW w:w="322" w:type="pct"/>
            <w:vAlign w:val="center"/>
          </w:tcPr>
          <w:p w:rsidR="00A93329" w:rsidRPr="00953EEF" w:rsidP="00953EEF">
            <w:pPr>
              <w:spacing w:line="360" w:lineRule="auto"/>
              <w:jc w:val="center"/>
              <w:rPr>
                <w:rFonts w:ascii="宋体" w:hAnsi="宋体"/>
                <w:b/>
                <w:sz w:val="24"/>
                <w:szCs w:val="24"/>
              </w:rPr>
            </w:pPr>
            <w:r w:rsidRPr="00953EEF">
              <w:rPr>
                <w:rFonts w:ascii="宋体" w:hAnsi="宋体" w:hint="eastAsia"/>
                <w:b/>
                <w:sz w:val="24"/>
                <w:szCs w:val="24"/>
              </w:rPr>
              <w:t>42</w:t>
            </w:r>
          </w:p>
        </w:tc>
        <w:tc>
          <w:tcPr>
            <w:tcW w:w="423" w:type="pct"/>
            <w:vAlign w:val="center"/>
          </w:tcPr>
          <w:p w:rsidR="00A93329" w:rsidRPr="00953EEF" w:rsidP="00953EEF">
            <w:pPr>
              <w:spacing w:line="360" w:lineRule="auto"/>
              <w:jc w:val="center"/>
              <w:rPr>
                <w:rFonts w:ascii="宋体" w:hAnsi="宋体"/>
                <w:b/>
                <w:sz w:val="24"/>
                <w:szCs w:val="24"/>
              </w:rPr>
            </w:pPr>
            <w:r w:rsidRPr="00953EEF">
              <w:rPr>
                <w:rFonts w:ascii="宋体" w:hAnsi="宋体" w:hint="eastAsia"/>
                <w:b/>
                <w:sz w:val="24"/>
                <w:szCs w:val="24"/>
              </w:rPr>
              <w:t>18</w:t>
            </w:r>
          </w:p>
        </w:tc>
        <w:tc>
          <w:tcPr>
            <w:tcW w:w="412" w:type="pct"/>
            <w:vAlign w:val="center"/>
          </w:tcPr>
          <w:p w:rsidR="00A93329" w:rsidRPr="00953EEF" w:rsidP="00953EEF">
            <w:pPr>
              <w:spacing w:line="360" w:lineRule="auto"/>
              <w:jc w:val="center"/>
              <w:rPr>
                <w:rFonts w:ascii="宋体" w:hAnsi="宋体" w:hint="eastAsia"/>
                <w:b/>
                <w:sz w:val="24"/>
                <w:szCs w:val="24"/>
              </w:rPr>
            </w:pPr>
            <w:r w:rsidRPr="00953EEF">
              <w:rPr>
                <w:rFonts w:ascii="宋体" w:hAnsi="宋体" w:hint="eastAsia"/>
                <w:b/>
                <w:sz w:val="24"/>
                <w:szCs w:val="24"/>
              </w:rPr>
              <w:t>24</w:t>
            </w:r>
          </w:p>
        </w:tc>
      </w:tr>
    </w:tbl>
    <w:p w:rsidR="00A93329" w:rsidRPr="00953EEF" w:rsidP="00953EEF">
      <w:pPr>
        <w:spacing w:line="360" w:lineRule="auto"/>
        <w:ind w:firstLine="480" w:firstLineChars="200"/>
        <w:rPr>
          <w:rFonts w:ascii="宋体" w:hAnsi="宋体" w:hint="eastAsia"/>
          <w:sz w:val="24"/>
          <w:szCs w:val="24"/>
        </w:rPr>
      </w:pPr>
    </w:p>
    <w:p w:rsidR="00A93329" w:rsidRPr="00953EEF" w:rsidP="00953EEF">
      <w:pPr>
        <w:spacing w:line="360" w:lineRule="auto"/>
        <w:ind w:firstLine="480" w:firstLineChars="200"/>
        <w:rPr>
          <w:rFonts w:ascii="宋体" w:hAnsi="宋体" w:hint="eastAsia"/>
          <w:sz w:val="24"/>
          <w:szCs w:val="24"/>
          <w:lang w:val="zh-CN"/>
        </w:rPr>
      </w:pPr>
      <w:r w:rsidRPr="00953EEF">
        <w:rPr>
          <w:rFonts w:ascii="宋体" w:hAnsi="宋体" w:hint="eastAsia"/>
          <w:sz w:val="24"/>
          <w:szCs w:val="24"/>
        </w:rPr>
        <w:t>本课程教学模块结构包括理论学习任务和实践学习任务，为工业分析技术专业学生必须学习的内容。建议本课程总课时为42课时，其中理论学习任务10课时，实践学习任务24课时，习题课、期末复习考查、节假日或机动8学时，可根据学期授课进程学时数合理调整安排教学内容，其中，加*任务可机动选择进行，</w:t>
      </w:r>
      <w:r w:rsidRPr="00953EEF">
        <w:rPr>
          <w:rFonts w:ascii="宋体" w:hAnsi="宋体" w:hint="eastAsia"/>
          <w:sz w:val="24"/>
          <w:szCs w:val="24"/>
          <w:lang w:val="zh-CN"/>
        </w:rPr>
        <w:t>技能考核可以单独进行，也可并入典型项目中进行考核。</w:t>
      </w:r>
    </w:p>
    <w:p w:rsidR="00A93329" w:rsidRPr="00953EEF" w:rsidP="00953EEF">
      <w:pPr>
        <w:spacing w:line="360" w:lineRule="auto"/>
        <w:ind w:firstLine="480" w:firstLineChars="200"/>
        <w:rPr>
          <w:rFonts w:ascii="宋体" w:hAnsi="宋体" w:hint="eastAsia"/>
          <w:sz w:val="24"/>
          <w:szCs w:val="24"/>
        </w:rPr>
      </w:pPr>
      <w:r w:rsidRPr="00953EEF">
        <w:rPr>
          <w:rFonts w:ascii="宋体" w:hAnsi="宋体" w:hint="eastAsia"/>
          <w:sz w:val="24"/>
          <w:szCs w:val="24"/>
        </w:rPr>
        <w:t>项目导向，样品检测任务驱动，</w:t>
      </w:r>
      <w:r w:rsidRPr="00953EEF">
        <w:rPr>
          <w:rFonts w:ascii="宋体" w:hAnsi="宋体" w:hint="eastAsia"/>
          <w:sz w:val="24"/>
          <w:szCs w:val="24"/>
        </w:rPr>
        <w:t>“</w:t>
      </w:r>
      <w:r w:rsidRPr="00953EEF">
        <w:rPr>
          <w:rFonts w:ascii="宋体" w:hAnsi="宋体" w:hint="eastAsia"/>
          <w:sz w:val="24"/>
          <w:szCs w:val="24"/>
        </w:rPr>
        <w:t>理论-实践一体化</w:t>
      </w:r>
      <w:r w:rsidRPr="00953EEF">
        <w:rPr>
          <w:rFonts w:ascii="宋体" w:hAnsi="宋体" w:hint="eastAsia"/>
          <w:sz w:val="24"/>
          <w:szCs w:val="24"/>
        </w:rPr>
        <w:t>”</w:t>
      </w:r>
      <w:r w:rsidRPr="00953EEF">
        <w:rPr>
          <w:rFonts w:ascii="宋体" w:hAnsi="宋体" w:hint="eastAsia"/>
          <w:sz w:val="24"/>
          <w:szCs w:val="24"/>
        </w:rPr>
        <w:t>的模块化项目教学内容体系的设计见各子模块描述。</w:t>
      </w:r>
    </w:p>
    <w:p w:rsidR="00A93329" w:rsidRPr="00953EEF" w:rsidP="00953EEF">
      <w:pPr>
        <w:numPr>
          <w:ilvl w:val="0"/>
          <w:numId w:val="2"/>
        </w:numPr>
        <w:spacing w:line="360" w:lineRule="auto"/>
        <w:ind w:firstLine="480" w:firstLineChars="200"/>
        <w:rPr>
          <w:rFonts w:ascii="宋体" w:hAnsi="宋体"/>
          <w:b/>
          <w:sz w:val="24"/>
          <w:szCs w:val="24"/>
        </w:rPr>
      </w:pPr>
      <w:r w:rsidRPr="00953EEF">
        <w:rPr>
          <w:rFonts w:ascii="宋体" w:hAnsi="宋体"/>
          <w:b/>
          <w:sz w:val="24"/>
          <w:szCs w:val="24"/>
        </w:rPr>
        <w:t>子模块描述</w:t>
      </w:r>
    </w:p>
    <w:p w:rsidR="00A93329" w:rsidRPr="00953EEF" w:rsidP="00953EEF">
      <w:pPr>
        <w:widowControl/>
        <w:spacing w:line="360" w:lineRule="auto"/>
        <w:ind w:firstLine="480" w:firstLineChars="200"/>
        <w:jc w:val="left"/>
        <w:rPr>
          <w:rFonts w:ascii="宋体" w:hAnsi="宋体" w:cs="宋体" w:hint="eastAsia"/>
          <w:color w:val="000000"/>
          <w:kern w:val="0"/>
          <w:sz w:val="24"/>
          <w:szCs w:val="24"/>
        </w:rPr>
      </w:pPr>
      <w:r w:rsidRPr="00953EEF">
        <w:rPr>
          <w:rFonts w:ascii="宋体" w:hAnsi="宋体" w:cs="宋体" w:hint="eastAsia"/>
          <w:color w:val="000000"/>
          <w:kern w:val="0"/>
          <w:sz w:val="24"/>
          <w:szCs w:val="24"/>
        </w:rPr>
        <w:t>（1）子模块1．直接电位法及其任务描述表</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76"/>
        <w:gridCol w:w="1653"/>
        <w:gridCol w:w="1224"/>
        <w:gridCol w:w="4525"/>
        <w:gridCol w:w="710"/>
      </w:tblGrid>
      <w:tr w:rsidTr="00953EEF">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633" w:type="pct"/>
            <w:vAlign w:val="center"/>
          </w:tcPr>
          <w:p w:rsidR="00A93329" w:rsidRPr="00953EEF" w:rsidP="00953EEF">
            <w:pPr>
              <w:spacing w:line="360" w:lineRule="auto"/>
              <w:jc w:val="center"/>
              <w:rPr>
                <w:rFonts w:ascii="宋体" w:hAnsi="宋体" w:cs="宋体" w:hint="eastAsia"/>
                <w:b/>
                <w:sz w:val="24"/>
                <w:szCs w:val="24"/>
              </w:rPr>
            </w:pPr>
            <w:r w:rsidRPr="00953EEF">
              <w:rPr>
                <w:rFonts w:ascii="宋体" w:hAnsi="宋体" w:cs="宋体" w:hint="eastAsia"/>
                <w:b/>
                <w:sz w:val="24"/>
                <w:szCs w:val="24"/>
              </w:rPr>
              <w:t>子模块</w:t>
            </w:r>
          </w:p>
        </w:tc>
        <w:tc>
          <w:tcPr>
            <w:tcW w:w="890" w:type="pct"/>
            <w:vAlign w:val="center"/>
          </w:tcPr>
          <w:p w:rsidR="00A93329" w:rsidRPr="00953EEF" w:rsidP="00953EEF">
            <w:pPr>
              <w:spacing w:line="360" w:lineRule="auto"/>
              <w:jc w:val="center"/>
              <w:rPr>
                <w:rFonts w:ascii="宋体" w:hAnsi="宋体" w:cs="宋体" w:hint="eastAsia"/>
                <w:b/>
                <w:sz w:val="24"/>
                <w:szCs w:val="24"/>
              </w:rPr>
            </w:pPr>
            <w:r w:rsidRPr="00953EEF">
              <w:rPr>
                <w:rFonts w:ascii="宋体" w:hAnsi="宋体" w:cs="宋体" w:hint="eastAsia"/>
                <w:b/>
                <w:sz w:val="24"/>
                <w:szCs w:val="24"/>
              </w:rPr>
              <w:t>项目</w:t>
            </w:r>
          </w:p>
        </w:tc>
        <w:tc>
          <w:tcPr>
            <w:tcW w:w="659" w:type="pct"/>
            <w:vAlign w:val="center"/>
          </w:tcPr>
          <w:p w:rsidR="00A93329" w:rsidRPr="00953EEF" w:rsidP="00953EEF">
            <w:pPr>
              <w:spacing w:line="360" w:lineRule="auto"/>
              <w:jc w:val="center"/>
              <w:rPr>
                <w:rFonts w:ascii="宋体" w:hAnsi="宋体" w:cs="宋体" w:hint="eastAsia"/>
                <w:b/>
                <w:sz w:val="24"/>
                <w:szCs w:val="24"/>
              </w:rPr>
            </w:pPr>
            <w:r w:rsidRPr="00953EEF">
              <w:rPr>
                <w:rFonts w:ascii="宋体" w:hAnsi="宋体" w:cs="宋体" w:hint="eastAsia"/>
                <w:b/>
                <w:sz w:val="24"/>
                <w:szCs w:val="24"/>
              </w:rPr>
              <w:t>任务</w:t>
            </w:r>
          </w:p>
        </w:tc>
        <w:tc>
          <w:tcPr>
            <w:tcW w:w="2436" w:type="pct"/>
            <w:vAlign w:val="center"/>
          </w:tcPr>
          <w:p w:rsidR="00A93329" w:rsidRPr="00953EEF" w:rsidP="00953EEF">
            <w:pPr>
              <w:spacing w:line="360" w:lineRule="auto"/>
              <w:jc w:val="center"/>
              <w:rPr>
                <w:rFonts w:ascii="宋体" w:hAnsi="宋体" w:cs="宋体" w:hint="eastAsia"/>
                <w:b/>
                <w:sz w:val="24"/>
                <w:szCs w:val="24"/>
              </w:rPr>
            </w:pPr>
            <w:r w:rsidRPr="00953EEF">
              <w:rPr>
                <w:rFonts w:ascii="宋体" w:hAnsi="宋体" w:cs="宋体" w:hint="eastAsia"/>
                <w:b/>
                <w:sz w:val="24"/>
                <w:szCs w:val="24"/>
              </w:rPr>
              <w:t>学习内容</w:t>
            </w:r>
          </w:p>
        </w:tc>
        <w:tc>
          <w:tcPr>
            <w:tcW w:w="382" w:type="pct"/>
            <w:vAlign w:val="center"/>
          </w:tcPr>
          <w:p w:rsidR="00A93329" w:rsidRPr="00953EEF" w:rsidP="00953EEF">
            <w:pPr>
              <w:spacing w:line="360" w:lineRule="auto"/>
              <w:jc w:val="center"/>
              <w:rPr>
                <w:rFonts w:ascii="宋体" w:hAnsi="宋体" w:cs="宋体" w:hint="eastAsia"/>
                <w:b/>
                <w:sz w:val="24"/>
                <w:szCs w:val="24"/>
              </w:rPr>
            </w:pPr>
            <w:r w:rsidRPr="00953EEF">
              <w:rPr>
                <w:rFonts w:ascii="宋体" w:hAnsi="宋体" w:cs="宋体" w:hint="eastAsia"/>
                <w:b/>
                <w:sz w:val="24"/>
                <w:szCs w:val="24"/>
              </w:rPr>
              <w:t>学时</w:t>
            </w:r>
          </w:p>
        </w:tc>
      </w:tr>
      <w:tr w:rsidTr="00953EEF">
        <w:tblPrEx>
          <w:tblW w:w="5000" w:type="pct"/>
          <w:jc w:val="center"/>
          <w:tblInd w:w="0" w:type="dxa"/>
          <w:tblLook w:val="0000"/>
        </w:tblPrEx>
        <w:trPr>
          <w:jc w:val="center"/>
        </w:trPr>
        <w:tc>
          <w:tcPr>
            <w:tcW w:w="633" w:type="pct"/>
            <w:vMerge w:val="restar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子模块1：直接电位法</w:t>
            </w:r>
          </w:p>
        </w:tc>
        <w:tc>
          <w:tcPr>
            <w:tcW w:w="890" w:type="pct"/>
            <w:vMerge w:val="restar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项目1-1：</w:t>
            </w:r>
          </w:p>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使用pHS-</w:t>
            </w:r>
          </w:p>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3C型精密酸度计及电位法测定工业循环冷却水的pH（直接比较法）</w:t>
            </w:r>
          </w:p>
        </w:tc>
        <w:tc>
          <w:tcPr>
            <w:tcW w:w="659"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1-1-1</w:t>
            </w:r>
          </w:p>
        </w:tc>
        <w:tc>
          <w:tcPr>
            <w:tcW w:w="2436"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电化学分析法概述和基本原理学习报告</w:t>
            </w:r>
          </w:p>
        </w:tc>
        <w:tc>
          <w:tcPr>
            <w:tcW w:w="382"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2</w:t>
            </w:r>
          </w:p>
        </w:tc>
      </w:tr>
      <w:tr w:rsidTr="00953EEF">
        <w:tblPrEx>
          <w:tblW w:w="5000" w:type="pct"/>
          <w:jc w:val="center"/>
          <w:tblInd w:w="0" w:type="dxa"/>
          <w:tblLook w:val="0000"/>
        </w:tblPrEx>
        <w:trPr>
          <w:jc w:val="center"/>
        </w:trPr>
        <w:tc>
          <w:tcPr>
            <w:tcW w:w="633" w:type="pct"/>
            <w:vMerge/>
            <w:vAlign w:val="center"/>
          </w:tcPr>
          <w:p w:rsidR="00A93329" w:rsidRPr="00953EEF" w:rsidP="00953EEF">
            <w:pPr>
              <w:spacing w:line="360" w:lineRule="auto"/>
              <w:rPr>
                <w:rFonts w:ascii="宋体" w:hAnsi="宋体" w:cs="宋体" w:hint="eastAsia"/>
                <w:sz w:val="24"/>
                <w:szCs w:val="24"/>
              </w:rPr>
            </w:pPr>
          </w:p>
        </w:tc>
        <w:tc>
          <w:tcPr>
            <w:tcW w:w="890" w:type="pct"/>
            <w:vMerge/>
            <w:vAlign w:val="center"/>
          </w:tcPr>
          <w:p w:rsidR="00A93329" w:rsidRPr="00953EEF" w:rsidP="00953EEF">
            <w:pPr>
              <w:spacing w:line="360" w:lineRule="auto"/>
              <w:rPr>
                <w:rFonts w:ascii="宋体" w:hAnsi="宋体" w:cs="宋体" w:hint="eastAsia"/>
                <w:sz w:val="24"/>
                <w:szCs w:val="24"/>
              </w:rPr>
            </w:pPr>
          </w:p>
        </w:tc>
        <w:tc>
          <w:tcPr>
            <w:tcW w:w="659"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1-1-2</w:t>
            </w:r>
          </w:p>
        </w:tc>
        <w:tc>
          <w:tcPr>
            <w:tcW w:w="2436"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离子选择性电极与膜电位学习报告</w:t>
            </w:r>
          </w:p>
        </w:tc>
        <w:tc>
          <w:tcPr>
            <w:tcW w:w="382"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2</w:t>
            </w:r>
          </w:p>
        </w:tc>
      </w:tr>
      <w:tr w:rsidTr="00953EEF">
        <w:tblPrEx>
          <w:tblW w:w="5000" w:type="pct"/>
          <w:jc w:val="center"/>
          <w:tblInd w:w="0" w:type="dxa"/>
          <w:tblLook w:val="0000"/>
        </w:tblPrEx>
        <w:trPr>
          <w:jc w:val="center"/>
        </w:trPr>
        <w:tc>
          <w:tcPr>
            <w:tcW w:w="633" w:type="pct"/>
            <w:vMerge/>
            <w:vAlign w:val="center"/>
          </w:tcPr>
          <w:p w:rsidR="00A93329" w:rsidRPr="00953EEF" w:rsidP="00953EEF">
            <w:pPr>
              <w:spacing w:line="360" w:lineRule="auto"/>
              <w:rPr>
                <w:rFonts w:ascii="宋体" w:hAnsi="宋体" w:cs="宋体" w:hint="eastAsia"/>
                <w:sz w:val="24"/>
                <w:szCs w:val="24"/>
              </w:rPr>
            </w:pPr>
          </w:p>
        </w:tc>
        <w:tc>
          <w:tcPr>
            <w:tcW w:w="890" w:type="pct"/>
            <w:vMerge/>
            <w:vAlign w:val="center"/>
          </w:tcPr>
          <w:p w:rsidR="00A93329" w:rsidRPr="00953EEF" w:rsidP="00953EEF">
            <w:pPr>
              <w:spacing w:line="360" w:lineRule="auto"/>
              <w:rPr>
                <w:rFonts w:ascii="宋体" w:hAnsi="宋体" w:cs="宋体" w:hint="eastAsia"/>
                <w:sz w:val="24"/>
                <w:szCs w:val="24"/>
              </w:rPr>
            </w:pPr>
          </w:p>
        </w:tc>
        <w:tc>
          <w:tcPr>
            <w:tcW w:w="659"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1-1-3</w:t>
            </w:r>
          </w:p>
        </w:tc>
        <w:tc>
          <w:tcPr>
            <w:tcW w:w="2436"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知识应用与技能训练</w:t>
            </w:r>
          </w:p>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实训：使用pHS-3C型精密酸度计及电位法测定工业循环冷却水的pH</w:t>
            </w:r>
          </w:p>
        </w:tc>
        <w:tc>
          <w:tcPr>
            <w:tcW w:w="382"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4</w:t>
            </w:r>
          </w:p>
        </w:tc>
      </w:tr>
      <w:tr w:rsidTr="00953EEF">
        <w:tblPrEx>
          <w:tblW w:w="5000" w:type="pct"/>
          <w:jc w:val="center"/>
          <w:tblInd w:w="0" w:type="dxa"/>
          <w:tblLook w:val="0000"/>
        </w:tblPrEx>
        <w:trPr>
          <w:jc w:val="center"/>
        </w:trPr>
        <w:tc>
          <w:tcPr>
            <w:tcW w:w="633" w:type="pct"/>
            <w:vMerge/>
            <w:vAlign w:val="center"/>
          </w:tcPr>
          <w:p w:rsidR="00A93329" w:rsidRPr="00953EEF" w:rsidP="00953EEF">
            <w:pPr>
              <w:spacing w:line="360" w:lineRule="auto"/>
              <w:rPr>
                <w:rFonts w:ascii="宋体" w:hAnsi="宋体" w:cs="宋体" w:hint="eastAsia"/>
                <w:sz w:val="24"/>
                <w:szCs w:val="24"/>
              </w:rPr>
            </w:pPr>
          </w:p>
        </w:tc>
        <w:tc>
          <w:tcPr>
            <w:tcW w:w="890" w:type="pct"/>
            <w:vMerge/>
            <w:vAlign w:val="center"/>
          </w:tcPr>
          <w:p w:rsidR="00A93329" w:rsidRPr="00953EEF" w:rsidP="00953EEF">
            <w:pPr>
              <w:spacing w:line="360" w:lineRule="auto"/>
              <w:rPr>
                <w:rFonts w:ascii="宋体" w:hAnsi="宋体" w:cs="宋体" w:hint="eastAsia"/>
                <w:sz w:val="24"/>
                <w:szCs w:val="24"/>
              </w:rPr>
            </w:pPr>
          </w:p>
        </w:tc>
        <w:tc>
          <w:tcPr>
            <w:tcW w:w="659"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技能考核</w:t>
            </w:r>
          </w:p>
        </w:tc>
        <w:tc>
          <w:tcPr>
            <w:tcW w:w="2436"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操作考核：pH计的基本操作与水溶液pH的测定</w:t>
            </w:r>
          </w:p>
        </w:tc>
        <w:tc>
          <w:tcPr>
            <w:tcW w:w="382"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4</w:t>
            </w:r>
          </w:p>
        </w:tc>
      </w:tr>
      <w:tr w:rsidTr="00953EEF">
        <w:tblPrEx>
          <w:tblW w:w="5000" w:type="pct"/>
          <w:jc w:val="center"/>
          <w:tblInd w:w="0" w:type="dxa"/>
          <w:tblLook w:val="0000"/>
        </w:tblPrEx>
        <w:trPr>
          <w:jc w:val="center"/>
        </w:trPr>
        <w:tc>
          <w:tcPr>
            <w:tcW w:w="633" w:type="pct"/>
            <w:vMerge/>
            <w:vAlign w:val="center"/>
          </w:tcPr>
          <w:p w:rsidR="00A93329" w:rsidRPr="00953EEF" w:rsidP="00953EEF">
            <w:pPr>
              <w:spacing w:line="360" w:lineRule="auto"/>
              <w:rPr>
                <w:rFonts w:ascii="宋体" w:hAnsi="宋体" w:cs="宋体" w:hint="eastAsia"/>
                <w:sz w:val="24"/>
                <w:szCs w:val="24"/>
              </w:rPr>
            </w:pPr>
          </w:p>
        </w:tc>
        <w:tc>
          <w:tcPr>
            <w:tcW w:w="890" w:type="pct"/>
            <w:vMerge w:val="restar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项目1-2：</w:t>
            </w:r>
          </w:p>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使用PXD-12型数字离子计及氟离子选择性电极法测定生活饮用水中氟的含量（标准曲线法和标准加入法）</w:t>
            </w:r>
          </w:p>
        </w:tc>
        <w:tc>
          <w:tcPr>
            <w:tcW w:w="659"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1-2-1</w:t>
            </w:r>
          </w:p>
        </w:tc>
        <w:tc>
          <w:tcPr>
            <w:tcW w:w="2436"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直接电位法及其应用学习报告</w:t>
            </w:r>
          </w:p>
        </w:tc>
        <w:tc>
          <w:tcPr>
            <w:tcW w:w="382"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2</w:t>
            </w:r>
          </w:p>
        </w:tc>
      </w:tr>
      <w:tr w:rsidTr="00953EEF">
        <w:tblPrEx>
          <w:tblW w:w="5000" w:type="pct"/>
          <w:jc w:val="center"/>
          <w:tblInd w:w="0" w:type="dxa"/>
          <w:tblLook w:val="0000"/>
        </w:tblPrEx>
        <w:trPr>
          <w:jc w:val="center"/>
        </w:trPr>
        <w:tc>
          <w:tcPr>
            <w:tcW w:w="633" w:type="pct"/>
            <w:vMerge/>
            <w:vAlign w:val="center"/>
          </w:tcPr>
          <w:p w:rsidR="00A93329" w:rsidRPr="00953EEF" w:rsidP="00953EEF">
            <w:pPr>
              <w:spacing w:line="360" w:lineRule="auto"/>
              <w:rPr>
                <w:rFonts w:ascii="宋体" w:hAnsi="宋体" w:cs="宋体" w:hint="eastAsia"/>
                <w:sz w:val="24"/>
                <w:szCs w:val="24"/>
              </w:rPr>
            </w:pPr>
          </w:p>
        </w:tc>
        <w:tc>
          <w:tcPr>
            <w:tcW w:w="890" w:type="pct"/>
            <w:vMerge/>
            <w:vAlign w:val="center"/>
          </w:tcPr>
          <w:p w:rsidR="00A93329" w:rsidRPr="00953EEF" w:rsidP="00953EEF">
            <w:pPr>
              <w:spacing w:line="360" w:lineRule="auto"/>
              <w:rPr>
                <w:rFonts w:ascii="宋体" w:hAnsi="宋体" w:cs="宋体" w:hint="eastAsia"/>
                <w:sz w:val="24"/>
                <w:szCs w:val="24"/>
              </w:rPr>
            </w:pPr>
          </w:p>
        </w:tc>
        <w:tc>
          <w:tcPr>
            <w:tcW w:w="659"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1-2-2</w:t>
            </w:r>
          </w:p>
        </w:tc>
        <w:tc>
          <w:tcPr>
            <w:tcW w:w="2436"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知识应用与技能训练</w:t>
            </w:r>
          </w:p>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实训：离子计的基本操作与饮用水中氟离子含量的测定</w:t>
            </w:r>
          </w:p>
        </w:tc>
        <w:tc>
          <w:tcPr>
            <w:tcW w:w="382"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8</w:t>
            </w:r>
          </w:p>
        </w:tc>
      </w:tr>
      <w:tr w:rsidTr="00953EEF">
        <w:tblPrEx>
          <w:tblW w:w="5000" w:type="pct"/>
          <w:jc w:val="center"/>
          <w:tblInd w:w="0" w:type="dxa"/>
          <w:tblLook w:val="0000"/>
        </w:tblPrEx>
        <w:trPr>
          <w:jc w:val="center"/>
        </w:trPr>
        <w:tc>
          <w:tcPr>
            <w:tcW w:w="633" w:type="pct"/>
            <w:vMerge/>
            <w:vAlign w:val="center"/>
          </w:tcPr>
          <w:p w:rsidR="00A93329" w:rsidRPr="00953EEF" w:rsidP="00953EEF">
            <w:pPr>
              <w:spacing w:line="360" w:lineRule="auto"/>
              <w:rPr>
                <w:rFonts w:ascii="宋体" w:hAnsi="宋体" w:cs="宋体" w:hint="eastAsia"/>
                <w:sz w:val="24"/>
                <w:szCs w:val="24"/>
              </w:rPr>
            </w:pPr>
          </w:p>
        </w:tc>
        <w:tc>
          <w:tcPr>
            <w:tcW w:w="890" w:type="pct"/>
            <w:vMerge/>
            <w:vAlign w:val="center"/>
          </w:tcPr>
          <w:p w:rsidR="00A93329" w:rsidRPr="00953EEF" w:rsidP="00953EEF">
            <w:pPr>
              <w:spacing w:line="360" w:lineRule="auto"/>
              <w:rPr>
                <w:rFonts w:ascii="宋体" w:hAnsi="宋体" w:cs="宋体" w:hint="eastAsia"/>
                <w:sz w:val="24"/>
                <w:szCs w:val="24"/>
              </w:rPr>
            </w:pPr>
          </w:p>
        </w:tc>
        <w:tc>
          <w:tcPr>
            <w:tcW w:w="659"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1-2-3</w:t>
            </w:r>
          </w:p>
        </w:tc>
        <w:tc>
          <w:tcPr>
            <w:tcW w:w="2436"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答辩与考核</w:t>
            </w:r>
          </w:p>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PPT制作、项目报告、陈述和回答问题</w:t>
            </w:r>
          </w:p>
        </w:tc>
        <w:tc>
          <w:tcPr>
            <w:tcW w:w="382"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2</w:t>
            </w:r>
          </w:p>
        </w:tc>
      </w:tr>
    </w:tbl>
    <w:p>
      <w:p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134" w:right="1417" w:bottom="1134" w:left="1417" w:header="851" w:footer="992" w:gutter="0"/>
          <w:pgNumType w:start="9"/>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88"/>
      </w:tblGrid>
      <w:tr w:rsidTr="00953EEF">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5000"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理论教学8学时，实践教学16学时，合计24学时</w:t>
            </w:r>
          </w:p>
        </w:tc>
      </w:tr>
    </w:tbl>
    <w:p w:rsidR="00A93329" w:rsidRPr="00953EEF" w:rsidP="00953EEF">
      <w:pPr>
        <w:widowControl/>
        <w:spacing w:line="360" w:lineRule="auto"/>
        <w:ind w:firstLine="480" w:firstLineChars="200"/>
        <w:jc w:val="left"/>
        <w:rPr>
          <w:rFonts w:ascii="宋体" w:hAnsi="宋体" w:cs="宋体" w:hint="eastAsia"/>
          <w:color w:val="000000"/>
          <w:kern w:val="0"/>
          <w:sz w:val="24"/>
          <w:szCs w:val="24"/>
        </w:r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79"/>
        <w:gridCol w:w="1180"/>
        <w:gridCol w:w="6929"/>
      </w:tblGrid>
      <w:tr w:rsidTr="00953EEF">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5000" w:type="pct"/>
            <w:gridSpan w:val="3"/>
            <w:vAlign w:val="center"/>
          </w:tcPr>
          <w:p w:rsidR="00A93329" w:rsidRPr="00953EEF" w:rsidP="00953EEF">
            <w:pPr>
              <w:spacing w:line="360" w:lineRule="auto"/>
              <w:jc w:val="center"/>
              <w:rPr>
                <w:rFonts w:ascii="宋体" w:hAnsi="宋体" w:cs="宋体" w:hint="eastAsia"/>
                <w:b/>
                <w:sz w:val="24"/>
                <w:szCs w:val="24"/>
              </w:rPr>
            </w:pPr>
            <w:r w:rsidRPr="00953EEF">
              <w:rPr>
                <w:rFonts w:ascii="宋体" w:hAnsi="宋体" w:cs="宋体" w:hint="eastAsia"/>
                <w:b/>
                <w:sz w:val="24"/>
                <w:szCs w:val="24"/>
              </w:rPr>
              <w:t>子模块1直接电位法任务描述</w:t>
            </w:r>
          </w:p>
        </w:tc>
      </w:tr>
      <w:tr w:rsidTr="00953EEF">
        <w:tblPrEx>
          <w:tblW w:w="5000" w:type="pct"/>
          <w:jc w:val="center"/>
          <w:tblInd w:w="0" w:type="dxa"/>
          <w:tblLook w:val="0000"/>
        </w:tblPrEx>
        <w:trPr>
          <w:jc w:val="center"/>
        </w:trPr>
        <w:tc>
          <w:tcPr>
            <w:tcW w:w="635"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工作过程描述</w:t>
            </w:r>
          </w:p>
        </w:tc>
        <w:tc>
          <w:tcPr>
            <w:tcW w:w="4365" w:type="pct"/>
            <w:gridSpan w:val="2"/>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利用直接电位法完成饮用水水样pH、F</w:t>
            </w:r>
            <w:r w:rsidRPr="00953EEF">
              <w:rPr>
                <w:rFonts w:ascii="宋体" w:hAnsi="宋体" w:cs="宋体" w:hint="eastAsia"/>
                <w:sz w:val="24"/>
                <w:szCs w:val="24"/>
                <w:vertAlign w:val="superscript"/>
              </w:rPr>
              <w:t>－</w:t>
            </w:r>
            <w:r w:rsidRPr="00953EEF">
              <w:rPr>
                <w:rFonts w:ascii="宋体" w:hAnsi="宋体" w:cs="宋体" w:hint="eastAsia"/>
                <w:sz w:val="24"/>
                <w:szCs w:val="24"/>
              </w:rPr>
              <w:t>的含量测定；设计方案，完成测定过程，记录并处理分析数据，评价水质的部分指标。</w:t>
            </w:r>
          </w:p>
        </w:tc>
      </w:tr>
      <w:tr w:rsidTr="00953EEF">
        <w:tblPrEx>
          <w:tblW w:w="5000" w:type="pct"/>
          <w:jc w:val="center"/>
          <w:tblInd w:w="0" w:type="dxa"/>
          <w:tblLook w:val="0000"/>
        </w:tblPrEx>
        <w:trPr>
          <w:jc w:val="center"/>
        </w:trPr>
        <w:tc>
          <w:tcPr>
            <w:tcW w:w="635" w:type="pct"/>
            <w:vMerge w:val="restar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项目分析</w:t>
            </w:r>
          </w:p>
        </w:tc>
        <w:tc>
          <w:tcPr>
            <w:tcW w:w="635"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知识目标</w:t>
            </w:r>
          </w:p>
        </w:tc>
        <w:tc>
          <w:tcPr>
            <w:tcW w:w="3730" w:type="pct"/>
            <w:vAlign w:val="center"/>
          </w:tcPr>
          <w:p w:rsidR="00A93329" w:rsidRPr="00953EEF" w:rsidP="00953EEF">
            <w:pPr>
              <w:numPr>
                <w:ilvl w:val="0"/>
                <w:numId w:val="3"/>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能识别常见pH计或离子计的基本组成部件；</w:t>
            </w:r>
          </w:p>
          <w:p w:rsidR="00A93329" w:rsidRPr="00953EEF" w:rsidP="00953EEF">
            <w:pPr>
              <w:numPr>
                <w:ilvl w:val="0"/>
                <w:numId w:val="3"/>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能识别各类电极，并知道其不同的用途；</w:t>
            </w:r>
          </w:p>
          <w:p w:rsidR="00A93329" w:rsidRPr="00953EEF" w:rsidP="00953EEF">
            <w:pPr>
              <w:numPr>
                <w:ilvl w:val="0"/>
                <w:numId w:val="3"/>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掌握电极电位与离子活度的关系；</w:t>
            </w:r>
          </w:p>
          <w:p w:rsidR="00A93329" w:rsidRPr="00953EEF" w:rsidP="00953EEF">
            <w:pPr>
              <w:numPr>
                <w:ilvl w:val="0"/>
                <w:numId w:val="3"/>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掌握直接电位法测定pH、离子活（浓）度的定量方法。</w:t>
            </w:r>
          </w:p>
        </w:tc>
      </w:tr>
      <w:tr w:rsidTr="00953EEF">
        <w:tblPrEx>
          <w:tblW w:w="5000" w:type="pct"/>
          <w:jc w:val="center"/>
          <w:tblInd w:w="0" w:type="dxa"/>
          <w:tblLook w:val="0000"/>
        </w:tblPrEx>
        <w:trPr>
          <w:jc w:val="center"/>
        </w:trPr>
        <w:tc>
          <w:tcPr>
            <w:tcW w:w="635" w:type="pct"/>
            <w:vMerge/>
            <w:vAlign w:val="center"/>
          </w:tcPr>
          <w:p w:rsidR="00A93329" w:rsidRPr="00953EEF" w:rsidP="00953EEF">
            <w:pPr>
              <w:spacing w:line="360" w:lineRule="auto"/>
              <w:rPr>
                <w:rFonts w:ascii="宋体" w:hAnsi="宋体" w:cs="宋体" w:hint="eastAsia"/>
                <w:sz w:val="24"/>
                <w:szCs w:val="24"/>
              </w:rPr>
            </w:pPr>
          </w:p>
        </w:tc>
        <w:tc>
          <w:tcPr>
            <w:tcW w:w="635" w:type="pct"/>
            <w:vAlign w:val="center"/>
          </w:tcPr>
          <w:p w:rsidR="00A93329" w:rsidRPr="00953EEF" w:rsidP="00953EEF">
            <w:pPr>
              <w:spacing w:line="360" w:lineRule="auto"/>
              <w:jc w:val="center"/>
              <w:rPr>
                <w:rFonts w:ascii="宋体" w:hAnsi="宋体" w:cs="宋体"/>
                <w:sz w:val="24"/>
                <w:szCs w:val="24"/>
              </w:rPr>
            </w:pPr>
            <w:r w:rsidRPr="00953EEF">
              <w:rPr>
                <w:rFonts w:ascii="宋体" w:hAnsi="宋体" w:cs="宋体" w:hint="eastAsia"/>
                <w:sz w:val="24"/>
                <w:szCs w:val="24"/>
              </w:rPr>
              <w:t>能力目标</w:t>
            </w:r>
          </w:p>
        </w:tc>
        <w:tc>
          <w:tcPr>
            <w:tcW w:w="3730" w:type="pct"/>
            <w:vAlign w:val="center"/>
          </w:tcPr>
          <w:p w:rsidR="00A93329" w:rsidRPr="00953EEF" w:rsidP="00953EEF">
            <w:pPr>
              <w:numPr>
                <w:ilvl w:val="0"/>
                <w:numId w:val="4"/>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正确处理和使用各类电极；</w:t>
            </w:r>
          </w:p>
          <w:p w:rsidR="00A93329" w:rsidRPr="00953EEF" w:rsidP="00953EEF">
            <w:pPr>
              <w:numPr>
                <w:ilvl w:val="0"/>
                <w:numId w:val="4"/>
              </w:numPr>
              <w:tabs>
                <w:tab w:val="left" w:pos="360"/>
                <w:tab w:val="left" w:pos="432"/>
              </w:tabs>
              <w:spacing w:line="360" w:lineRule="auto"/>
              <w:ind w:left="0" w:firstLine="0"/>
              <w:rPr>
                <w:rFonts w:ascii="宋体" w:hAnsi="宋体" w:cs="宋体" w:hint="eastAsia"/>
                <w:sz w:val="24"/>
                <w:szCs w:val="24"/>
              </w:rPr>
            </w:pPr>
            <w:r w:rsidRPr="00953EEF">
              <w:rPr>
                <w:rFonts w:ascii="宋体" w:hAnsi="宋体" w:cs="宋体" w:hint="eastAsia"/>
                <w:sz w:val="24"/>
                <w:szCs w:val="24"/>
              </w:rPr>
              <w:t>规范使用pH计或离子计；</w:t>
            </w:r>
          </w:p>
          <w:p w:rsidR="00A93329" w:rsidRPr="00953EEF" w:rsidP="00953EEF">
            <w:pPr>
              <w:numPr>
                <w:ilvl w:val="0"/>
                <w:numId w:val="4"/>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用直接电位法测定溶液的pH和离子浓度；</w:t>
            </w:r>
          </w:p>
          <w:p w:rsidR="00A93329" w:rsidRPr="00953EEF" w:rsidP="00953EEF">
            <w:pPr>
              <w:numPr>
                <w:ilvl w:val="0"/>
                <w:numId w:val="4"/>
              </w:numPr>
              <w:tabs>
                <w:tab w:val="left" w:pos="360"/>
                <w:tab w:val="left" w:pos="432"/>
              </w:tabs>
              <w:spacing w:line="360" w:lineRule="auto"/>
              <w:ind w:left="0" w:firstLine="0"/>
              <w:rPr>
                <w:rFonts w:ascii="宋体" w:hAnsi="宋体" w:cs="宋体" w:hint="eastAsia"/>
                <w:sz w:val="24"/>
                <w:szCs w:val="24"/>
              </w:rPr>
            </w:pPr>
            <w:r w:rsidRPr="00953EEF">
              <w:rPr>
                <w:rFonts w:ascii="宋体" w:hAnsi="宋体" w:cs="宋体" w:hint="eastAsia"/>
                <w:sz w:val="24"/>
                <w:szCs w:val="24"/>
              </w:rPr>
              <w:t>能对pH计、离子计进行日常维护，能分析并排除仪器操作过程中出现的简单故障。</w:t>
            </w:r>
          </w:p>
        </w:tc>
      </w:tr>
      <w:tr w:rsidTr="00953EEF">
        <w:tblPrEx>
          <w:tblW w:w="5000" w:type="pct"/>
          <w:jc w:val="center"/>
          <w:tblInd w:w="0" w:type="dxa"/>
          <w:tblLook w:val="0000"/>
        </w:tblPrEx>
        <w:trPr>
          <w:jc w:val="center"/>
        </w:trPr>
        <w:tc>
          <w:tcPr>
            <w:tcW w:w="635" w:type="pct"/>
            <w:vMerge/>
            <w:vAlign w:val="center"/>
          </w:tcPr>
          <w:p w:rsidR="00A93329" w:rsidRPr="00953EEF" w:rsidP="00953EEF">
            <w:pPr>
              <w:spacing w:line="360" w:lineRule="auto"/>
              <w:rPr>
                <w:rFonts w:ascii="宋体" w:hAnsi="宋体" w:cs="宋体" w:hint="eastAsia"/>
                <w:sz w:val="24"/>
                <w:szCs w:val="24"/>
              </w:rPr>
            </w:pPr>
          </w:p>
        </w:tc>
        <w:tc>
          <w:tcPr>
            <w:tcW w:w="635" w:type="pct"/>
            <w:vAlign w:val="center"/>
          </w:tcPr>
          <w:p w:rsidR="00A93329" w:rsidRPr="00953EEF" w:rsidP="00953EEF">
            <w:pPr>
              <w:spacing w:line="360" w:lineRule="auto"/>
              <w:jc w:val="center"/>
              <w:rPr>
                <w:rFonts w:ascii="宋体" w:hAnsi="宋体" w:cs="宋体" w:hint="eastAsia"/>
                <w:sz w:val="24"/>
                <w:szCs w:val="24"/>
              </w:rPr>
            </w:pPr>
            <w:r w:rsidRPr="00953EEF">
              <w:rPr>
                <w:rFonts w:ascii="宋体" w:hAnsi="宋体" w:cs="宋体" w:hint="eastAsia"/>
                <w:sz w:val="24"/>
                <w:szCs w:val="24"/>
              </w:rPr>
              <w:t>素质目标</w:t>
            </w:r>
          </w:p>
        </w:tc>
        <w:tc>
          <w:tcPr>
            <w:tcW w:w="3730" w:type="pct"/>
            <w:vAlign w:val="center"/>
          </w:tcPr>
          <w:p w:rsidR="00A93329" w:rsidRPr="00953EEF" w:rsidP="00953EEF">
            <w:pPr>
              <w:widowControl/>
              <w:spacing w:line="360" w:lineRule="auto"/>
              <w:jc w:val="left"/>
              <w:rPr>
                <w:rFonts w:ascii="宋体" w:hAnsi="宋体" w:cs="宋体" w:hint="eastAsia"/>
                <w:color w:val="000000"/>
                <w:sz w:val="24"/>
                <w:szCs w:val="24"/>
              </w:rPr>
            </w:pPr>
            <w:r w:rsidRPr="00953EEF">
              <w:rPr>
                <w:rFonts w:ascii="宋体" w:hAnsi="宋体" w:cs="宋体" w:hint="eastAsia"/>
                <w:color w:val="000000"/>
                <w:sz w:val="24"/>
                <w:szCs w:val="24"/>
              </w:rPr>
              <w:t>1．领悟全面质量管理理念，营造规范、整洁、有序的工作环境；</w:t>
            </w:r>
          </w:p>
          <w:p w:rsidR="00A93329" w:rsidRPr="00953EEF" w:rsidP="00953EEF">
            <w:pPr>
              <w:widowControl/>
              <w:spacing w:line="360" w:lineRule="auto"/>
              <w:jc w:val="left"/>
              <w:rPr>
                <w:rFonts w:ascii="宋体" w:hAnsi="宋体" w:cs="宋体" w:hint="eastAsia"/>
                <w:color w:val="000000"/>
                <w:sz w:val="24"/>
                <w:szCs w:val="24"/>
              </w:rPr>
            </w:pPr>
            <w:r w:rsidRPr="00953EEF">
              <w:rPr>
                <w:rFonts w:ascii="宋体" w:hAnsi="宋体" w:cs="宋体" w:hint="eastAsia"/>
                <w:color w:val="000000"/>
                <w:sz w:val="24"/>
                <w:szCs w:val="24"/>
              </w:rPr>
              <w:t>2．追求实是求事、一丝不苟的工作作风；</w:t>
            </w:r>
          </w:p>
          <w:p w:rsidR="00A93329" w:rsidRPr="00953EEF" w:rsidP="00953EEF">
            <w:pPr>
              <w:widowControl/>
              <w:spacing w:line="360" w:lineRule="auto"/>
              <w:jc w:val="left"/>
              <w:rPr>
                <w:rFonts w:ascii="宋体" w:hAnsi="宋体" w:cs="宋体" w:hint="eastAsia"/>
                <w:color w:val="000000"/>
                <w:sz w:val="24"/>
                <w:szCs w:val="24"/>
              </w:rPr>
            </w:pPr>
            <w:r w:rsidRPr="00953EEF">
              <w:rPr>
                <w:rFonts w:ascii="宋体" w:hAnsi="宋体" w:cs="宋体" w:hint="eastAsia"/>
                <w:color w:val="000000"/>
                <w:sz w:val="24"/>
                <w:szCs w:val="24"/>
              </w:rPr>
              <w:t>3．强化科学、创新、竞争、参与、安全、节约和环保意识；</w:t>
            </w:r>
          </w:p>
          <w:p w:rsidR="00A93329" w:rsidRPr="00953EEF" w:rsidP="00953EEF">
            <w:pPr>
              <w:spacing w:line="360" w:lineRule="auto"/>
              <w:rPr>
                <w:rFonts w:ascii="宋体" w:hAnsi="宋体" w:cs="宋体" w:hint="eastAsia"/>
                <w:sz w:val="24"/>
                <w:szCs w:val="24"/>
              </w:rPr>
            </w:pPr>
            <w:r w:rsidRPr="00953EEF">
              <w:rPr>
                <w:rFonts w:ascii="宋体" w:hAnsi="宋体" w:cs="宋体" w:hint="eastAsia"/>
                <w:color w:val="000000"/>
                <w:sz w:val="24"/>
                <w:szCs w:val="24"/>
              </w:rPr>
              <w:t>4．具有良好的职业道德品质和团队合作精神。</w:t>
            </w:r>
          </w:p>
        </w:tc>
      </w:tr>
      <w:tr w:rsidTr="00953EEF">
        <w:tblPrEx>
          <w:tblW w:w="5000" w:type="pct"/>
          <w:jc w:val="center"/>
          <w:tblInd w:w="0" w:type="dxa"/>
          <w:tblLook w:val="0000"/>
        </w:tblPrEx>
        <w:trPr>
          <w:jc w:val="center"/>
        </w:trPr>
        <w:tc>
          <w:tcPr>
            <w:tcW w:w="635"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教学方法</w:t>
            </w:r>
          </w:p>
        </w:tc>
        <w:tc>
          <w:tcPr>
            <w:tcW w:w="4365" w:type="pct"/>
            <w:gridSpan w:val="2"/>
            <w:vAlign w:val="center"/>
          </w:tcPr>
          <w:p w:rsidR="00A93329" w:rsidRPr="00953EEF" w:rsidP="00953EEF">
            <w:pPr>
              <w:widowControl/>
              <w:spacing w:line="360" w:lineRule="auto"/>
              <w:jc w:val="left"/>
              <w:rPr>
                <w:rFonts w:ascii="宋体" w:hAnsi="宋体" w:cs="宋体" w:hint="eastAsia"/>
                <w:sz w:val="24"/>
                <w:szCs w:val="24"/>
              </w:rPr>
            </w:pPr>
            <w:r w:rsidRPr="00953EEF">
              <w:rPr>
                <w:rFonts w:ascii="宋体" w:hAnsi="宋体" w:cs="宋体" w:hint="eastAsia"/>
                <w:sz w:val="24"/>
                <w:szCs w:val="24"/>
              </w:rPr>
              <w:t>1.引探法、现场演示、讲练结合；</w:t>
            </w:r>
          </w:p>
          <w:p w:rsidR="00A93329" w:rsidRPr="00953EEF" w:rsidP="00953EEF">
            <w:pPr>
              <w:widowControl/>
              <w:spacing w:line="360" w:lineRule="auto"/>
              <w:jc w:val="left"/>
              <w:rPr>
                <w:rFonts w:ascii="宋体" w:hAnsi="宋体" w:cs="宋体" w:hint="eastAsia"/>
                <w:sz w:val="24"/>
                <w:szCs w:val="24"/>
              </w:rPr>
            </w:pPr>
            <w:r w:rsidRPr="00953EEF">
              <w:rPr>
                <w:rFonts w:ascii="宋体" w:hAnsi="宋体" w:cs="宋体" w:hint="eastAsia"/>
                <w:sz w:val="24"/>
                <w:szCs w:val="24"/>
              </w:rPr>
              <w:t>2.项目为载体，采用</w:t>
            </w:r>
            <w:r w:rsidRPr="00953EEF">
              <w:rPr>
                <w:rFonts w:ascii="宋体" w:hAnsi="宋体" w:cs="宋体" w:hint="eastAsia"/>
                <w:sz w:val="24"/>
                <w:szCs w:val="24"/>
              </w:rPr>
              <w:t>“</w:t>
            </w:r>
            <w:r w:rsidRPr="00953EEF">
              <w:rPr>
                <w:rFonts w:ascii="宋体" w:hAnsi="宋体" w:cs="宋体" w:hint="eastAsia"/>
                <w:sz w:val="24"/>
                <w:szCs w:val="24"/>
              </w:rPr>
              <w:t>练-学-思-拓</w:t>
            </w:r>
            <w:r w:rsidRPr="00953EEF">
              <w:rPr>
                <w:rFonts w:ascii="宋体" w:hAnsi="宋体" w:cs="宋体" w:hint="eastAsia"/>
                <w:sz w:val="24"/>
                <w:szCs w:val="24"/>
              </w:rPr>
              <w:t>”</w:t>
            </w:r>
            <w:r w:rsidRPr="00953EEF">
              <w:rPr>
                <w:rFonts w:ascii="宋体" w:hAnsi="宋体" w:cs="宋体" w:hint="eastAsia"/>
                <w:sz w:val="24"/>
                <w:szCs w:val="24"/>
              </w:rPr>
              <w:t>能力训练模式和混合式教改。</w:t>
            </w:r>
          </w:p>
        </w:tc>
      </w:tr>
      <w:tr w:rsidTr="00953EEF">
        <w:tblPrEx>
          <w:tblW w:w="5000" w:type="pct"/>
          <w:jc w:val="center"/>
          <w:tblInd w:w="0" w:type="dxa"/>
          <w:tblLook w:val="0000"/>
        </w:tblPrEx>
        <w:trPr>
          <w:jc w:val="center"/>
        </w:trPr>
        <w:tc>
          <w:tcPr>
            <w:tcW w:w="635" w:type="pct"/>
            <w:vMerge w:val="restar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教学活动框架设计建议和示例</w:t>
            </w:r>
          </w:p>
        </w:tc>
        <w:tc>
          <w:tcPr>
            <w:tcW w:w="635"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任务：使用精密酸度计及电位法测定工业循环冷却水的pH</w:t>
            </w:r>
          </w:p>
        </w:tc>
        <w:tc>
          <w:tcPr>
            <w:tcW w:w="3730"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学生自学仪器使用说明书</w:t>
            </w:r>
            <w:r w:rsidRPr="00953EEF">
              <w:rPr>
                <w:rFonts w:ascii="宋体" w:hAnsi="宋体" w:cs="宋体" w:hint="eastAsia"/>
                <w:sz w:val="24"/>
                <w:szCs w:val="24"/>
              </w:rPr>
              <w:t>→</w:t>
            </w:r>
            <w:r w:rsidRPr="00953EEF">
              <w:rPr>
                <w:rFonts w:ascii="宋体" w:hAnsi="宋体" w:cs="宋体" w:hint="eastAsia"/>
                <w:sz w:val="24"/>
                <w:szCs w:val="24"/>
              </w:rPr>
              <w:t>讲解相关理论知识</w:t>
            </w:r>
            <w:r w:rsidRPr="00953EEF">
              <w:rPr>
                <w:rFonts w:ascii="宋体" w:hAnsi="宋体" w:cs="宋体" w:hint="eastAsia"/>
                <w:sz w:val="24"/>
                <w:szCs w:val="24"/>
              </w:rPr>
              <w:t>→</w:t>
            </w:r>
            <w:r w:rsidRPr="00953EEF">
              <w:rPr>
                <w:rFonts w:ascii="宋体" w:hAnsi="宋体" w:cs="宋体" w:hint="eastAsia"/>
                <w:sz w:val="24"/>
                <w:szCs w:val="24"/>
              </w:rPr>
              <w:t>教师指导，认识电极、仪器的构件及实验辅助设备</w:t>
            </w:r>
            <w:r w:rsidRPr="00953EEF">
              <w:rPr>
                <w:rFonts w:ascii="宋体" w:hAnsi="宋体" w:cs="宋体" w:hint="eastAsia"/>
                <w:sz w:val="24"/>
                <w:szCs w:val="24"/>
              </w:rPr>
              <w:t>→</w:t>
            </w:r>
            <w:r w:rsidRPr="00953EEF">
              <w:rPr>
                <w:rFonts w:ascii="宋体" w:hAnsi="宋体" w:cs="宋体" w:hint="eastAsia"/>
                <w:sz w:val="24"/>
                <w:szCs w:val="24"/>
              </w:rPr>
              <w:t>教师讲解pH计的基本组成及使用方法</w:t>
            </w:r>
            <w:r w:rsidRPr="00953EEF">
              <w:rPr>
                <w:rFonts w:ascii="宋体" w:hAnsi="宋体" w:cs="宋体" w:hint="eastAsia"/>
                <w:sz w:val="24"/>
                <w:szCs w:val="24"/>
              </w:rPr>
              <w:t>→</w:t>
            </w:r>
            <w:r w:rsidRPr="00953EEF">
              <w:rPr>
                <w:rFonts w:ascii="宋体" w:hAnsi="宋体" w:cs="宋体" w:hint="eastAsia"/>
                <w:sz w:val="24"/>
                <w:szCs w:val="24"/>
              </w:rPr>
              <w:t>教师示范实验装置的组建与pH测定过程</w:t>
            </w:r>
            <w:r w:rsidRPr="00953EEF">
              <w:rPr>
                <w:rFonts w:ascii="宋体" w:hAnsi="宋体" w:cs="宋体" w:hint="eastAsia"/>
                <w:sz w:val="24"/>
                <w:szCs w:val="24"/>
              </w:rPr>
              <w:t>→</w:t>
            </w:r>
            <w:r w:rsidRPr="00953EEF">
              <w:rPr>
                <w:rFonts w:ascii="宋体" w:hAnsi="宋体" w:cs="宋体" w:hint="eastAsia"/>
                <w:sz w:val="24"/>
                <w:szCs w:val="24"/>
              </w:rPr>
              <w:t>学生完成实训</w:t>
            </w:r>
            <w:r w:rsidRPr="00953EEF">
              <w:rPr>
                <w:rFonts w:ascii="宋体" w:hAnsi="宋体" w:cs="宋体" w:hint="eastAsia"/>
                <w:sz w:val="24"/>
                <w:szCs w:val="24"/>
              </w:rPr>
              <w:t>→</w:t>
            </w:r>
            <w:r w:rsidRPr="00953EEF">
              <w:rPr>
                <w:rFonts w:ascii="宋体" w:hAnsi="宋体" w:cs="宋体" w:hint="eastAsia"/>
                <w:sz w:val="24"/>
                <w:szCs w:val="24"/>
              </w:rPr>
              <w:t>学生编写仪器的操作规程</w:t>
            </w:r>
            <w:r w:rsidRPr="00953EEF">
              <w:rPr>
                <w:rFonts w:ascii="宋体" w:hAnsi="宋体" w:cs="宋体" w:hint="eastAsia"/>
                <w:sz w:val="24"/>
                <w:szCs w:val="24"/>
              </w:rPr>
              <w:t>→</w:t>
            </w:r>
            <w:r w:rsidRPr="00953EEF">
              <w:rPr>
                <w:rFonts w:ascii="宋体" w:hAnsi="宋体" w:cs="宋体" w:hint="eastAsia"/>
                <w:sz w:val="24"/>
                <w:szCs w:val="24"/>
              </w:rPr>
              <w:t>教师总结</w:t>
            </w:r>
            <w:r w:rsidRPr="00953EEF">
              <w:rPr>
                <w:rFonts w:ascii="宋体" w:hAnsi="宋体" w:cs="宋体" w:hint="eastAsia"/>
                <w:sz w:val="24"/>
                <w:szCs w:val="24"/>
              </w:rPr>
              <w:t>→</w:t>
            </w:r>
            <w:r w:rsidRPr="00953EEF">
              <w:rPr>
                <w:rFonts w:ascii="宋体" w:hAnsi="宋体" w:cs="宋体" w:hint="eastAsia"/>
                <w:sz w:val="24"/>
                <w:szCs w:val="24"/>
              </w:rPr>
              <w:t>提出任务</w:t>
            </w:r>
          </w:p>
        </w:tc>
      </w:tr>
      <w:tr w:rsidTr="00953EEF">
        <w:tblPrEx>
          <w:tblW w:w="5000" w:type="pct"/>
          <w:jc w:val="center"/>
          <w:tblInd w:w="0" w:type="dxa"/>
          <w:tblLook w:val="0000"/>
        </w:tblPrEx>
        <w:trPr>
          <w:jc w:val="center"/>
        </w:trPr>
        <w:tc>
          <w:tcPr>
            <w:tcW w:w="635" w:type="pct"/>
            <w:vMerge/>
            <w:vAlign w:val="center"/>
          </w:tcPr>
          <w:p w:rsidR="00A93329" w:rsidRPr="00953EEF" w:rsidP="00953EEF">
            <w:pPr>
              <w:spacing w:line="360" w:lineRule="auto"/>
              <w:rPr>
                <w:rFonts w:ascii="宋体" w:hAnsi="宋体" w:cs="宋体" w:hint="eastAsia"/>
                <w:sz w:val="24"/>
                <w:szCs w:val="24"/>
              </w:rPr>
            </w:pPr>
          </w:p>
        </w:tc>
        <w:tc>
          <w:tcPr>
            <w:tcW w:w="635" w:type="pct"/>
            <w:vAlign w:val="center"/>
          </w:tcPr>
          <w:p w:rsidR="00A93329" w:rsidRPr="00953EEF" w:rsidP="00953EEF">
            <w:pPr>
              <w:spacing w:line="360" w:lineRule="auto"/>
              <w:rPr>
                <w:rFonts w:ascii="宋体" w:hAnsi="宋体" w:cs="宋体" w:hint="eastAsia"/>
                <w:sz w:val="24"/>
                <w:szCs w:val="24"/>
              </w:rPr>
            </w:pPr>
            <w:r w:rsidRPr="00953EEF">
              <w:rPr>
                <w:rFonts w:ascii="宋体" w:hAnsi="宋体" w:cs="宋体" w:hint="eastAsia"/>
                <w:sz w:val="24"/>
                <w:szCs w:val="24"/>
              </w:rPr>
              <w:t>职业素质训练方法</w:t>
            </w:r>
          </w:p>
        </w:tc>
        <w:tc>
          <w:tcPr>
            <w:tcW w:w="3730" w:type="pct"/>
            <w:vAlign w:val="center"/>
          </w:tcPr>
          <w:p w:rsidR="00A93329" w:rsidRPr="00953EEF" w:rsidP="00953EEF">
            <w:pPr>
              <w:numPr>
                <w:ilvl w:val="0"/>
                <w:numId w:val="5"/>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通过对实训过程的严格要求和管理，使学生形成文明规范操作、仔细认真、实事求是的工作态度；</w:t>
            </w:r>
          </w:p>
          <w:p w:rsidR="00A93329" w:rsidRPr="00953EEF" w:rsidP="00953EEF">
            <w:pPr>
              <w:numPr>
                <w:ilvl w:val="0"/>
                <w:numId w:val="5"/>
              </w:numPr>
              <w:tabs>
                <w:tab w:val="left" w:pos="360"/>
              </w:tabs>
              <w:spacing w:line="360" w:lineRule="auto"/>
              <w:ind w:left="0" w:firstLine="0"/>
              <w:rPr>
                <w:rFonts w:ascii="宋体" w:hAnsi="宋体" w:cs="宋体" w:hint="eastAsia"/>
                <w:sz w:val="24"/>
                <w:szCs w:val="24"/>
              </w:rPr>
            </w:pPr>
            <w:r w:rsidRPr="00953EEF">
              <w:rPr>
                <w:rFonts w:ascii="宋体" w:hAnsi="宋体" w:cs="宋体" w:hint="eastAsia"/>
                <w:sz w:val="24"/>
                <w:szCs w:val="24"/>
              </w:rPr>
              <w:t>通过教师的演示实验，锻炼学生的模仿能力。</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https://d.book118.com/478141037035006034</w:t>
        </w:r>
      </w:hyperlink>
    </w:p>
    <w:p/>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134" w:right="1417" w:bottom="1134" w:left="1417"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29" w:rsidRPr="00953EEF" w:rsidP="00953EEF">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B5F6B8E"/>
    <w:multiLevelType w:val="singleLevel"/>
    <w:tmpl w:val="BB5F6B8E"/>
    <w:lvl w:ilvl="0">
      <w:start w:val="2"/>
      <w:numFmt w:val="decimal"/>
      <w:suff w:val="space"/>
      <w:lvlText w:val="%1."/>
      <w:lvlJc w:val="left"/>
    </w:lvl>
  </w:abstractNum>
  <w:abstractNum w:abstractNumId="1">
    <w:nsid w:val="CF634CFE"/>
    <w:multiLevelType w:val="singleLevel"/>
    <w:tmpl w:val="CF634CFE"/>
    <w:lvl w:ilvl="0">
      <w:start w:val="2"/>
      <w:numFmt w:val="decimal"/>
      <w:suff w:val="space"/>
      <w:lvlText w:val="%1."/>
      <w:lvlJc w:val="left"/>
    </w:lvl>
  </w:abstractNum>
  <w:abstractNum w:abstractNumId="2">
    <w:nsid w:val="00000007"/>
    <w:multiLevelType w:val="multilevel"/>
    <w:tmpl w:val="00000007"/>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0"/>
    <w:multiLevelType w:val="multilevel"/>
    <w:tmpl w:val="0000001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20"/>
    <w:multiLevelType w:val="multilevel"/>
    <w:tmpl w:val="0000002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23"/>
    <w:multiLevelType w:val="multilevel"/>
    <w:tmpl w:val="00000023"/>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29"/>
    <w:multiLevelType w:val="multilevel"/>
    <w:tmpl w:val="00000029"/>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1"/>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oNotTrackMoves/>
  <w:documentProtection w:edit="readOnly" w:enforcement="0"/>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A6CC1"/>
    <w:rsid w:val="006B07A6"/>
    <w:rsid w:val="0079184F"/>
    <w:rsid w:val="00903A3D"/>
    <w:rsid w:val="00953EEF"/>
    <w:rsid w:val="00A93329"/>
    <w:rsid w:val="00B2616A"/>
    <w:rsid w:val="00C01202"/>
    <w:rsid w:val="011E6869"/>
    <w:rsid w:val="015C1D44"/>
    <w:rsid w:val="0188539E"/>
    <w:rsid w:val="01AC567F"/>
    <w:rsid w:val="01FF056B"/>
    <w:rsid w:val="02320327"/>
    <w:rsid w:val="02474A49"/>
    <w:rsid w:val="02724924"/>
    <w:rsid w:val="02952ED4"/>
    <w:rsid w:val="02CA179F"/>
    <w:rsid w:val="03E37CED"/>
    <w:rsid w:val="0432025F"/>
    <w:rsid w:val="04344342"/>
    <w:rsid w:val="045A0D36"/>
    <w:rsid w:val="047A49F5"/>
    <w:rsid w:val="048133C4"/>
    <w:rsid w:val="04E74C8B"/>
    <w:rsid w:val="04EA409E"/>
    <w:rsid w:val="04F87F2D"/>
    <w:rsid w:val="050D7205"/>
    <w:rsid w:val="05151322"/>
    <w:rsid w:val="053307DD"/>
    <w:rsid w:val="05386BB0"/>
    <w:rsid w:val="05980FB4"/>
    <w:rsid w:val="064220AD"/>
    <w:rsid w:val="06921305"/>
    <w:rsid w:val="06E16182"/>
    <w:rsid w:val="07AA169C"/>
    <w:rsid w:val="083A7328"/>
    <w:rsid w:val="083E7FC1"/>
    <w:rsid w:val="08AE3149"/>
    <w:rsid w:val="08C77F26"/>
    <w:rsid w:val="08EF7436"/>
    <w:rsid w:val="08FE31C4"/>
    <w:rsid w:val="09134ECA"/>
    <w:rsid w:val="09257768"/>
    <w:rsid w:val="0928524A"/>
    <w:rsid w:val="09465E14"/>
    <w:rsid w:val="0951595B"/>
    <w:rsid w:val="09555AFE"/>
    <w:rsid w:val="09A76BE4"/>
    <w:rsid w:val="09AB0464"/>
    <w:rsid w:val="0A351CCC"/>
    <w:rsid w:val="0A40703B"/>
    <w:rsid w:val="0A747FBD"/>
    <w:rsid w:val="0A814349"/>
    <w:rsid w:val="0AA5594F"/>
    <w:rsid w:val="0ACB724F"/>
    <w:rsid w:val="0AE44D0B"/>
    <w:rsid w:val="0B1F1BF0"/>
    <w:rsid w:val="0B26797C"/>
    <w:rsid w:val="0B2E5767"/>
    <w:rsid w:val="0B8932D7"/>
    <w:rsid w:val="0BD307BC"/>
    <w:rsid w:val="0BE45446"/>
    <w:rsid w:val="0BED3D6F"/>
    <w:rsid w:val="0C0F2F20"/>
    <w:rsid w:val="0C13680F"/>
    <w:rsid w:val="0C323D10"/>
    <w:rsid w:val="0C5D4D4E"/>
    <w:rsid w:val="0C613370"/>
    <w:rsid w:val="0C9D4AA6"/>
    <w:rsid w:val="0CBF51EE"/>
    <w:rsid w:val="0CD17CD1"/>
    <w:rsid w:val="0CE0512D"/>
    <w:rsid w:val="0D2F5342"/>
    <w:rsid w:val="0D443AFB"/>
    <w:rsid w:val="0D5144E6"/>
    <w:rsid w:val="0D542092"/>
    <w:rsid w:val="0D812DD9"/>
    <w:rsid w:val="0D83639B"/>
    <w:rsid w:val="0DF01CAA"/>
    <w:rsid w:val="0DF44AA5"/>
    <w:rsid w:val="0E523D0A"/>
    <w:rsid w:val="0E7B06F0"/>
    <w:rsid w:val="0E881515"/>
    <w:rsid w:val="0F0B0B7B"/>
    <w:rsid w:val="0FC264EA"/>
    <w:rsid w:val="0FD14454"/>
    <w:rsid w:val="10B82863"/>
    <w:rsid w:val="10CC1432"/>
    <w:rsid w:val="11177545"/>
    <w:rsid w:val="116C7C12"/>
    <w:rsid w:val="11A004CC"/>
    <w:rsid w:val="11BF0D5D"/>
    <w:rsid w:val="12662897"/>
    <w:rsid w:val="127D7984"/>
    <w:rsid w:val="127E1AC6"/>
    <w:rsid w:val="128D4AF1"/>
    <w:rsid w:val="12B05C5D"/>
    <w:rsid w:val="12BF18E8"/>
    <w:rsid w:val="12DC05A6"/>
    <w:rsid w:val="12FC7D38"/>
    <w:rsid w:val="135217FC"/>
    <w:rsid w:val="137333F8"/>
    <w:rsid w:val="13DA6A7F"/>
    <w:rsid w:val="140253E2"/>
    <w:rsid w:val="14132004"/>
    <w:rsid w:val="1421203A"/>
    <w:rsid w:val="146168D7"/>
    <w:rsid w:val="14677AC5"/>
    <w:rsid w:val="14C8173B"/>
    <w:rsid w:val="152754DD"/>
    <w:rsid w:val="156975A8"/>
    <w:rsid w:val="156E7A3D"/>
    <w:rsid w:val="158B4E58"/>
    <w:rsid w:val="159611B2"/>
    <w:rsid w:val="15A67D64"/>
    <w:rsid w:val="15D02A5E"/>
    <w:rsid w:val="15FA01DC"/>
    <w:rsid w:val="16061E52"/>
    <w:rsid w:val="16630633"/>
    <w:rsid w:val="16FE59C3"/>
    <w:rsid w:val="175B2304"/>
    <w:rsid w:val="17631554"/>
    <w:rsid w:val="17783441"/>
    <w:rsid w:val="17E74C08"/>
    <w:rsid w:val="180E0DF4"/>
    <w:rsid w:val="18266394"/>
    <w:rsid w:val="185309A1"/>
    <w:rsid w:val="18AC7A6A"/>
    <w:rsid w:val="18B11DF2"/>
    <w:rsid w:val="18D22FA9"/>
    <w:rsid w:val="1905547B"/>
    <w:rsid w:val="19145413"/>
    <w:rsid w:val="19360F22"/>
    <w:rsid w:val="19420680"/>
    <w:rsid w:val="19660D59"/>
    <w:rsid w:val="19782D58"/>
    <w:rsid w:val="19815B35"/>
    <w:rsid w:val="19961D1E"/>
    <w:rsid w:val="19B82E93"/>
    <w:rsid w:val="19DB6673"/>
    <w:rsid w:val="1A144D1B"/>
    <w:rsid w:val="1A1911E0"/>
    <w:rsid w:val="1A4A0F0C"/>
    <w:rsid w:val="1A524C3A"/>
    <w:rsid w:val="1A722F70"/>
    <w:rsid w:val="1A8B5F62"/>
    <w:rsid w:val="1ABE60F6"/>
    <w:rsid w:val="1B227BEA"/>
    <w:rsid w:val="1B4A656E"/>
    <w:rsid w:val="1B764D9C"/>
    <w:rsid w:val="1B9236F8"/>
    <w:rsid w:val="1BBC0B06"/>
    <w:rsid w:val="1BD937BC"/>
    <w:rsid w:val="1C3A255C"/>
    <w:rsid w:val="1C656C23"/>
    <w:rsid w:val="1C700838"/>
    <w:rsid w:val="1C8F7DA7"/>
    <w:rsid w:val="1CDB6866"/>
    <w:rsid w:val="1CF45DB9"/>
    <w:rsid w:val="1DA940A1"/>
    <w:rsid w:val="1DCD711A"/>
    <w:rsid w:val="1DCE1473"/>
    <w:rsid w:val="1E1401D8"/>
    <w:rsid w:val="1E1C5277"/>
    <w:rsid w:val="1EA942F5"/>
    <w:rsid w:val="1EFD39F2"/>
    <w:rsid w:val="1F2474FB"/>
    <w:rsid w:val="1FA21638"/>
    <w:rsid w:val="205319E1"/>
    <w:rsid w:val="20805C18"/>
    <w:rsid w:val="20A226E5"/>
    <w:rsid w:val="20D43AC1"/>
    <w:rsid w:val="20E431A8"/>
    <w:rsid w:val="20E72853"/>
    <w:rsid w:val="21031D93"/>
    <w:rsid w:val="21310ACC"/>
    <w:rsid w:val="21B0397A"/>
    <w:rsid w:val="21CC0FE4"/>
    <w:rsid w:val="21E36EC0"/>
    <w:rsid w:val="21FD4DD5"/>
    <w:rsid w:val="22020349"/>
    <w:rsid w:val="22162869"/>
    <w:rsid w:val="22232D02"/>
    <w:rsid w:val="223C1C12"/>
    <w:rsid w:val="22F56C6F"/>
    <w:rsid w:val="234A2062"/>
    <w:rsid w:val="239C56E4"/>
    <w:rsid w:val="23EA115B"/>
    <w:rsid w:val="24052F80"/>
    <w:rsid w:val="24335B6F"/>
    <w:rsid w:val="24405072"/>
    <w:rsid w:val="244F79DA"/>
    <w:rsid w:val="2473639F"/>
    <w:rsid w:val="24A94771"/>
    <w:rsid w:val="24A975F7"/>
    <w:rsid w:val="24F35149"/>
    <w:rsid w:val="25642350"/>
    <w:rsid w:val="25F954DB"/>
    <w:rsid w:val="26091837"/>
    <w:rsid w:val="2629596E"/>
    <w:rsid w:val="262A1DEB"/>
    <w:rsid w:val="26303437"/>
    <w:rsid w:val="263F7246"/>
    <w:rsid w:val="267C5C73"/>
    <w:rsid w:val="2682441C"/>
    <w:rsid w:val="269D1752"/>
    <w:rsid w:val="26D87E80"/>
    <w:rsid w:val="26EF76C0"/>
    <w:rsid w:val="26F30F76"/>
    <w:rsid w:val="26FA5510"/>
    <w:rsid w:val="26FE24BE"/>
    <w:rsid w:val="27284963"/>
    <w:rsid w:val="275146F5"/>
    <w:rsid w:val="2761150A"/>
    <w:rsid w:val="276B793B"/>
    <w:rsid w:val="277D352D"/>
    <w:rsid w:val="27D74A6C"/>
    <w:rsid w:val="28176EDE"/>
    <w:rsid w:val="282003F9"/>
    <w:rsid w:val="28577657"/>
    <w:rsid w:val="285D6715"/>
    <w:rsid w:val="286428F6"/>
    <w:rsid w:val="28D10507"/>
    <w:rsid w:val="28D115FB"/>
    <w:rsid w:val="29344489"/>
    <w:rsid w:val="29433E46"/>
    <w:rsid w:val="294875DE"/>
    <w:rsid w:val="29493649"/>
    <w:rsid w:val="29A20929"/>
    <w:rsid w:val="29AF7DA8"/>
    <w:rsid w:val="29B53FFD"/>
    <w:rsid w:val="2A8E7E2B"/>
    <w:rsid w:val="2A904042"/>
    <w:rsid w:val="2AA00F0D"/>
    <w:rsid w:val="2AA63EFA"/>
    <w:rsid w:val="2AB13613"/>
    <w:rsid w:val="2AD6435B"/>
    <w:rsid w:val="2AEA4A6B"/>
    <w:rsid w:val="2AF04C7E"/>
    <w:rsid w:val="2AFB6893"/>
    <w:rsid w:val="2B206125"/>
    <w:rsid w:val="2B267F31"/>
    <w:rsid w:val="2B3F2299"/>
    <w:rsid w:val="2BDA758C"/>
    <w:rsid w:val="2C394C5C"/>
    <w:rsid w:val="2C397000"/>
    <w:rsid w:val="2C541890"/>
    <w:rsid w:val="2CBD7FE9"/>
    <w:rsid w:val="2CCC3697"/>
    <w:rsid w:val="2D452F54"/>
    <w:rsid w:val="2D6E2A3E"/>
    <w:rsid w:val="2DBA21A7"/>
    <w:rsid w:val="2DE7275E"/>
    <w:rsid w:val="2E3402AA"/>
    <w:rsid w:val="2EB23277"/>
    <w:rsid w:val="2F38079F"/>
    <w:rsid w:val="2F5E0BEA"/>
    <w:rsid w:val="2F7468AB"/>
    <w:rsid w:val="2F9959A7"/>
    <w:rsid w:val="2FAB7317"/>
    <w:rsid w:val="2FB62565"/>
    <w:rsid w:val="300E2C42"/>
    <w:rsid w:val="301C26FD"/>
    <w:rsid w:val="30346FD1"/>
    <w:rsid w:val="308449BB"/>
    <w:rsid w:val="30872D20"/>
    <w:rsid w:val="3094583F"/>
    <w:rsid w:val="309C1338"/>
    <w:rsid w:val="30D93C25"/>
    <w:rsid w:val="30F545DF"/>
    <w:rsid w:val="30FA289A"/>
    <w:rsid w:val="31100AEB"/>
    <w:rsid w:val="3134129D"/>
    <w:rsid w:val="313F03B4"/>
    <w:rsid w:val="31520909"/>
    <w:rsid w:val="316C3324"/>
    <w:rsid w:val="31BB1ABE"/>
    <w:rsid w:val="32053648"/>
    <w:rsid w:val="32714E6B"/>
    <w:rsid w:val="328C71C3"/>
    <w:rsid w:val="32AF7D8D"/>
    <w:rsid w:val="32CC3DC6"/>
    <w:rsid w:val="32D6658D"/>
    <w:rsid w:val="32FB6EB5"/>
    <w:rsid w:val="32FE0237"/>
    <w:rsid w:val="330327D4"/>
    <w:rsid w:val="33102D34"/>
    <w:rsid w:val="33307641"/>
    <w:rsid w:val="333221AC"/>
    <w:rsid w:val="33A132C4"/>
    <w:rsid w:val="33C71F33"/>
    <w:rsid w:val="33D7599C"/>
    <w:rsid w:val="33EC20BE"/>
    <w:rsid w:val="3529017B"/>
    <w:rsid w:val="35903F30"/>
    <w:rsid w:val="3597733F"/>
    <w:rsid w:val="35F643DE"/>
    <w:rsid w:val="361956B1"/>
    <w:rsid w:val="36386400"/>
    <w:rsid w:val="364F63E8"/>
    <w:rsid w:val="36954BB0"/>
    <w:rsid w:val="36C71DA0"/>
    <w:rsid w:val="36CB375C"/>
    <w:rsid w:val="36EF1E76"/>
    <w:rsid w:val="371D787C"/>
    <w:rsid w:val="373D2E39"/>
    <w:rsid w:val="37521078"/>
    <w:rsid w:val="376925CA"/>
    <w:rsid w:val="37A72713"/>
    <w:rsid w:val="37D709FD"/>
    <w:rsid w:val="37F31612"/>
    <w:rsid w:val="38070B8C"/>
    <w:rsid w:val="38113181"/>
    <w:rsid w:val="38281B06"/>
    <w:rsid w:val="3852590A"/>
    <w:rsid w:val="38604B0B"/>
    <w:rsid w:val="386201DF"/>
    <w:rsid w:val="386F6CE9"/>
    <w:rsid w:val="387D3556"/>
    <w:rsid w:val="38896EA8"/>
    <w:rsid w:val="38B52C0B"/>
    <w:rsid w:val="38C71FB6"/>
    <w:rsid w:val="38EE3475"/>
    <w:rsid w:val="395B65CA"/>
    <w:rsid w:val="396E44E1"/>
    <w:rsid w:val="39702384"/>
    <w:rsid w:val="398C7F75"/>
    <w:rsid w:val="39A134C7"/>
    <w:rsid w:val="39BD4CA7"/>
    <w:rsid w:val="3A1C152C"/>
    <w:rsid w:val="3A2940F7"/>
    <w:rsid w:val="3A59371E"/>
    <w:rsid w:val="3A932C36"/>
    <w:rsid w:val="3A9A554C"/>
    <w:rsid w:val="3AC10DF2"/>
    <w:rsid w:val="3ACF641C"/>
    <w:rsid w:val="3AFE34CE"/>
    <w:rsid w:val="3B1B2AE2"/>
    <w:rsid w:val="3B365387"/>
    <w:rsid w:val="3B425EC8"/>
    <w:rsid w:val="3B7704C7"/>
    <w:rsid w:val="3C19267D"/>
    <w:rsid w:val="3C447633"/>
    <w:rsid w:val="3C7B72AE"/>
    <w:rsid w:val="3CFC3E5A"/>
    <w:rsid w:val="3D315E91"/>
    <w:rsid w:val="3D447D1A"/>
    <w:rsid w:val="3D7B15C7"/>
    <w:rsid w:val="3E166E73"/>
    <w:rsid w:val="3E6305EF"/>
    <w:rsid w:val="3E872422"/>
    <w:rsid w:val="3EAC37CE"/>
    <w:rsid w:val="3EE95A2C"/>
    <w:rsid w:val="3F5120C5"/>
    <w:rsid w:val="3F5E6EEB"/>
    <w:rsid w:val="3F633D3D"/>
    <w:rsid w:val="3F6648AE"/>
    <w:rsid w:val="3F787F64"/>
    <w:rsid w:val="3F7E4E12"/>
    <w:rsid w:val="3F81139C"/>
    <w:rsid w:val="3F910E8B"/>
    <w:rsid w:val="3FC26926"/>
    <w:rsid w:val="3FCD4CB7"/>
    <w:rsid w:val="4020311F"/>
    <w:rsid w:val="402562E6"/>
    <w:rsid w:val="403065C5"/>
    <w:rsid w:val="404E3C1D"/>
    <w:rsid w:val="4079458F"/>
    <w:rsid w:val="407C76F3"/>
    <w:rsid w:val="409C0ACE"/>
    <w:rsid w:val="40B075A1"/>
    <w:rsid w:val="40B5125C"/>
    <w:rsid w:val="4105441A"/>
    <w:rsid w:val="41331C18"/>
    <w:rsid w:val="41626244"/>
    <w:rsid w:val="41B544FF"/>
    <w:rsid w:val="41DB373D"/>
    <w:rsid w:val="4248360A"/>
    <w:rsid w:val="42742E74"/>
    <w:rsid w:val="42764390"/>
    <w:rsid w:val="428B137A"/>
    <w:rsid w:val="42EF65BF"/>
    <w:rsid w:val="4435079F"/>
    <w:rsid w:val="448942D1"/>
    <w:rsid w:val="44AA42C3"/>
    <w:rsid w:val="44CE0F85"/>
    <w:rsid w:val="451C5577"/>
    <w:rsid w:val="45400C38"/>
    <w:rsid w:val="45593450"/>
    <w:rsid w:val="45BF334F"/>
    <w:rsid w:val="45CE6930"/>
    <w:rsid w:val="45D301C3"/>
    <w:rsid w:val="45DC015B"/>
    <w:rsid w:val="45EE6B7B"/>
    <w:rsid w:val="460155D7"/>
    <w:rsid w:val="46104656"/>
    <w:rsid w:val="4639727E"/>
    <w:rsid w:val="46624F53"/>
    <w:rsid w:val="469E6350"/>
    <w:rsid w:val="46A51464"/>
    <w:rsid w:val="46CE7490"/>
    <w:rsid w:val="46D13E2A"/>
    <w:rsid w:val="46D52A43"/>
    <w:rsid w:val="47275493"/>
    <w:rsid w:val="472A2FCB"/>
    <w:rsid w:val="47A221F3"/>
    <w:rsid w:val="47B90042"/>
    <w:rsid w:val="47C358EC"/>
    <w:rsid w:val="47CD0B5C"/>
    <w:rsid w:val="47EF75ED"/>
    <w:rsid w:val="48036DD9"/>
    <w:rsid w:val="481054D3"/>
    <w:rsid w:val="48414786"/>
    <w:rsid w:val="48792110"/>
    <w:rsid w:val="48C15C26"/>
    <w:rsid w:val="48C82186"/>
    <w:rsid w:val="48F62412"/>
    <w:rsid w:val="491D5108"/>
    <w:rsid w:val="493A6E0B"/>
    <w:rsid w:val="496C5184"/>
    <w:rsid w:val="49A14CF5"/>
    <w:rsid w:val="49A577F4"/>
    <w:rsid w:val="49FC1840"/>
    <w:rsid w:val="4A1C151E"/>
    <w:rsid w:val="4A201A69"/>
    <w:rsid w:val="4A3721B1"/>
    <w:rsid w:val="4A5B4E81"/>
    <w:rsid w:val="4A771246"/>
    <w:rsid w:val="4AD82076"/>
    <w:rsid w:val="4B4A7F83"/>
    <w:rsid w:val="4BC07A4F"/>
    <w:rsid w:val="4BDB5096"/>
    <w:rsid w:val="4C6023A0"/>
    <w:rsid w:val="4CB052E1"/>
    <w:rsid w:val="4CFE7DE6"/>
    <w:rsid w:val="4D373147"/>
    <w:rsid w:val="4D3E5BCF"/>
    <w:rsid w:val="4D4A3D2E"/>
    <w:rsid w:val="4DB53509"/>
    <w:rsid w:val="4DBD0B06"/>
    <w:rsid w:val="4E5E0528"/>
    <w:rsid w:val="4E732FD2"/>
    <w:rsid w:val="4E9F1CDC"/>
    <w:rsid w:val="4EE679C1"/>
    <w:rsid w:val="4F0926CE"/>
    <w:rsid w:val="4F2523E2"/>
    <w:rsid w:val="4F7E135A"/>
    <w:rsid w:val="4F8C56EC"/>
    <w:rsid w:val="4FA871BC"/>
    <w:rsid w:val="4FF400BB"/>
    <w:rsid w:val="4FF664D3"/>
    <w:rsid w:val="4FFE5966"/>
    <w:rsid w:val="50394943"/>
    <w:rsid w:val="508B3032"/>
    <w:rsid w:val="50A2740B"/>
    <w:rsid w:val="50FF3F58"/>
    <w:rsid w:val="51384450"/>
    <w:rsid w:val="51750091"/>
    <w:rsid w:val="517A4EB9"/>
    <w:rsid w:val="51D02184"/>
    <w:rsid w:val="51FB75C6"/>
    <w:rsid w:val="52061B10"/>
    <w:rsid w:val="52B17EC9"/>
    <w:rsid w:val="52D576F4"/>
    <w:rsid w:val="52E52A4F"/>
    <w:rsid w:val="52F22965"/>
    <w:rsid w:val="53015D0A"/>
    <w:rsid w:val="533E22B9"/>
    <w:rsid w:val="53B10CE6"/>
    <w:rsid w:val="53C67369"/>
    <w:rsid w:val="54286CD6"/>
    <w:rsid w:val="54315EB4"/>
    <w:rsid w:val="54517EE5"/>
    <w:rsid w:val="545875D0"/>
    <w:rsid w:val="54B725EA"/>
    <w:rsid w:val="54BF4C96"/>
    <w:rsid w:val="553F590C"/>
    <w:rsid w:val="55F36967"/>
    <w:rsid w:val="567B1192"/>
    <w:rsid w:val="56C713B9"/>
    <w:rsid w:val="56E41085"/>
    <w:rsid w:val="5799241D"/>
    <w:rsid w:val="579B2FAF"/>
    <w:rsid w:val="57A24B7D"/>
    <w:rsid w:val="57F13003"/>
    <w:rsid w:val="57F177AA"/>
    <w:rsid w:val="58297745"/>
    <w:rsid w:val="583F1497"/>
    <w:rsid w:val="586F28FB"/>
    <w:rsid w:val="58AA3369"/>
    <w:rsid w:val="58AE4388"/>
    <w:rsid w:val="593808DA"/>
    <w:rsid w:val="59603DE8"/>
    <w:rsid w:val="599D5734"/>
    <w:rsid w:val="59B135E1"/>
    <w:rsid w:val="59FB402E"/>
    <w:rsid w:val="5A1A1C28"/>
    <w:rsid w:val="5A4178A0"/>
    <w:rsid w:val="5A5C349D"/>
    <w:rsid w:val="5A692B09"/>
    <w:rsid w:val="5A7A1577"/>
    <w:rsid w:val="5A990973"/>
    <w:rsid w:val="5AC41F74"/>
    <w:rsid w:val="5B021966"/>
    <w:rsid w:val="5B705D94"/>
    <w:rsid w:val="5B8E7008"/>
    <w:rsid w:val="5B9F5077"/>
    <w:rsid w:val="5BAC2AC3"/>
    <w:rsid w:val="5BB668B9"/>
    <w:rsid w:val="5BC03BB3"/>
    <w:rsid w:val="5C4E4419"/>
    <w:rsid w:val="5C5E0A41"/>
    <w:rsid w:val="5C94545D"/>
    <w:rsid w:val="5CAA154C"/>
    <w:rsid w:val="5CE06C59"/>
    <w:rsid w:val="5CF144DA"/>
    <w:rsid w:val="5CF62FD5"/>
    <w:rsid w:val="5D230C5E"/>
    <w:rsid w:val="5D411D47"/>
    <w:rsid w:val="5D433711"/>
    <w:rsid w:val="5DA358CE"/>
    <w:rsid w:val="5DE34C8C"/>
    <w:rsid w:val="5DE424F2"/>
    <w:rsid w:val="5DEC517B"/>
    <w:rsid w:val="5DFF4599"/>
    <w:rsid w:val="5E0C0662"/>
    <w:rsid w:val="5E122AE4"/>
    <w:rsid w:val="5E1279E2"/>
    <w:rsid w:val="5E4951BD"/>
    <w:rsid w:val="5E6467BE"/>
    <w:rsid w:val="5E7A593D"/>
    <w:rsid w:val="5EE44D95"/>
    <w:rsid w:val="5EF54A3B"/>
    <w:rsid w:val="5F3C33CF"/>
    <w:rsid w:val="5F78094E"/>
    <w:rsid w:val="5F7B6DC3"/>
    <w:rsid w:val="5FB6234B"/>
    <w:rsid w:val="5FF01CD4"/>
    <w:rsid w:val="60A16212"/>
    <w:rsid w:val="618D7805"/>
    <w:rsid w:val="61A11A3C"/>
    <w:rsid w:val="6203448E"/>
    <w:rsid w:val="62733CBC"/>
    <w:rsid w:val="628B5DF9"/>
    <w:rsid w:val="631C7E48"/>
    <w:rsid w:val="633E4CE0"/>
    <w:rsid w:val="634240D3"/>
    <w:rsid w:val="63C52AC2"/>
    <w:rsid w:val="64094B40"/>
    <w:rsid w:val="643B7653"/>
    <w:rsid w:val="6463123F"/>
    <w:rsid w:val="64655701"/>
    <w:rsid w:val="64F14753"/>
    <w:rsid w:val="654E7428"/>
    <w:rsid w:val="65810CA1"/>
    <w:rsid w:val="65FB1A9A"/>
    <w:rsid w:val="66122494"/>
    <w:rsid w:val="664B4166"/>
    <w:rsid w:val="665E5854"/>
    <w:rsid w:val="66906D0C"/>
    <w:rsid w:val="66AD5901"/>
    <w:rsid w:val="67706CC4"/>
    <w:rsid w:val="677925DB"/>
    <w:rsid w:val="679A1E98"/>
    <w:rsid w:val="68166977"/>
    <w:rsid w:val="682574D5"/>
    <w:rsid w:val="68775521"/>
    <w:rsid w:val="68A777B6"/>
    <w:rsid w:val="68BD1D25"/>
    <w:rsid w:val="68C4378C"/>
    <w:rsid w:val="68D73C8C"/>
    <w:rsid w:val="68F71FC3"/>
    <w:rsid w:val="6968091D"/>
    <w:rsid w:val="698450AA"/>
    <w:rsid w:val="69F6759C"/>
    <w:rsid w:val="6A5569D1"/>
    <w:rsid w:val="6AA823FE"/>
    <w:rsid w:val="6ADB3728"/>
    <w:rsid w:val="6ADF78E5"/>
    <w:rsid w:val="6B0706F4"/>
    <w:rsid w:val="6B1E3019"/>
    <w:rsid w:val="6B5B3CFE"/>
    <w:rsid w:val="6BD03A59"/>
    <w:rsid w:val="6BEB4BCC"/>
    <w:rsid w:val="6C804A7F"/>
    <w:rsid w:val="6CEC655C"/>
    <w:rsid w:val="6D195DEF"/>
    <w:rsid w:val="6D351FB7"/>
    <w:rsid w:val="6D587B92"/>
    <w:rsid w:val="6D61269B"/>
    <w:rsid w:val="6D970D57"/>
    <w:rsid w:val="6DC94B2A"/>
    <w:rsid w:val="6E2D66E2"/>
    <w:rsid w:val="6E58421A"/>
    <w:rsid w:val="6E706A3A"/>
    <w:rsid w:val="6ECF3BEA"/>
    <w:rsid w:val="6F183971"/>
    <w:rsid w:val="6F915496"/>
    <w:rsid w:val="6F942D9B"/>
    <w:rsid w:val="706D2F65"/>
    <w:rsid w:val="709E3F45"/>
    <w:rsid w:val="70CF72A0"/>
    <w:rsid w:val="713118C3"/>
    <w:rsid w:val="726141B3"/>
    <w:rsid w:val="72DB7F82"/>
    <w:rsid w:val="72FA2FEA"/>
    <w:rsid w:val="733C3CF8"/>
    <w:rsid w:val="73854316"/>
    <w:rsid w:val="738A7026"/>
    <w:rsid w:val="73BA62B4"/>
    <w:rsid w:val="73C15C19"/>
    <w:rsid w:val="73C92807"/>
    <w:rsid w:val="74280ACB"/>
    <w:rsid w:val="74751F82"/>
    <w:rsid w:val="74A7448A"/>
    <w:rsid w:val="74ED1117"/>
    <w:rsid w:val="754E3901"/>
    <w:rsid w:val="755A7EF4"/>
    <w:rsid w:val="75EC3EA7"/>
    <w:rsid w:val="760667C0"/>
    <w:rsid w:val="76071B00"/>
    <w:rsid w:val="7684372E"/>
    <w:rsid w:val="76E40295"/>
    <w:rsid w:val="76E512CC"/>
    <w:rsid w:val="77154996"/>
    <w:rsid w:val="77162EED"/>
    <w:rsid w:val="77163B33"/>
    <w:rsid w:val="775B7FD6"/>
    <w:rsid w:val="7783063D"/>
    <w:rsid w:val="778F29E7"/>
    <w:rsid w:val="783F2577"/>
    <w:rsid w:val="787A79A7"/>
    <w:rsid w:val="789C1DEF"/>
    <w:rsid w:val="78C86137"/>
    <w:rsid w:val="790C7CB4"/>
    <w:rsid w:val="792F6C5C"/>
    <w:rsid w:val="79497191"/>
    <w:rsid w:val="79693C83"/>
    <w:rsid w:val="79BD0CFD"/>
    <w:rsid w:val="79FC4370"/>
    <w:rsid w:val="7A7E407A"/>
    <w:rsid w:val="7A8F0397"/>
    <w:rsid w:val="7AA74956"/>
    <w:rsid w:val="7ABA30A2"/>
    <w:rsid w:val="7AE1028B"/>
    <w:rsid w:val="7AE87C40"/>
    <w:rsid w:val="7B0739DA"/>
    <w:rsid w:val="7B107C8E"/>
    <w:rsid w:val="7B461120"/>
    <w:rsid w:val="7B56331E"/>
    <w:rsid w:val="7B595E40"/>
    <w:rsid w:val="7B756C0C"/>
    <w:rsid w:val="7B81009E"/>
    <w:rsid w:val="7BF62A6B"/>
    <w:rsid w:val="7C3E613F"/>
    <w:rsid w:val="7C8A11D2"/>
    <w:rsid w:val="7C99137B"/>
    <w:rsid w:val="7CAE5A9D"/>
    <w:rsid w:val="7CB91736"/>
    <w:rsid w:val="7CBE7828"/>
    <w:rsid w:val="7CE72DAD"/>
    <w:rsid w:val="7D4112D4"/>
    <w:rsid w:val="7D573484"/>
    <w:rsid w:val="7D6A4FAD"/>
    <w:rsid w:val="7D9017D7"/>
    <w:rsid w:val="7DBE58DA"/>
    <w:rsid w:val="7DD37BA8"/>
    <w:rsid w:val="7E1622BC"/>
    <w:rsid w:val="7E6D10D1"/>
    <w:rsid w:val="7E9A2BAD"/>
    <w:rsid w:val="7EAE428C"/>
    <w:rsid w:val="7ED42841"/>
    <w:rsid w:val="7EDA5296"/>
    <w:rsid w:val="7F0516E4"/>
    <w:rsid w:val="7F281F2C"/>
    <w:rsid w:val="7F6E7F78"/>
    <w:rsid w:val="7F867C9A"/>
    <w:rsid w:val="7FC3095F"/>
    <w:rsid w:val="7FD9329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2">
    <w:name w:val="heading 2"/>
    <w:basedOn w:val="Normal"/>
    <w:next w:val="Normal"/>
    <w:qFormat/>
    <w:pPr>
      <w:keepNext/>
      <w:keepLines/>
      <w:spacing w:before="260" w:beforeLines="0" w:after="260" w:afterLines="0" w:line="416" w:lineRule="auto"/>
      <w:outlineLvl w:val="1"/>
    </w:pPr>
    <w:rPr>
      <w:rFonts w:ascii="Cambria" w:hAnsi="Cambria"/>
      <w:b/>
      <w:bCs/>
      <w:kern w:val="0"/>
      <w:sz w:val="32"/>
      <w:szCs w:val="32"/>
    </w:rPr>
  </w:style>
  <w:style w:type="paragraph" w:styleId="Heading3">
    <w:name w:val="heading 3"/>
    <w:basedOn w:val="Normal"/>
    <w:next w:val="Normal"/>
    <w:qFormat/>
    <w:pPr>
      <w:keepNext/>
      <w:keepLines/>
      <w:spacing w:before="260" w:beforeLines="0" w:after="260" w:afterLines="0" w:line="416" w:lineRule="auto"/>
      <w:outlineLvl w:val="2"/>
    </w:pPr>
    <w:rPr>
      <w:b/>
      <w:bCs/>
      <w:kern w:val="0"/>
      <w:sz w:val="32"/>
      <w:szCs w:val="3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91">
    <w:name w:val="style91"/>
    <w:rPr>
      <w:rFonts w:ascii="仿宋_GB2312" w:eastAsia="仿宋_GB2312" w:hint="eastAsia"/>
    </w:rPr>
  </w:style>
  <w:style w:type="character" w:customStyle="1" w:styleId="Char">
    <w:name w:val="批注框文本 Char"/>
    <w:link w:val="BalloonText"/>
    <w:rPr>
      <w:kern w:val="2"/>
      <w:sz w:val="18"/>
      <w:szCs w:val="18"/>
    </w:rPr>
  </w:style>
  <w:style w:type="character" w:customStyle="1" w:styleId="Char0">
    <w:name w:val="批注主题 Char"/>
    <w:link w:val="CommentSubject"/>
    <w:rPr>
      <w:b/>
      <w:bCs/>
      <w:kern w:val="2"/>
      <w:sz w:val="21"/>
    </w:rPr>
  </w:style>
  <w:style w:type="character" w:customStyle="1" w:styleId="Char1">
    <w:name w:val="批注文字 Char"/>
    <w:link w:val="CommentText"/>
    <w:rPr>
      <w:kern w:val="2"/>
      <w:sz w:val="21"/>
    </w:rPr>
  </w:style>
  <w:style w:type="character" w:styleId="Strong">
    <w:name w:val="Strong"/>
    <w:qFormat/>
    <w:rPr>
      <w:b/>
      <w:bCs/>
    </w:rPr>
  </w:style>
  <w:style w:type="character" w:styleId="PageNumber">
    <w:name w:val="page number"/>
    <w:basedOn w:val="DefaultParagraphFont"/>
  </w:style>
  <w:style w:type="character" w:styleId="Hyperlink">
    <w:name w:val="Hyperlink"/>
    <w:rPr>
      <w:color w:val="136EC2"/>
      <w:u w:val="single"/>
    </w:rPr>
  </w:style>
  <w:style w:type="character" w:styleId="CommentReference">
    <w:name w:val="annotation reference"/>
    <w:rPr>
      <w:sz w:val="21"/>
      <w:szCs w:val="21"/>
    </w:rPr>
  </w:style>
  <w:style w:type="paragraph" w:customStyle="1" w:styleId="-">
    <w:name w:val="表格内-居左"/>
    <w:basedOn w:val="-0"/>
    <w:qFormat/>
    <w:pPr>
      <w:framePr w:hSpace="180" w:wrap="around" w:vAnchor="text" w:hAnchor="page" w:xAlign="center" w:y="100"/>
      <w:jc w:val="both"/>
    </w:pPr>
    <w:rPr>
      <w:color w:val="000000"/>
      <w:szCs w:val="21"/>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szCs w:val="18"/>
    </w:rPr>
  </w:style>
  <w:style w:type="paragraph" w:customStyle="1" w:styleId="zq">
    <w:name w:val="zq正文+粗"/>
    <w:basedOn w:val="zq0"/>
    <w:pPr>
      <w:ind w:firstLine="482"/>
    </w:pPr>
    <w:rPr>
      <w:rFonts w:eastAsia="宋体"/>
      <w:b/>
    </w:rPr>
  </w:style>
  <w:style w:type="paragraph" w:customStyle="1" w:styleId="zq0">
    <w:name w:val="zq正文"/>
    <w:basedOn w:val="Normal"/>
    <w:pPr>
      <w:ind w:firstLine="480" w:firstLineChars="200"/>
    </w:pPr>
    <w:rPr>
      <w:rFonts w:ascii="宋体" w:eastAsia="宋体" w:hAnsi="宋体" w:cs="黑体"/>
      <w:sz w:val="24"/>
    </w:rPr>
  </w:style>
  <w:style w:type="paragraph" w:styleId="BalloonText">
    <w:name w:val="Balloon Text"/>
    <w:basedOn w:val="Normal"/>
    <w:link w:val="Char"/>
    <w:rPr>
      <w:kern w:val="2"/>
      <w:sz w:val="18"/>
      <w:szCs w:val="18"/>
    </w:rPr>
  </w:style>
  <w:style w:type="paragraph" w:customStyle="1" w:styleId="a">
    <w:name w:val="表内容"/>
    <w:basedOn w:val="Normal"/>
    <w:pPr>
      <w:adjustRightInd w:val="0"/>
      <w:snapToGrid w:val="0"/>
      <w:spacing w:line="310" w:lineRule="atLeast"/>
      <w:jc w:val="center"/>
    </w:pPr>
    <w:rPr>
      <w:sz w:val="18"/>
    </w:rPr>
  </w:style>
  <w:style w:type="paragraph" w:styleId="CommentText">
    <w:name w:val="annotation text"/>
    <w:basedOn w:val="Normal"/>
    <w:link w:val="Char1"/>
    <w:pPr>
      <w:jc w:val="left"/>
    </w:pPr>
    <w:rPr>
      <w:kern w:val="2"/>
      <w:sz w:val="21"/>
    </w:rPr>
  </w:style>
  <w:style w:type="paragraph" w:styleId="BodyTextIndent2">
    <w:name w:val="Body Text Indent 2"/>
    <w:basedOn w:val="Normal"/>
    <w:pPr>
      <w:spacing w:after="120" w:afterLines="0" w:line="480" w:lineRule="auto"/>
      <w:ind w:left="420" w:leftChars="200"/>
    </w:pPr>
    <w:rPr>
      <w:szCs w:val="24"/>
    </w:rPr>
  </w:style>
  <w:style w:type="paragraph" w:styleId="PlainText">
    <w:name w:val="Plain Text"/>
    <w:basedOn w:val="Normal"/>
    <w:pPr>
      <w:widowControl/>
      <w:spacing w:before="100" w:beforeLines="0" w:beforeAutospacing="1" w:after="100" w:afterLines="0" w:afterAutospacing="1"/>
      <w:jc w:val="left"/>
    </w:pPr>
    <w:rPr>
      <w:rFonts w:ascii="宋体" w:hAnsi="宋体" w:cs="宋体"/>
      <w:kern w:val="0"/>
      <w:sz w:val="24"/>
      <w:szCs w:val="24"/>
    </w:rPr>
  </w:style>
  <w:style w:type="paragraph" w:customStyle="1" w:styleId="1">
    <w:name w:val="正文1级标题"/>
    <w:basedOn w:val="Heading2"/>
    <w:next w:val="Normal"/>
    <w:qFormat/>
    <w:pPr>
      <w:spacing w:before="120" w:beforeLines="0" w:after="120" w:afterLines="0" w:line="240" w:lineRule="auto"/>
    </w:pPr>
    <w:rPr>
      <w:rFonts w:ascii="Times New Roman" w:eastAsia="黑体" w:hAnsi="Times New Roman"/>
    </w:rPr>
  </w:style>
  <w:style w:type="paragraph" w:styleId="CommentSubject">
    <w:name w:val="annotation subject"/>
    <w:basedOn w:val="CommentText"/>
    <w:next w:val="CommentText"/>
    <w:link w:val="Char0"/>
    <w:rPr>
      <w:b/>
      <w:bCs/>
      <w:kern w:val="2"/>
      <w:sz w:val="21"/>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18"/>
      <w:szCs w:val="18"/>
    </w:rPr>
  </w:style>
  <w:style w:type="paragraph" w:styleId="DocumentMap">
    <w:name w:val="Document Map"/>
    <w:basedOn w:val="Normal"/>
    <w:pPr>
      <w:shd w:val="clear" w:color="auto" w:fill="000080"/>
    </w:pPr>
  </w:style>
  <w:style w:type="paragraph" w:customStyle="1" w:styleId="2">
    <w:name w:val="正文2级标题"/>
    <w:basedOn w:val="Heading3"/>
    <w:next w:val="Normal"/>
    <w:qFormat/>
    <w:pPr>
      <w:spacing w:before="0" w:beforeLines="0" w:after="0" w:afterLines="0" w:line="240" w:lineRule="auto"/>
      <w:ind w:firstLine="200" w:firstLineChars="200"/>
    </w:pPr>
    <w:rPr>
      <w:rFonts w:ascii="Times New Roman" w:hAnsi="Times New Roman"/>
      <w:sz w:val="28"/>
    </w:rPr>
  </w:style>
  <w:style w:type="paragraph" w:customStyle="1" w:styleId="20">
    <w:name w:val="正文2"/>
    <w:basedOn w:val="Normal"/>
    <w:pPr>
      <w:widowControl/>
      <w:spacing w:line="360" w:lineRule="auto"/>
      <w:ind w:firstLine="480"/>
      <w:jc w:val="left"/>
    </w:pPr>
    <w:rPr>
      <w:rFonts w:ascii="Verdana" w:hAnsi="Verdana"/>
      <w:kern w:val="0"/>
      <w:lang w:eastAsia="en-US"/>
    </w:rPr>
  </w:style>
  <w:style w:type="paragraph" w:customStyle="1" w:styleId="a0">
    <w:name w:val="文档正文"/>
    <w:basedOn w:val="Normal"/>
    <w:qFormat/>
    <w:pPr>
      <w:spacing w:line="360" w:lineRule="auto"/>
      <w:ind w:firstLine="200" w:firstLineChars="200"/>
    </w:pPr>
    <w:rPr>
      <w:rFonts w:ascii="Times New Roman" w:hAnsi="Times New Roman"/>
      <w:sz w:val="24"/>
      <w:szCs w:val="24"/>
    </w:rPr>
  </w:style>
  <w:style w:type="paragraph" w:customStyle="1" w:styleId="-0">
    <w:name w:val="表格内-居中"/>
    <w:basedOn w:val="Normal"/>
    <w:pPr>
      <w:jc w:val="center"/>
    </w:pPr>
    <w:rPr>
      <w:rFonts w:ascii="Times New Roman" w:hAnsi="Times New Roman"/>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yperlink" Target="https://d.book118.com/478141037035006034" TargetMode="External"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theme" Target="theme/theme1.xml" /><Relationship Id="rId66" Type="http://schemas.openxmlformats.org/officeDocument/2006/relationships/numbering" Target="numbering.xml" /><Relationship Id="rId67"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12</Pages>
  <Words>2694</Words>
  <Characters>15356</Characters>
  <Application>Microsoft Office Word</Application>
  <DocSecurity>0</DocSecurity>
  <Lines>127</Lines>
  <Paragraphs>36</Paragraphs>
  <ScaleCrop>false</ScaleCrop>
  <Company>sccc</Company>
  <LinksUpToDate>false</LinksUpToDate>
  <CharactersWithSpaces>18014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四川化工职业技术学院课程标准</dc:title>
  <dc:creator>杨迅</dc:creator>
  <cp:lastModifiedBy>Youjuke</cp:lastModifiedBy>
  <cp:revision>3</cp:revision>
  <dcterms:created xsi:type="dcterms:W3CDTF">2013-01-10T09:20:00Z</dcterms:created>
  <dcterms:modified xsi:type="dcterms:W3CDTF">2023-12-20T12:25:00Z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y fmtid="{D5CDD505-2E9C-101B-9397-08002B2CF9AE}" pid="3" name="KSORubyTemplateID">
    <vt:lpwstr>6</vt:lpwstr>
  </property>
</Properties>
</file>