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_Toc28984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三、铬铁筹建公司基本信息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_Toc7353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_Toc5769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(一)、铬铁项目选址原则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_Toc4502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_Toc32224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5" w:history="1">
        <w:r>
          <w:rPr>
            <w:rFonts w:ascii="仿宋" w:eastAsia="仿宋" w:hAnsi="仿宋" w:cs="仿宋" w:hint="eastAsia"/>
            <w:lang w:eastAsia="zh-CN"/>
          </w:rPr>
          <w:t>(五)、铬铁项目选址综合评价</w:t>
        </w:r>
        <w:r>
          <w:tab/>
        </w:r>
        <w:r>
          <w:fldChar w:fldCharType="begin"/>
        </w:r>
        <w:r>
          <w:instrText xml:space="preserve"> PAGEREF _Toc22105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(一)、铬铁项目背景分析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4" w:history="1">
        <w:r>
          <w:rPr>
            <w:rFonts w:ascii="仿宋" w:eastAsia="仿宋" w:hAnsi="仿宋" w:cs="仿宋" w:hint="eastAsia"/>
            <w:lang w:eastAsia="zh-CN"/>
          </w:rPr>
          <w:t>(二)、铬铁项目建设必要性分析</w:t>
        </w:r>
        <w:r>
          <w:tab/>
        </w:r>
        <w:r>
          <w:fldChar w:fldCharType="begin"/>
        </w:r>
        <w:r>
          <w:instrText xml:space="preserve"> PAGEREF _Toc27064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_Toc19584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_Toc21091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_Toc18278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八、铬铁项目经济效益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(三)、铬铁项目盈利能力分析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_Toc7247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_Toc18926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_Toc5360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_Toc8415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_Toc25029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(五)、铬铁项目总投资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_Toc10988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_Toc11601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_Toc6271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" w:history="1">
        <w:r>
          <w:rPr>
            <w:rFonts w:ascii="仿宋" w:eastAsia="仿宋" w:hAnsi="仿宋" w:cs="仿宋" w:hint="eastAsia"/>
            <w:lang w:eastAsia="zh-CN"/>
          </w:rPr>
          <w:t>(二)、合作铬铁项目</w:t>
        </w:r>
        <w:r>
          <w:tab/>
        </w:r>
        <w:r>
          <w:fldChar w:fldCharType="begin"/>
        </w:r>
        <w:r>
          <w:instrText xml:space="preserve"> PAGEREF _Toc2777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_Toc21825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_Toc11975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_Toc28691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_Toc5691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0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_Toc24270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_Toc10231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https://d.book118.com/485013333331011043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5013333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2023-12-29T08:11:00Z</dcterms:created>
  <dcterms:modified xsi:type="dcterms:W3CDTF">2023-12-29T08:11:25Z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EF2DE2F9508A4918A03542C96D34C6D2_11</vt:lpwstr>
  </property>
  <property fmtid="{D5CDD505-2E9C-101B-9397-08002B2CF9AE}" pid="3" name="KSOProductBuildVer">
    <vt:lpwstr>2052-12.1.0.16120</vt:lpwstr>
  </property>
</Properties>
</file>