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1"/>
        </w:rPr>
        <w:t>欧洲单一市场的城市化进程</w:t>
      </w: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spacing w:before="11"/>
        <w:ind w:left="0"/>
        <w:rPr>
          <w:rFonts w:ascii="Microsoft JhengHei"/>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151156</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spacing w:before="1"/>
        <w:ind w:left="0"/>
        <w:rPr>
          <w:rFonts w:ascii="Microsoft JhengHei"/>
          <w:b/>
          <w:sz w:val="14"/>
        </w:rPr>
      </w:pPr>
    </w:p>
    <w:sdt>
      <w:sdtPr>
        <w:id w:val="1653945877"/>
        <w:docPartObj>
          <w:docPartGallery w:val="Table of Contents"/>
          <w:docPartUnique/>
        </w:docPartObj>
      </w:sdtPr>
      <w:sdtContent>
        <w:p>
          <w:pPr>
            <w:pStyle w:val="TOC1"/>
            <w:tabs>
              <w:tab w:val="left" w:pos="1589"/>
              <w:tab w:val="right" w:leader="dot" w:pos="8415"/>
            </w:tabs>
            <w:spacing w:before="77"/>
            <w:rPr>
              <w:rFonts w:ascii="Times New Roman" w:eastAsia="Times New Roman"/>
            </w:rPr>
          </w:pPr>
          <w:r>
            <w:fldChar w:fldCharType="begin"/>
          </w:r>
          <w:r>
            <w:instrText xml:space="preserve">TOC \o "1-1" \h \z \u </w:instrText>
          </w:r>
          <w:r>
            <w:fldChar w:fldCharType="separate"/>
          </w:r>
          <w:hyperlink w:anchor="_bookmark0" w:history="1">
            <w:r>
              <w:t>第一部</w:t>
            </w:r>
            <w:r>
              <w:rPr>
                <w:spacing w:val="-10"/>
              </w:rPr>
              <w:t>分</w:t>
            </w:r>
            <w:r>
              <w:tab/>
              <w:t>欧洲单一市场的定义和特</w:t>
            </w:r>
            <w:r>
              <w:rPr>
                <w:spacing w:val="-10"/>
              </w:rPr>
              <w:t>点</w:t>
            </w:r>
            <w:r>
              <w:rPr>
                <w:rFonts w:ascii="Times New Roman" w:eastAsia="Times New Roman"/>
              </w:rPr>
              <w:tab/>
            </w:r>
            <w:r>
              <w:rPr>
                <w:rFonts w:ascii="Times New Roman" w:eastAsia="Times New Roman"/>
                <w:spacing w:val="-10"/>
              </w:rPr>
              <w:t>2</w:t>
            </w:r>
          </w:hyperlink>
        </w:p>
        <w:p>
          <w:pPr>
            <w:pStyle w:val="TOC1"/>
            <w:tabs>
              <w:tab w:val="left" w:pos="1589"/>
              <w:tab w:val="right" w:leader="dot" w:pos="8415"/>
            </w:tabs>
            <w:rPr>
              <w:rFonts w:ascii="Times New Roman" w:eastAsia="Times New Roman"/>
            </w:rPr>
          </w:pPr>
          <w:hyperlink w:anchor="_TOC_250006" w:history="1">
            <w:r>
              <w:t>第二部</w:t>
            </w:r>
            <w:r>
              <w:rPr>
                <w:spacing w:val="-10"/>
              </w:rPr>
              <w:t>分</w:t>
            </w:r>
            <w:r>
              <w:tab/>
              <w:t>城市化进程的基本原</w:t>
            </w:r>
            <w:r>
              <w:rPr>
                <w:spacing w:val="-10"/>
              </w:rPr>
              <w:t>理</w:t>
            </w:r>
            <w:r>
              <w:rPr>
                <w:rFonts w:ascii="Times New Roman" w:eastAsia="Times New Roman"/>
              </w:rPr>
              <w:tab/>
            </w:r>
            <w:r>
              <w:rPr>
                <w:rFonts w:ascii="Times New Roman" w:eastAsia="Times New Roman"/>
                <w:spacing w:val="-10"/>
              </w:rPr>
              <w:t>5</w:t>
            </w:r>
          </w:hyperlink>
        </w:p>
        <w:p>
          <w:pPr>
            <w:pStyle w:val="TOC1"/>
            <w:tabs>
              <w:tab w:val="left" w:pos="1589"/>
              <w:tab w:val="right" w:leader="dot" w:pos="8415"/>
            </w:tabs>
            <w:rPr>
              <w:rFonts w:ascii="Times New Roman" w:eastAsia="Times New Roman"/>
            </w:rPr>
          </w:pPr>
          <w:hyperlink w:anchor="_TOC_250005" w:history="1">
            <w:r>
              <w:t>第三部</w:t>
            </w:r>
            <w:r>
              <w:rPr>
                <w:spacing w:val="-10"/>
              </w:rPr>
              <w:t>分</w:t>
            </w:r>
            <w:r>
              <w:tab/>
              <w:t>欧洲单一市场与城市化的关</w:t>
            </w:r>
            <w:r>
              <w:rPr>
                <w:spacing w:val="-10"/>
              </w:rPr>
              <w:t>系</w:t>
            </w:r>
            <w:r>
              <w:rPr>
                <w:rFonts w:ascii="Times New Roman" w:eastAsia="Times New Roman"/>
              </w:rPr>
              <w:tab/>
            </w:r>
            <w:r>
              <w:rPr>
                <w:rFonts w:ascii="Times New Roman" w:eastAsia="Times New Roman"/>
                <w:spacing w:val="-10"/>
              </w:rPr>
              <w:t>8</w:t>
            </w:r>
          </w:hyperlink>
        </w:p>
        <w:p>
          <w:pPr>
            <w:pStyle w:val="TOC1"/>
            <w:tabs>
              <w:tab w:val="left" w:pos="1589"/>
              <w:tab w:val="right" w:leader="dot" w:pos="8415"/>
            </w:tabs>
            <w:rPr>
              <w:rFonts w:ascii="Times New Roman" w:eastAsia="Times New Roman"/>
            </w:rPr>
          </w:pPr>
          <w:hyperlink w:anchor="_TOC_250004" w:history="1">
            <w:r>
              <w:t>第四部</w:t>
            </w:r>
            <w:r>
              <w:rPr>
                <w:spacing w:val="-10"/>
              </w:rPr>
              <w:t>分</w:t>
            </w:r>
            <w:r>
              <w:tab/>
              <w:t>欧洲单一市场的城市化程度分</w:t>
            </w:r>
            <w:r>
              <w:rPr>
                <w:spacing w:val="-10"/>
              </w:rPr>
              <w:t>析</w:t>
            </w:r>
            <w:r>
              <w:rPr>
                <w:rFonts w:ascii="Times New Roman" w:eastAsia="Times New Roman"/>
              </w:rPr>
              <w:tab/>
            </w:r>
            <w:r>
              <w:rPr>
                <w:rFonts w:ascii="Times New Roman" w:eastAsia="Times New Roman"/>
                <w:spacing w:val="-5"/>
              </w:rPr>
              <w:t>12</w:t>
            </w:r>
          </w:hyperlink>
        </w:p>
        <w:p>
          <w:pPr>
            <w:pStyle w:val="TOC1"/>
            <w:tabs>
              <w:tab w:val="left" w:pos="1589"/>
              <w:tab w:val="right" w:leader="dot" w:pos="8415"/>
            </w:tabs>
            <w:rPr>
              <w:rFonts w:ascii="Times New Roman" w:eastAsia="Times New Roman"/>
            </w:rPr>
          </w:pPr>
          <w:hyperlink w:anchor="_TOC_250003" w:history="1">
            <w:r>
              <w:t>第五部</w:t>
            </w:r>
            <w:r>
              <w:rPr>
                <w:spacing w:val="-10"/>
              </w:rPr>
              <w:t>分</w:t>
            </w:r>
            <w:r>
              <w:tab/>
              <w:t>影响欧洲单一市场城市化的因</w:t>
            </w:r>
            <w:r>
              <w:rPr>
                <w:spacing w:val="-10"/>
              </w:rPr>
              <w:t>素</w:t>
            </w:r>
            <w:r>
              <w:rPr>
                <w:rFonts w:ascii="Times New Roman" w:eastAsia="Times New Roman"/>
              </w:rPr>
              <w:tab/>
            </w:r>
            <w:r>
              <w:rPr>
                <w:rFonts w:ascii="Times New Roman" w:eastAsia="Times New Roman"/>
                <w:spacing w:val="-5"/>
              </w:rPr>
              <w:t>15</w:t>
            </w:r>
          </w:hyperlink>
        </w:p>
        <w:p>
          <w:pPr>
            <w:pStyle w:val="TOC1"/>
            <w:tabs>
              <w:tab w:val="left" w:pos="1589"/>
              <w:tab w:val="right" w:leader="dot" w:pos="8415"/>
            </w:tabs>
            <w:rPr>
              <w:rFonts w:ascii="Times New Roman" w:eastAsia="Times New Roman"/>
            </w:rPr>
          </w:pPr>
          <w:hyperlink w:anchor="_TOC_250002" w:history="1">
            <w:r>
              <w:t>第六部</w:t>
            </w:r>
            <w:r>
              <w:rPr>
                <w:spacing w:val="-10"/>
              </w:rPr>
              <w:t>分</w:t>
            </w:r>
            <w:r>
              <w:tab/>
              <w:t>欧洲单一市场城市化的优势和挑</w:t>
            </w:r>
            <w:r>
              <w:rPr>
                <w:spacing w:val="-10"/>
              </w:rPr>
              <w:t>战</w:t>
            </w:r>
            <w:r>
              <w:rPr>
                <w:rFonts w:ascii="Times New Roman" w:eastAsia="Times New Roman"/>
              </w:rPr>
              <w:tab/>
            </w:r>
            <w:r>
              <w:rPr>
                <w:rFonts w:ascii="Times New Roman" w:eastAsia="Times New Roman"/>
                <w:spacing w:val="-5"/>
              </w:rPr>
              <w:t>19</w:t>
            </w:r>
          </w:hyperlink>
        </w:p>
        <w:p>
          <w:pPr>
            <w:pStyle w:val="TOC1"/>
            <w:tabs>
              <w:tab w:val="left" w:pos="1589"/>
              <w:tab w:val="right" w:leader="dot" w:pos="8415"/>
            </w:tabs>
            <w:spacing w:before="354"/>
            <w:rPr>
              <w:rFonts w:ascii="Times New Roman" w:eastAsia="Times New Roman"/>
            </w:rPr>
          </w:pPr>
          <w:hyperlink w:anchor="_TOC_250001" w:history="1">
            <w:r>
              <w:t>第七部</w:t>
            </w:r>
            <w:r>
              <w:rPr>
                <w:spacing w:val="-10"/>
              </w:rPr>
              <w:t>分</w:t>
            </w:r>
            <w:r>
              <w:tab/>
              <w:t>欧洲单一市场城市化的未来趋</w:t>
            </w:r>
            <w:r>
              <w:rPr>
                <w:spacing w:val="-10"/>
              </w:rPr>
              <w:t>势</w:t>
            </w:r>
            <w:r>
              <w:rPr>
                <w:rFonts w:ascii="Times New Roman" w:eastAsia="Times New Roman"/>
              </w:rPr>
              <w:tab/>
            </w:r>
            <w:r>
              <w:rPr>
                <w:rFonts w:ascii="Times New Roman" w:eastAsia="Times New Roman"/>
                <w:spacing w:val="-5"/>
              </w:rPr>
              <w:t>22</w:t>
            </w:r>
          </w:hyperlink>
        </w:p>
        <w:p>
          <w:pPr>
            <w:pStyle w:val="TOC1"/>
            <w:tabs>
              <w:tab w:val="left" w:pos="1589"/>
              <w:tab w:val="right" w:leader="dot" w:pos="8415"/>
            </w:tabs>
            <w:rPr>
              <w:rFonts w:ascii="Times New Roman" w:eastAsia="Times New Roman"/>
            </w:rPr>
          </w:pPr>
          <w:hyperlink w:anchor="_TOC_250000" w:history="1">
            <w:r>
              <w:t>第八部</w:t>
            </w:r>
            <w:r>
              <w:rPr>
                <w:spacing w:val="-10"/>
              </w:rPr>
              <w:t>分</w:t>
            </w:r>
            <w:r>
              <w:tab/>
              <w:t>对欧洲单一市场城市化的建议和对</w:t>
            </w:r>
            <w:r>
              <w:rPr>
                <w:spacing w:val="-10"/>
              </w:rPr>
              <w:t>策</w:t>
            </w:r>
            <w:r>
              <w:rPr>
                <w:rFonts w:ascii="Times New Roman" w:eastAsia="Times New Roman"/>
              </w:rPr>
              <w:tab/>
            </w:r>
            <w:r>
              <w:rPr>
                <w:rFonts w:ascii="Times New Roman" w:eastAsia="Times New Roman"/>
                <w:spacing w:val="-5"/>
              </w:rPr>
              <w:t>25</w:t>
            </w:r>
          </w:hyperlink>
        </w:p>
        <w:p>
          <w:r>
            <w:fldChar w:fldCharType="end"/>
          </w:r>
        </w:p>
      </w:sdtContent>
    </w:sdt>
    <w:p>
      <w:pPr>
        <w:spacing w:after="0"/>
        <w:sectPr>
          <w:footerReference w:type="default" r:id="rId5"/>
          <w:type w:val="continuous"/>
          <w:pgSz w:w="11910" w:h="16840"/>
          <w:pgMar w:top="1480" w:right="1280" w:bottom="1380" w:left="1680" w:header="0" w:footer="1198"/>
          <w:pgNumType w:start="1"/>
          <w:cols w:space="708"/>
        </w:sectPr>
      </w:pPr>
    </w:p>
    <w:p>
      <w:pPr>
        <w:pStyle w:val="Heading1"/>
        <w:tabs>
          <w:tab w:val="left" w:pos="1725"/>
        </w:tabs>
        <w:spacing w:before="0" w:line="514" w:lineRule="exact"/>
      </w:pPr>
      <w:bookmarkStart w:id="0" w:name="_bookmark0"/>
      <w:bookmarkEnd w:id="0"/>
      <w:r>
        <w:t>第</w:t>
      </w:r>
      <w:r>
        <w:t>一</w:t>
      </w:r>
      <w:r>
        <w:t>部</w:t>
      </w:r>
      <w:r>
        <w:rPr>
          <w:spacing w:val="-10"/>
        </w:rPr>
        <w:t>分</w:t>
      </w:r>
      <w:r>
        <w:tab/>
        <w:t>欧</w:t>
      </w:r>
      <w:r>
        <w:t>洲</w:t>
      </w:r>
      <w:r>
        <w:t>单</w:t>
      </w:r>
      <w:r>
        <w:t>一</w:t>
      </w:r>
      <w:r>
        <w:t>市</w:t>
      </w:r>
      <w:r>
        <w:t>场</w:t>
      </w:r>
      <w:r>
        <w:t>的</w:t>
      </w:r>
      <w:r>
        <w:t>定</w:t>
      </w:r>
      <w:r>
        <w:t>义</w:t>
      </w:r>
      <w:r>
        <w:t>和</w:t>
      </w:r>
      <w:r>
        <w:t>特</w:t>
      </w:r>
      <w:r>
        <w:rPr>
          <w:spacing w:val="-10"/>
        </w:rPr>
        <w:t>点</w:t>
      </w:r>
    </w:p>
    <w:p>
      <w:pPr>
        <w:pStyle w:val="BodyText"/>
        <w:spacing w:before="15" w:after="1"/>
        <w:ind w:left="0"/>
        <w:rPr>
          <w:rFonts w:ascii="Microsoft JhengHei"/>
          <w:b/>
          <w:sz w:val="15"/>
        </w:rPr>
      </w:pPr>
    </w:p>
    <w:tbl>
      <w:tblPr>
        <w:tblStyle w:val="TableNormal0"/>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ind w:left="108"/>
              <w:rPr>
                <w:sz w:val="21"/>
              </w:rPr>
            </w:pPr>
            <w:r>
              <w:rPr>
                <w:spacing w:val="-4"/>
                <w:sz w:val="21"/>
              </w:rPr>
              <w:t>关键词</w:t>
            </w:r>
          </w:p>
        </w:tc>
        <w:tc>
          <w:tcPr>
            <w:tcW w:w="5527" w:type="dxa"/>
          </w:tcPr>
          <w:p>
            <w:pPr>
              <w:pStyle w:val="TableParagraph"/>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807"/>
          <w:jc w:val="left"/>
        </w:trPr>
        <w:tc>
          <w:tcPr>
            <w:tcW w:w="2769" w:type="dxa"/>
          </w:tcPr>
          <w:p>
            <w:pPr>
              <w:pStyle w:val="TableParagraph"/>
              <w:ind w:left="108"/>
              <w:rPr>
                <w:sz w:val="21"/>
              </w:rPr>
            </w:pPr>
            <w:r>
              <w:rPr>
                <w:spacing w:val="-2"/>
                <w:sz w:val="21"/>
              </w:rPr>
              <w:t>欧洲单一市场的定义</w:t>
            </w:r>
          </w:p>
        </w:tc>
        <w:tc>
          <w:tcPr>
            <w:tcW w:w="5527" w:type="dxa"/>
          </w:tcPr>
          <w:p>
            <w:pPr>
              <w:pStyle w:val="TableParagraph"/>
              <w:numPr>
                <w:ilvl w:val="0"/>
                <w:numId w:val="57"/>
              </w:numPr>
              <w:tabs>
                <w:tab w:val="left" w:pos="371"/>
              </w:tabs>
              <w:spacing w:before="23" w:after="0" w:line="278" w:lineRule="auto"/>
              <w:ind w:left="107" w:right="96" w:firstLine="0"/>
              <w:jc w:val="both"/>
              <w:rPr>
                <w:sz w:val="21"/>
              </w:rPr>
            </w:pPr>
            <w:r>
              <w:rPr>
                <w:spacing w:val="-2"/>
                <w:sz w:val="21"/>
              </w:rPr>
              <w:t>欧洲单一市场是指在欧洲联盟内部，消除了所有贸易壁</w:t>
            </w:r>
            <w:r>
              <w:rPr>
                <w:spacing w:val="-2"/>
                <w:sz w:val="21"/>
              </w:rPr>
              <w:t>垒和限制，实现了货物、服务、人员和资本的自由流动的</w:t>
            </w:r>
            <w:r>
              <w:rPr>
                <w:spacing w:val="-4"/>
                <w:sz w:val="21"/>
              </w:rPr>
              <w:t>市场。</w:t>
            </w:r>
          </w:p>
          <w:p>
            <w:pPr>
              <w:pStyle w:val="TableParagraph"/>
              <w:numPr>
                <w:ilvl w:val="0"/>
                <w:numId w:val="57"/>
              </w:numPr>
              <w:tabs>
                <w:tab w:val="left" w:pos="476"/>
              </w:tabs>
              <w:spacing w:before="0" w:after="0" w:line="278" w:lineRule="auto"/>
              <w:ind w:left="107" w:right="96" w:firstLine="0"/>
              <w:jc w:val="both"/>
              <w:rPr>
                <w:sz w:val="21"/>
              </w:rPr>
            </w:pPr>
            <w:r>
              <w:rPr>
                <w:spacing w:val="-7"/>
                <w:sz w:val="21"/>
              </w:rPr>
              <w:t>这个市场的目标是通过促进竞争和提高效率，为消费者</w:t>
            </w:r>
            <w:r>
              <w:rPr>
                <w:spacing w:val="-2"/>
                <w:sz w:val="21"/>
              </w:rPr>
              <w:t>提供更好的产品和服务，为企业提供更大的市场和更多的</w:t>
            </w:r>
            <w:r>
              <w:rPr>
                <w:spacing w:val="-2"/>
                <w:sz w:val="21"/>
              </w:rPr>
              <w:t>商业机会。</w:t>
            </w:r>
          </w:p>
          <w:p>
            <w:pPr>
              <w:pStyle w:val="TableParagraph"/>
              <w:numPr>
                <w:ilvl w:val="0"/>
                <w:numId w:val="57"/>
              </w:numPr>
              <w:tabs>
                <w:tab w:val="left" w:pos="476"/>
              </w:tabs>
              <w:spacing w:before="0" w:after="0" w:line="278" w:lineRule="auto"/>
              <w:ind w:left="107" w:right="96" w:firstLine="0"/>
              <w:jc w:val="both"/>
              <w:rPr>
                <w:sz w:val="21"/>
              </w:rPr>
            </w:pPr>
            <w:r>
              <w:rPr>
                <w:spacing w:val="-7"/>
                <w:sz w:val="21"/>
              </w:rPr>
              <w:t>欧洲单一市场是欧洲一体化进程的重要组成部分，是欧</w:t>
            </w:r>
            <w:r>
              <w:rPr>
                <w:spacing w:val="-2"/>
                <w:sz w:val="21"/>
              </w:rPr>
              <w:t>洲联盟的核心经济政策之一。</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9" w:type="dxa"/>
          </w:tcPr>
          <w:p>
            <w:pPr>
              <w:pStyle w:val="TableParagraph"/>
              <w:ind w:left="108"/>
              <w:rPr>
                <w:sz w:val="21"/>
              </w:rPr>
            </w:pPr>
            <w:r>
              <w:rPr>
                <w:spacing w:val="-2"/>
                <w:sz w:val="21"/>
              </w:rPr>
              <w:t>欧洲单一市场的特点</w:t>
            </w:r>
          </w:p>
        </w:tc>
        <w:tc>
          <w:tcPr>
            <w:tcW w:w="5527" w:type="dxa"/>
          </w:tcPr>
          <w:p>
            <w:pPr>
              <w:pStyle w:val="TableParagraph"/>
              <w:numPr>
                <w:ilvl w:val="0"/>
                <w:numId w:val="56"/>
              </w:numPr>
              <w:tabs>
                <w:tab w:val="left" w:pos="371"/>
              </w:tabs>
              <w:spacing w:before="23" w:after="0" w:line="278" w:lineRule="auto"/>
              <w:ind w:left="107" w:right="96" w:firstLine="0"/>
              <w:jc w:val="both"/>
              <w:rPr>
                <w:sz w:val="21"/>
              </w:rPr>
            </w:pPr>
            <w:r>
              <w:rPr>
                <w:spacing w:val="-2"/>
                <w:sz w:val="21"/>
              </w:rPr>
              <w:t>欧洲单一市场的最大特点是市场的无边界性，即在这个</w:t>
            </w:r>
            <w:r>
              <w:rPr>
                <w:spacing w:val="-2"/>
                <w:sz w:val="21"/>
              </w:rPr>
              <w:t>市场中，货物、服务、人员和资本可以自由流动，不受任</w:t>
            </w:r>
            <w:r>
              <w:rPr>
                <w:spacing w:val="-2"/>
                <w:sz w:val="21"/>
              </w:rPr>
              <w:t>何地理、政治和经济的限制。</w:t>
            </w:r>
          </w:p>
          <w:p>
            <w:pPr>
              <w:pStyle w:val="TableParagraph"/>
              <w:numPr>
                <w:ilvl w:val="0"/>
                <w:numId w:val="56"/>
              </w:numPr>
              <w:tabs>
                <w:tab w:val="left" w:pos="476"/>
              </w:tabs>
              <w:spacing w:before="0" w:after="0" w:line="278" w:lineRule="auto"/>
              <w:ind w:left="107" w:right="96" w:firstLine="0"/>
              <w:jc w:val="both"/>
              <w:rPr>
                <w:sz w:val="21"/>
              </w:rPr>
            </w:pPr>
            <w:r>
              <w:rPr>
                <w:spacing w:val="-7"/>
                <w:sz w:val="21"/>
              </w:rPr>
              <w:t>欧洲单一市场的另一个特点是市场的公平性，即在这个</w:t>
            </w:r>
            <w:r>
              <w:rPr>
                <w:spacing w:val="-2"/>
                <w:sz w:val="21"/>
              </w:rPr>
              <w:t>市场中，所有的企业都有平等的竞争机会，不受规模、国</w:t>
            </w:r>
            <w:r>
              <w:rPr>
                <w:spacing w:val="-2"/>
                <w:sz w:val="21"/>
              </w:rPr>
              <w:t>籍、行业等因素的影响。</w:t>
            </w:r>
          </w:p>
          <w:p>
            <w:pPr>
              <w:pStyle w:val="TableParagraph"/>
              <w:numPr>
                <w:ilvl w:val="0"/>
                <w:numId w:val="56"/>
              </w:numPr>
              <w:tabs>
                <w:tab w:val="left" w:pos="476"/>
              </w:tabs>
              <w:spacing w:before="0" w:after="0" w:line="278" w:lineRule="auto"/>
              <w:ind w:left="107" w:right="96" w:firstLine="0"/>
              <w:jc w:val="both"/>
              <w:rPr>
                <w:sz w:val="21"/>
              </w:rPr>
            </w:pPr>
            <w:r>
              <w:rPr>
                <w:spacing w:val="-7"/>
                <w:sz w:val="21"/>
              </w:rPr>
              <w:t>欧洲单一市场的第三个特点是市场的透明性，即在这个</w:t>
            </w:r>
            <w:r>
              <w:rPr>
                <w:spacing w:val="-2"/>
                <w:sz w:val="21"/>
              </w:rPr>
              <w:t>市场中，所有的信息都是公开的，消费者和企业都可以获</w:t>
            </w:r>
            <w:r>
              <w:rPr>
                <w:spacing w:val="-2"/>
                <w:sz w:val="21"/>
              </w:rPr>
              <w:t>取到准确、及时的信息。</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ind w:left="108"/>
              <w:rPr>
                <w:sz w:val="21"/>
              </w:rPr>
            </w:pPr>
            <w:r>
              <w:rPr>
                <w:spacing w:val="-1"/>
                <w:sz w:val="21"/>
              </w:rPr>
              <w:t>欧洲单一市场的形成过程</w:t>
            </w:r>
          </w:p>
        </w:tc>
        <w:tc>
          <w:tcPr>
            <w:tcW w:w="5527" w:type="dxa"/>
          </w:tcPr>
          <w:p>
            <w:pPr>
              <w:pStyle w:val="TableParagraph"/>
              <w:numPr>
                <w:ilvl w:val="0"/>
                <w:numId w:val="55"/>
              </w:numPr>
              <w:tabs>
                <w:tab w:val="left" w:pos="371"/>
              </w:tabs>
              <w:spacing w:before="23" w:after="0" w:line="278" w:lineRule="auto"/>
              <w:ind w:left="107" w:right="96" w:firstLine="0"/>
              <w:jc w:val="left"/>
              <w:rPr>
                <w:sz w:val="21"/>
              </w:rPr>
            </w:pPr>
            <w:r>
              <w:rPr>
                <w:spacing w:val="-2"/>
                <w:sz w:val="21"/>
              </w:rPr>
              <w:t>欧洲单一市场的形成是一个逐步的过程，从最初的自由</w:t>
            </w:r>
            <w:r>
              <w:rPr>
                <w:spacing w:val="-2"/>
                <w:sz w:val="21"/>
              </w:rPr>
              <w:t>贸易区到关税同盟，再到现在的完全统一的市场。</w:t>
            </w:r>
          </w:p>
          <w:p>
            <w:pPr>
              <w:pStyle w:val="TableParagraph"/>
              <w:numPr>
                <w:ilvl w:val="0"/>
                <w:numId w:val="55"/>
              </w:numPr>
              <w:tabs>
                <w:tab w:val="left" w:pos="475"/>
                <w:tab w:val="left" w:pos="476"/>
              </w:tabs>
              <w:spacing w:before="0" w:after="0" w:line="278" w:lineRule="auto"/>
              <w:ind w:left="107" w:right="-15" w:firstLine="0"/>
              <w:jc w:val="left"/>
              <w:rPr>
                <w:sz w:val="21"/>
              </w:rPr>
            </w:pPr>
            <w:r>
              <w:rPr>
                <w:spacing w:val="-2"/>
                <w:sz w:val="21"/>
              </w:rPr>
              <w:t>这个过程中，欧洲联盟采取了一系列的政策和措施，如</w:t>
            </w:r>
            <w:r>
              <w:rPr>
                <w:spacing w:val="-2"/>
                <w:sz w:val="21"/>
              </w:rPr>
              <w:t>降低关税、取消配额、统一标准等，以促进市场的一体化。</w:t>
            </w:r>
          </w:p>
          <w:p>
            <w:pPr>
              <w:pStyle w:val="TableParagraph"/>
              <w:numPr>
                <w:ilvl w:val="0"/>
                <w:numId w:val="55"/>
              </w:numPr>
              <w:tabs>
                <w:tab w:val="left" w:pos="475"/>
                <w:tab w:val="left" w:pos="476"/>
              </w:tabs>
              <w:spacing w:before="0" w:after="0" w:line="278" w:lineRule="auto"/>
              <w:ind w:left="107" w:right="96" w:firstLine="0"/>
              <w:jc w:val="left"/>
              <w:rPr>
                <w:sz w:val="21"/>
              </w:rPr>
            </w:pPr>
            <w:r>
              <w:rPr>
                <w:spacing w:val="-12"/>
                <w:sz w:val="21"/>
              </w:rPr>
              <w:t>欧洲单一市场的形成，不仅促进了欧洲内部的经济一体</w:t>
            </w:r>
            <w:r>
              <w:rPr>
                <w:spacing w:val="-2"/>
                <w:sz w:val="21"/>
              </w:rPr>
              <w:t>化，也对全球经济产生了深远的影响。</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ind w:left="108"/>
              <w:rPr>
                <w:sz w:val="21"/>
              </w:rPr>
            </w:pPr>
            <w:r>
              <w:rPr>
                <w:spacing w:val="-2"/>
                <w:sz w:val="21"/>
              </w:rPr>
              <w:t>欧洲单一市场的影响</w:t>
            </w:r>
          </w:p>
        </w:tc>
        <w:tc>
          <w:tcPr>
            <w:tcW w:w="5527" w:type="dxa"/>
          </w:tcPr>
          <w:p>
            <w:pPr>
              <w:pStyle w:val="TableParagraph"/>
              <w:numPr>
                <w:ilvl w:val="0"/>
                <w:numId w:val="54"/>
              </w:numPr>
              <w:tabs>
                <w:tab w:val="left" w:pos="371"/>
              </w:tabs>
              <w:spacing w:before="23" w:after="0" w:line="278" w:lineRule="auto"/>
              <w:ind w:left="107" w:right="96" w:firstLine="0"/>
              <w:jc w:val="left"/>
              <w:rPr>
                <w:sz w:val="21"/>
              </w:rPr>
            </w:pPr>
            <w:r>
              <w:rPr>
                <w:spacing w:val="-2"/>
                <w:sz w:val="21"/>
              </w:rPr>
              <w:t>欧洲单一市场对欧洲内部的影响主要体现在促进了经济</w:t>
            </w:r>
            <w:r>
              <w:rPr>
                <w:spacing w:val="-2"/>
                <w:sz w:val="21"/>
              </w:rPr>
              <w:t>的一体化，提高了经济的效率和竞争力。</w:t>
            </w:r>
          </w:p>
          <w:p>
            <w:pPr>
              <w:pStyle w:val="TableParagraph"/>
              <w:numPr>
                <w:ilvl w:val="0"/>
                <w:numId w:val="54"/>
              </w:numPr>
              <w:tabs>
                <w:tab w:val="left" w:pos="484"/>
                <w:tab w:val="left" w:pos="485"/>
              </w:tabs>
              <w:spacing w:before="0" w:after="0" w:line="278" w:lineRule="auto"/>
              <w:ind w:left="107" w:right="96" w:firstLine="0"/>
              <w:jc w:val="left"/>
              <w:rPr>
                <w:sz w:val="21"/>
              </w:rPr>
            </w:pPr>
            <w:r>
              <w:rPr>
                <w:spacing w:val="-2"/>
                <w:sz w:val="21"/>
              </w:rPr>
              <w:t>欧洲单一市场对外部的影响主要体现在扩大了欧洲的</w:t>
            </w:r>
            <w:r>
              <w:rPr>
                <w:spacing w:val="-2"/>
                <w:sz w:val="21"/>
              </w:rPr>
              <w:t>市场规模，吸引了更多的外国投资。</w:t>
            </w:r>
          </w:p>
          <w:p>
            <w:pPr>
              <w:pStyle w:val="TableParagraph"/>
              <w:numPr>
                <w:ilvl w:val="0"/>
                <w:numId w:val="54"/>
              </w:numPr>
              <w:tabs>
                <w:tab w:val="left" w:pos="475"/>
                <w:tab w:val="left" w:pos="476"/>
              </w:tabs>
              <w:spacing w:before="0" w:after="0" w:line="278" w:lineRule="auto"/>
              <w:ind w:left="107" w:right="96" w:firstLine="0"/>
              <w:jc w:val="left"/>
              <w:rPr>
                <w:sz w:val="21"/>
              </w:rPr>
            </w:pPr>
            <w:r>
              <w:rPr>
                <w:spacing w:val="-7"/>
                <w:sz w:val="21"/>
              </w:rPr>
              <w:t>欧洲单一市场还对全球的经济格局产生了影响，推动了</w:t>
            </w:r>
            <w:r>
              <w:rPr>
                <w:spacing w:val="-2"/>
                <w:sz w:val="21"/>
              </w:rPr>
              <w:t>全球化的进程。</w:t>
            </w:r>
          </w:p>
        </w:tc>
      </w:tr>
      <w:tr>
        <w:tblPrEx>
          <w:tblW w:w="0" w:type="auto"/>
          <w:jc w:val="left"/>
          <w:tblInd w:w="130" w:type="dxa"/>
          <w:tblLayout w:type="fixed"/>
          <w:tblCellMar>
            <w:top w:w="0" w:type="dxa"/>
            <w:left w:w="0" w:type="dxa"/>
            <w:bottom w:w="0" w:type="dxa"/>
            <w:right w:w="0" w:type="dxa"/>
          </w:tblCellMar>
          <w:tblLook w:val="01E0"/>
        </w:tblPrEx>
        <w:trPr>
          <w:trHeight w:val="1871"/>
          <w:jc w:val="left"/>
        </w:trPr>
        <w:tc>
          <w:tcPr>
            <w:tcW w:w="2769" w:type="dxa"/>
          </w:tcPr>
          <w:p>
            <w:pPr>
              <w:pStyle w:val="TableParagraph"/>
              <w:ind w:left="108"/>
              <w:rPr>
                <w:sz w:val="21"/>
              </w:rPr>
            </w:pPr>
            <w:r>
              <w:rPr>
                <w:spacing w:val="-2"/>
                <w:sz w:val="21"/>
              </w:rPr>
              <w:t>欧洲单一市场的挑战</w:t>
            </w:r>
          </w:p>
        </w:tc>
        <w:tc>
          <w:tcPr>
            <w:tcW w:w="5527" w:type="dxa"/>
          </w:tcPr>
          <w:p>
            <w:pPr>
              <w:pStyle w:val="TableParagraph"/>
              <w:numPr>
                <w:ilvl w:val="0"/>
                <w:numId w:val="53"/>
              </w:numPr>
              <w:tabs>
                <w:tab w:val="left" w:pos="371"/>
              </w:tabs>
              <w:spacing w:before="23" w:after="0" w:line="278" w:lineRule="auto"/>
              <w:ind w:left="107" w:right="96" w:firstLine="0"/>
              <w:jc w:val="left"/>
              <w:rPr>
                <w:sz w:val="21"/>
              </w:rPr>
            </w:pPr>
            <w:r>
              <w:rPr>
                <w:spacing w:val="-2"/>
                <w:sz w:val="21"/>
              </w:rPr>
              <w:t>欧洲单一市场面临的主要挑战是如何在保持市场一体化</w:t>
            </w:r>
            <w:r>
              <w:rPr>
                <w:spacing w:val="-2"/>
                <w:sz w:val="21"/>
              </w:rPr>
              <w:t>的同时，保护各国的文化和社会多样性。</w:t>
            </w:r>
          </w:p>
          <w:p>
            <w:pPr>
              <w:pStyle w:val="TableParagraph"/>
              <w:numPr>
                <w:ilvl w:val="0"/>
                <w:numId w:val="53"/>
              </w:numPr>
              <w:tabs>
                <w:tab w:val="left" w:pos="475"/>
                <w:tab w:val="left" w:pos="476"/>
              </w:tabs>
              <w:spacing w:before="0" w:after="0" w:line="278" w:lineRule="auto"/>
              <w:ind w:left="107" w:right="96" w:firstLine="0"/>
              <w:jc w:val="left"/>
              <w:rPr>
                <w:sz w:val="21"/>
              </w:rPr>
            </w:pPr>
            <w:r>
              <w:rPr>
                <w:spacing w:val="-8"/>
                <w:sz w:val="21"/>
              </w:rPr>
              <w:t>另一个挑战是如何在全球化的背景下，应对来自美国和</w:t>
            </w:r>
            <w:r>
              <w:rPr>
                <w:spacing w:val="-2"/>
                <w:sz w:val="21"/>
              </w:rPr>
              <w:t>中国等其他大国的竞争压力。</w:t>
            </w:r>
          </w:p>
          <w:p>
            <w:pPr>
              <w:pStyle w:val="TableParagraph"/>
              <w:numPr>
                <w:ilvl w:val="0"/>
                <w:numId w:val="53"/>
              </w:numPr>
              <w:tabs>
                <w:tab w:val="left" w:pos="475"/>
                <w:tab w:val="left" w:pos="476"/>
              </w:tabs>
              <w:spacing w:before="0" w:after="0" w:line="269" w:lineRule="exact"/>
              <w:ind w:left="475" w:right="0" w:hanging="369"/>
              <w:jc w:val="left"/>
              <w:rPr>
                <w:sz w:val="21"/>
              </w:rPr>
            </w:pPr>
            <w:r>
              <w:rPr>
                <w:spacing w:val="-7"/>
                <w:sz w:val="21"/>
              </w:rPr>
              <w:t>欧洲单一市场还需要解决一些实际问题，如如何处理跨</w:t>
            </w:r>
          </w:p>
          <w:p>
            <w:pPr>
              <w:pStyle w:val="TableParagraph"/>
              <w:spacing w:before="43"/>
              <w:rPr>
                <w:sz w:val="21"/>
              </w:rPr>
            </w:pPr>
            <w:r>
              <w:rPr>
                <w:spacing w:val="-1"/>
                <w:sz w:val="21"/>
              </w:rPr>
              <w:t>国企业的税收问题，如何保护消费者的权益等。</w:t>
            </w:r>
          </w:p>
        </w:tc>
      </w:tr>
      <w:tr>
        <w:tblPrEx>
          <w:tblW w:w="0" w:type="auto"/>
          <w:jc w:val="left"/>
          <w:tblInd w:w="130" w:type="dxa"/>
          <w:tblLayout w:type="fixed"/>
          <w:tblCellMar>
            <w:top w:w="0" w:type="dxa"/>
            <w:left w:w="0" w:type="dxa"/>
            <w:bottom w:w="0" w:type="dxa"/>
            <w:right w:w="0" w:type="dxa"/>
          </w:tblCellMar>
          <w:tblLook w:val="01E0"/>
        </w:tblPrEx>
        <w:trPr>
          <w:trHeight w:val="311"/>
          <w:jc w:val="left"/>
        </w:trPr>
        <w:tc>
          <w:tcPr>
            <w:tcW w:w="2769" w:type="dxa"/>
          </w:tcPr>
          <w:p>
            <w:pPr>
              <w:pStyle w:val="TableParagraph"/>
              <w:spacing w:before="0"/>
              <w:ind w:left="0"/>
              <w:rPr>
                <w:rFonts w:ascii="Times New Roman"/>
                <w:sz w:val="20"/>
              </w:rPr>
            </w:pPr>
          </w:p>
        </w:tc>
        <w:tc>
          <w:tcPr>
            <w:tcW w:w="5527" w:type="dxa"/>
          </w:tcPr>
          <w:p>
            <w:pPr>
              <w:pStyle w:val="TableParagraph"/>
              <w:spacing w:before="0"/>
              <w:ind w:left="0"/>
              <w:rPr>
                <w:rFonts w:ascii="Times New Roman"/>
                <w:sz w:val="20"/>
              </w:rPr>
            </w:pPr>
          </w:p>
        </w:tc>
      </w:tr>
    </w:tbl>
    <w:p>
      <w:pPr>
        <w:spacing w:after="0"/>
        <w:rPr>
          <w:rFonts w:ascii="Times New Roman"/>
          <w:sz w:val="20"/>
        </w:rPr>
        <w:sectPr>
          <w:footerReference w:type="default" r:id="rId6"/>
          <w:pgSz w:w="11910" w:h="16840"/>
          <w:pgMar w:top="1500" w:right="1280" w:bottom="1380" w:left="1680" w:header="0" w:footer="1198"/>
          <w:pgNumType w:start="2"/>
          <w:cols w:space="708"/>
        </w:sectPr>
      </w:pPr>
    </w:p>
    <w:p>
      <w:pPr>
        <w:pStyle w:val="BodyText"/>
        <w:spacing w:before="37"/>
        <w:ind w:left="680"/>
      </w:pPr>
      <w:r>
        <w:rPr>
          <w:spacing w:val="-1"/>
        </w:rPr>
        <w:t>欧洲单一市场的定义和特点</w:t>
      </w:r>
    </w:p>
    <w:p>
      <w:pPr>
        <w:pStyle w:val="BodyText"/>
        <w:spacing w:before="8"/>
        <w:ind w:left="0"/>
        <w:rPr>
          <w:sz w:val="20"/>
        </w:rPr>
      </w:pPr>
    </w:p>
    <w:p>
      <w:pPr>
        <w:pStyle w:val="BodyText"/>
        <w:spacing w:before="1" w:line="417" w:lineRule="auto"/>
        <w:ind w:right="238"/>
      </w:pPr>
      <w:r>
        <w:t>欧洲单一市场（European Single Market</w:t>
      </w:r>
      <w:r>
        <w:rPr>
          <w:spacing w:val="-11"/>
        </w:rPr>
        <w:t xml:space="preserve">，简称 </w:t>
      </w:r>
      <w:r>
        <w:t>ESM）是指欧洲联盟</w:t>
      </w:r>
      <w:r>
        <w:t xml:space="preserve"> </w:t>
      </w:r>
      <w:r>
        <w:rPr>
          <w:spacing w:val="-2"/>
        </w:rPr>
        <w:t>内部实行的一种经济一体化政策，旨在消除成员国之间的贸易壁垒，</w:t>
      </w:r>
      <w:r>
        <w:rPr>
          <w:spacing w:val="-2"/>
        </w:rPr>
        <w:t>实现货物、服务、资本和劳动力的自由流动。欧洲单一市场的建立是</w:t>
      </w:r>
      <w:r>
        <w:rPr>
          <w:spacing w:val="-2"/>
        </w:rPr>
        <w:t xml:space="preserve"> </w:t>
      </w:r>
      <w:r>
        <w:rPr>
          <w:spacing w:val="-9"/>
        </w:rPr>
        <w:t>欧洲一体化进程的重要组成部分，对于推动欧洲经济的发展和提高欧</w:t>
      </w:r>
      <w:r>
        <w:rPr>
          <w:spacing w:val="-2"/>
        </w:rPr>
        <w:t xml:space="preserve"> </w:t>
      </w:r>
      <w:r>
        <w:rPr>
          <w:spacing w:val="-2"/>
        </w:rPr>
        <w:t>洲国家在全球竞争中的地位具有重要意义。</w:t>
      </w:r>
    </w:p>
    <w:p>
      <w:pPr>
        <w:pStyle w:val="BodyText"/>
        <w:spacing w:line="358" w:lineRule="exact"/>
      </w:pPr>
      <w:r>
        <w:rPr>
          <w:spacing w:val="-1"/>
        </w:rPr>
        <w:t>一、欧洲单一市场的定义</w:t>
      </w:r>
    </w:p>
    <w:p>
      <w:pPr>
        <w:pStyle w:val="BodyText"/>
        <w:spacing w:before="8"/>
        <w:ind w:left="0"/>
        <w:rPr>
          <w:sz w:val="20"/>
        </w:rPr>
      </w:pPr>
    </w:p>
    <w:p>
      <w:pPr>
        <w:pStyle w:val="BodyText"/>
        <w:spacing w:before="1" w:line="417" w:lineRule="auto"/>
        <w:ind w:right="378"/>
      </w:pPr>
      <w:r>
        <w:rPr>
          <w:spacing w:val="-5"/>
        </w:rPr>
        <w:t>欧洲单一市场是一个没有内部边界的市场，其核心目标是实现四大自</w:t>
      </w:r>
      <w:r>
        <w:rPr>
          <w:spacing w:val="-17"/>
        </w:rPr>
        <w:t>由：货物自由流通、服务自由提供、资本自由流动和劳动力自由流动。</w:t>
      </w:r>
      <w:r>
        <w:rPr>
          <w:spacing w:val="5"/>
        </w:rPr>
        <w:t>这四大自由使得欧洲联盟内部的企业和个人可以在一个统一的市场中进行生产、交易和消费，从而提高效率、降低成本并促进创新。 二、欧洲单一市场的特点</w:t>
      </w:r>
    </w:p>
    <w:p>
      <w:pPr>
        <w:pStyle w:val="ListParagraph"/>
        <w:numPr>
          <w:ilvl w:val="0"/>
          <w:numId w:val="52"/>
        </w:numPr>
        <w:tabs>
          <w:tab w:val="left" w:pos="540"/>
        </w:tabs>
        <w:spacing w:before="0" w:after="0" w:line="358" w:lineRule="exact"/>
        <w:ind w:left="540" w:right="0" w:hanging="420"/>
        <w:jc w:val="left"/>
        <w:rPr>
          <w:sz w:val="28"/>
        </w:rPr>
      </w:pPr>
      <w:r>
        <w:rPr>
          <w:spacing w:val="-2"/>
          <w:sz w:val="28"/>
        </w:rPr>
        <w:t>无关税壁垒</w:t>
      </w:r>
    </w:p>
    <w:p>
      <w:pPr>
        <w:pStyle w:val="BodyText"/>
        <w:spacing w:before="8"/>
        <w:ind w:left="0"/>
        <w:rPr>
          <w:sz w:val="20"/>
        </w:rPr>
      </w:pPr>
    </w:p>
    <w:p>
      <w:pPr>
        <w:pStyle w:val="BodyText"/>
        <w:spacing w:before="1" w:line="417" w:lineRule="auto"/>
        <w:ind w:right="518"/>
        <w:jc w:val="both"/>
      </w:pPr>
      <w:r>
        <w:rPr>
          <w:spacing w:val="-6"/>
        </w:rPr>
        <w:t>欧洲单一市场的最显著特点是消除了成员国之间的关税壁垒。根据欧</w:t>
      </w:r>
      <w:r>
        <w:rPr>
          <w:spacing w:val="-4"/>
        </w:rPr>
        <w:t>盟的关税同盟原则，成员国之间实行零关税政策，非成员国则需要支</w:t>
      </w:r>
      <w:r>
        <w:rPr>
          <w:spacing w:val="-12"/>
        </w:rPr>
        <w:t>付一定的关税。这使得欧洲联盟内部的企业可以更容易地进入其他国</w:t>
      </w:r>
      <w:r>
        <w:rPr>
          <w:spacing w:val="-2"/>
        </w:rPr>
        <w:t>家市场，同时也降低了消费者购买进口商品的成本。</w:t>
      </w:r>
    </w:p>
    <w:p>
      <w:pPr>
        <w:pStyle w:val="ListParagraph"/>
        <w:numPr>
          <w:ilvl w:val="0"/>
          <w:numId w:val="52"/>
        </w:numPr>
        <w:tabs>
          <w:tab w:val="left" w:pos="540"/>
        </w:tabs>
        <w:spacing w:before="0" w:after="0" w:line="358" w:lineRule="exact"/>
        <w:ind w:left="540" w:right="0" w:hanging="420"/>
        <w:jc w:val="both"/>
        <w:rPr>
          <w:sz w:val="28"/>
        </w:rPr>
      </w:pPr>
      <w:r>
        <w:rPr>
          <w:spacing w:val="-2"/>
          <w:sz w:val="28"/>
        </w:rPr>
        <w:t>统一的法规和标准</w:t>
      </w:r>
    </w:p>
    <w:p>
      <w:pPr>
        <w:pStyle w:val="BodyText"/>
        <w:spacing w:before="8"/>
        <w:ind w:left="0"/>
        <w:rPr>
          <w:sz w:val="20"/>
        </w:rPr>
      </w:pPr>
    </w:p>
    <w:p>
      <w:pPr>
        <w:pStyle w:val="BodyText"/>
        <w:spacing w:before="1" w:line="417" w:lineRule="auto"/>
        <w:ind w:right="285"/>
      </w:pPr>
      <w:r>
        <w:rPr>
          <w:spacing w:val="-12"/>
        </w:rPr>
        <w:t>为了实现欧洲单一市场的目标，欧盟制定了一系列统一的法规和标准，</w:t>
      </w:r>
      <w:r>
        <w:rPr>
          <w:spacing w:val="-2"/>
        </w:rPr>
        <w:t>涵盖了产品质量、安全、环保等方面。这些法规和标准适用于所有成</w:t>
      </w:r>
      <w:r>
        <w:rPr>
          <w:spacing w:val="-2"/>
        </w:rPr>
        <w:t>员国，有助于确保产品和服务在欧洲范围内的公平竞争。</w:t>
      </w:r>
    </w:p>
    <w:p>
      <w:pPr>
        <w:pStyle w:val="ListParagraph"/>
        <w:numPr>
          <w:ilvl w:val="0"/>
          <w:numId w:val="52"/>
        </w:numPr>
        <w:tabs>
          <w:tab w:val="left" w:pos="540"/>
        </w:tabs>
        <w:spacing w:before="0" w:after="0" w:line="358" w:lineRule="exact"/>
        <w:ind w:left="540" w:right="0" w:hanging="420"/>
        <w:jc w:val="left"/>
        <w:rPr>
          <w:sz w:val="28"/>
        </w:rPr>
      </w:pPr>
      <w:r>
        <w:rPr>
          <w:spacing w:val="-2"/>
          <w:sz w:val="28"/>
        </w:rPr>
        <w:t>简化的行政程序</w:t>
      </w:r>
    </w:p>
    <w:p>
      <w:pPr>
        <w:spacing w:after="0" w:line="358" w:lineRule="exact"/>
        <w:jc w:val="left"/>
        <w:rPr>
          <w:sz w:val="28"/>
        </w:rPr>
        <w:sectPr>
          <w:footerReference w:type="default" r:id="rId7"/>
          <w:pgSz w:w="11910" w:h="16840"/>
          <w:pgMar w:top="1520" w:right="1280" w:bottom="1380" w:left="1680" w:header="0" w:footer="1198"/>
          <w:pgNumType w:start="3"/>
          <w:cols w:space="708"/>
        </w:sectPr>
      </w:pPr>
    </w:p>
    <w:p>
      <w:pPr>
        <w:pStyle w:val="BodyText"/>
        <w:spacing w:before="37" w:line="417" w:lineRule="auto"/>
        <w:ind w:right="238"/>
      </w:pPr>
      <w:r>
        <w:rPr>
          <w:spacing w:val="-7"/>
        </w:rPr>
        <w:t>欧洲单一市场还致力于简化成员国之间的行政程序，以便企业和个人</w:t>
      </w:r>
      <w:r>
        <w:rPr>
          <w:spacing w:val="-2"/>
        </w:rPr>
        <w:t xml:space="preserve"> </w:t>
      </w:r>
      <w:r>
        <w:rPr>
          <w:spacing w:val="-2"/>
        </w:rPr>
        <w:t>更便捷地开展业务。例如，欧洲联盟推行了一种名为“一站式服务”</w:t>
      </w:r>
      <w:r>
        <w:rPr>
          <w:spacing w:val="-2"/>
        </w:rPr>
        <w:t>的制度，允许企业在一个国家完成注册、许可等手续后，在其他成员</w:t>
      </w:r>
      <w:r>
        <w:rPr>
          <w:spacing w:val="-2"/>
        </w:rPr>
        <w:t xml:space="preserve"> </w:t>
      </w:r>
      <w:r>
        <w:rPr>
          <w:spacing w:val="-2"/>
        </w:rPr>
        <w:t>国自动获得相应的权益。</w:t>
      </w:r>
    </w:p>
    <w:p>
      <w:pPr>
        <w:pStyle w:val="ListParagraph"/>
        <w:numPr>
          <w:ilvl w:val="0"/>
          <w:numId w:val="52"/>
        </w:numPr>
        <w:tabs>
          <w:tab w:val="left" w:pos="540"/>
        </w:tabs>
        <w:spacing w:before="0" w:after="0" w:line="358" w:lineRule="exact"/>
        <w:ind w:left="540" w:right="0" w:hanging="420"/>
        <w:jc w:val="left"/>
        <w:rPr>
          <w:sz w:val="28"/>
        </w:rPr>
      </w:pPr>
      <w:r>
        <w:rPr>
          <w:spacing w:val="-2"/>
          <w:sz w:val="28"/>
        </w:rPr>
        <w:t>自由的劳动力流动</w:t>
      </w:r>
    </w:p>
    <w:p>
      <w:pPr>
        <w:pStyle w:val="BodyText"/>
        <w:spacing w:before="8"/>
        <w:ind w:left="0"/>
        <w:rPr>
          <w:sz w:val="20"/>
        </w:rPr>
      </w:pPr>
    </w:p>
    <w:p>
      <w:pPr>
        <w:pStyle w:val="BodyText"/>
        <w:spacing w:before="1" w:line="417" w:lineRule="auto"/>
        <w:ind w:right="518"/>
        <w:jc w:val="both"/>
      </w:pPr>
      <w:r>
        <w:rPr>
          <w:spacing w:val="-7"/>
        </w:rPr>
        <w:t>欧洲单一市场鼓励成员国之间的劳动力自由流动，使得企业和个人可</w:t>
      </w:r>
      <w:r>
        <w:rPr>
          <w:spacing w:val="-4"/>
        </w:rPr>
        <w:t>以更容易地在欧盟范围内寻找工作和发展机会。此外，欧洲联盟还实</w:t>
      </w:r>
      <w:r>
        <w:rPr>
          <w:spacing w:val="-4"/>
        </w:rPr>
        <w:t>施了一系列关于社会保障、税收等方面的统一规定，以保障劳动者的</w:t>
      </w:r>
      <w:r>
        <w:rPr>
          <w:spacing w:val="-4"/>
        </w:rPr>
        <w:t>权益。</w:t>
      </w:r>
    </w:p>
    <w:p>
      <w:pPr>
        <w:pStyle w:val="ListParagraph"/>
        <w:numPr>
          <w:ilvl w:val="0"/>
          <w:numId w:val="52"/>
        </w:numPr>
        <w:tabs>
          <w:tab w:val="left" w:pos="540"/>
        </w:tabs>
        <w:spacing w:before="0" w:after="0" w:line="358" w:lineRule="exact"/>
        <w:ind w:left="540" w:right="0" w:hanging="420"/>
        <w:jc w:val="both"/>
        <w:rPr>
          <w:sz w:val="28"/>
        </w:rPr>
      </w:pPr>
      <w:r>
        <w:rPr>
          <w:spacing w:val="-2"/>
          <w:sz w:val="28"/>
        </w:rPr>
        <w:t>资本市场的统一</w:t>
      </w:r>
    </w:p>
    <w:p>
      <w:pPr>
        <w:pStyle w:val="BodyText"/>
        <w:spacing w:before="8"/>
        <w:ind w:left="0"/>
        <w:rPr>
          <w:sz w:val="20"/>
        </w:rPr>
      </w:pPr>
    </w:p>
    <w:p>
      <w:pPr>
        <w:pStyle w:val="BodyText"/>
        <w:spacing w:before="1" w:line="417" w:lineRule="auto"/>
        <w:ind w:right="518"/>
        <w:jc w:val="both"/>
      </w:pPr>
      <w:r>
        <w:rPr>
          <w:spacing w:val="-8"/>
        </w:rPr>
        <w:t>欧洲单一市场还包括资本市场的统一，即实现资本在欧盟范围内的自</w:t>
      </w:r>
      <w:r>
        <w:rPr>
          <w:spacing w:val="-4"/>
        </w:rPr>
        <w:t>由流动。为此，欧洲联盟制定了一系列关于金融市场的规定，包括银</w:t>
      </w:r>
      <w:r>
        <w:rPr>
          <w:spacing w:val="-2"/>
        </w:rPr>
        <w:t>行监管、证券交易等方面，以确保资本市场的稳定和透明。</w:t>
      </w:r>
    </w:p>
    <w:p>
      <w:pPr>
        <w:pStyle w:val="ListParagraph"/>
        <w:numPr>
          <w:ilvl w:val="0"/>
          <w:numId w:val="52"/>
        </w:numPr>
        <w:tabs>
          <w:tab w:val="left" w:pos="540"/>
        </w:tabs>
        <w:spacing w:before="0" w:after="0" w:line="358" w:lineRule="exact"/>
        <w:ind w:left="540" w:right="0" w:hanging="420"/>
        <w:jc w:val="both"/>
        <w:rPr>
          <w:sz w:val="28"/>
        </w:rPr>
      </w:pPr>
      <w:r>
        <w:rPr>
          <w:spacing w:val="-2"/>
          <w:sz w:val="28"/>
        </w:rPr>
        <w:t>服务领域的开放</w:t>
      </w:r>
    </w:p>
    <w:p>
      <w:pPr>
        <w:pStyle w:val="BodyText"/>
        <w:spacing w:before="8"/>
        <w:ind w:left="0"/>
        <w:rPr>
          <w:sz w:val="20"/>
        </w:rPr>
      </w:pPr>
    </w:p>
    <w:p>
      <w:pPr>
        <w:pStyle w:val="BodyText"/>
        <w:spacing w:before="1" w:line="417" w:lineRule="auto"/>
        <w:ind w:right="518"/>
        <w:jc w:val="both"/>
      </w:pPr>
      <w:r>
        <w:rPr>
          <w:spacing w:val="-4"/>
        </w:rPr>
        <w:t>除了货物领域外，欧洲单一市场还致力于在服务领域实现自由化。欧</w:t>
      </w:r>
      <w:r>
        <w:rPr>
          <w:spacing w:val="-4"/>
        </w:rPr>
        <w:t>盟通过签署一系列双边和多边协议，逐步开放了金融服务、电信、交</w:t>
      </w:r>
      <w:r>
        <w:rPr>
          <w:spacing w:val="-4"/>
        </w:rPr>
        <w:t>通等领域的市场。这些举措有助于提高服务质量和效率，降低消费者</w:t>
      </w:r>
      <w:r>
        <w:rPr>
          <w:spacing w:val="-4"/>
        </w:rPr>
        <w:t>的成本。</w:t>
      </w:r>
    </w:p>
    <w:p>
      <w:pPr>
        <w:pStyle w:val="BodyText"/>
        <w:spacing w:line="417" w:lineRule="auto"/>
        <w:ind w:right="518"/>
        <w:jc w:val="both"/>
      </w:pPr>
      <w:r>
        <w:rPr>
          <w:spacing w:val="-4"/>
        </w:rPr>
        <w:t>总之，欧洲单一市场是一个涵盖货物、服务、资本和劳动力等多个领</w:t>
      </w:r>
      <w:r>
        <w:rPr>
          <w:spacing w:val="-4"/>
        </w:rPr>
        <w:t>域的统一市场，其核心目标是消除成员国之间的贸易壁垒，实现四大</w:t>
      </w:r>
      <w:r>
        <w:rPr>
          <w:spacing w:val="-13"/>
        </w:rPr>
        <w:t>自由。欧洲单一市场的建立对于推动欧洲经济的发展和提高欧洲国家</w:t>
      </w:r>
      <w:r>
        <w:rPr>
          <w:spacing w:val="-5"/>
        </w:rPr>
        <w:t>在全球竞争中的地位具有重要意义。然而，欧洲单一市场的发展也面</w:t>
      </w:r>
    </w:p>
    <w:p>
      <w:pPr>
        <w:spacing w:after="0" w:line="417" w:lineRule="auto"/>
        <w:jc w:val="both"/>
        <w:sectPr>
          <w:footerReference w:type="default" r:id="rId8"/>
          <w:pgSz w:w="11910" w:h="16840"/>
          <w:pgMar w:top="1520" w:right="1280" w:bottom="1380" w:left="1680" w:header="0" w:footer="1198"/>
          <w:pgNumType w:start="4"/>
          <w:cols w:space="708"/>
        </w:sectPr>
      </w:pPr>
    </w:p>
    <w:p>
      <w:pPr>
        <w:pStyle w:val="BodyText"/>
        <w:spacing w:before="37" w:line="417" w:lineRule="auto"/>
        <w:ind w:right="518"/>
        <w:jc w:val="both"/>
      </w:pPr>
      <w:r>
        <w:rPr>
          <w:spacing w:val="-4"/>
        </w:rPr>
        <w:t>临着一些挑战，如如何平衡各成员国的利益、如何应对全球化带来的</w:t>
      </w:r>
      <w:r>
        <w:rPr>
          <w:spacing w:val="-4"/>
        </w:rPr>
        <w:t>竞争压力等。因此，欧洲联盟需要不断完善相关政策和措施，以实现</w:t>
      </w:r>
      <w:r>
        <w:rPr>
          <w:spacing w:val="-2"/>
        </w:rPr>
        <w:t>欧洲单一市场的持续发展。</w:t>
      </w:r>
    </w:p>
    <w:p>
      <w:pPr>
        <w:pStyle w:val="BodyText"/>
        <w:ind w:left="0"/>
      </w:pPr>
    </w:p>
    <w:p>
      <w:pPr>
        <w:pStyle w:val="Heading1"/>
        <w:spacing w:before="237"/>
        <w:jc w:val="both"/>
      </w:pPr>
      <w:bookmarkStart w:id="1" w:name="_TOC_250006"/>
      <w:r>
        <w:t>第二部分</w:t>
      </w:r>
      <w:r>
        <w:rPr>
          <w:spacing w:val="213"/>
          <w:w w:val="150"/>
        </w:rPr>
        <w:t xml:space="preserve"> </w:t>
      </w:r>
      <w:bookmarkEnd w:id="1"/>
      <w:r>
        <w:rPr>
          <w:spacing w:val="-1"/>
        </w:rPr>
        <w:t>城市化进程的基本原理</w:t>
      </w:r>
    </w:p>
    <w:p>
      <w:pPr>
        <w:pStyle w:val="BodyText"/>
        <w:spacing w:before="16"/>
        <w:ind w:left="0"/>
        <w:rPr>
          <w:rFonts w:ascii="Microsoft JhengHei"/>
          <w:b/>
          <w:sz w:val="15"/>
        </w:rPr>
      </w:pPr>
    </w:p>
    <w:tbl>
      <w:tblPr>
        <w:tblStyle w:val="TableNormal1"/>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ind w:left="108"/>
              <w:rPr>
                <w:sz w:val="21"/>
              </w:rPr>
            </w:pPr>
            <w:r>
              <w:rPr>
                <w:spacing w:val="-4"/>
                <w:sz w:val="21"/>
              </w:rPr>
              <w:t>关键词</w:t>
            </w:r>
          </w:p>
        </w:tc>
        <w:tc>
          <w:tcPr>
            <w:tcW w:w="5527" w:type="dxa"/>
          </w:tcPr>
          <w:p>
            <w:pPr>
              <w:pStyle w:val="TableParagraph"/>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9" w:type="dxa"/>
          </w:tcPr>
          <w:p>
            <w:pPr>
              <w:pStyle w:val="TableParagraph"/>
              <w:ind w:left="108"/>
              <w:rPr>
                <w:sz w:val="21"/>
              </w:rPr>
            </w:pPr>
            <w:r>
              <w:rPr>
                <w:spacing w:val="-1"/>
                <w:sz w:val="21"/>
              </w:rPr>
              <w:t>城市化进程的定义和起源</w:t>
            </w:r>
          </w:p>
        </w:tc>
        <w:tc>
          <w:tcPr>
            <w:tcW w:w="5527" w:type="dxa"/>
          </w:tcPr>
          <w:p>
            <w:pPr>
              <w:pStyle w:val="TableParagraph"/>
              <w:numPr>
                <w:ilvl w:val="0"/>
                <w:numId w:val="51"/>
              </w:numPr>
              <w:tabs>
                <w:tab w:val="left" w:pos="371"/>
              </w:tabs>
              <w:spacing w:before="23" w:after="0" w:line="278" w:lineRule="auto"/>
              <w:ind w:left="107" w:right="96" w:firstLine="0"/>
              <w:jc w:val="left"/>
              <w:rPr>
                <w:sz w:val="21"/>
              </w:rPr>
            </w:pPr>
            <w:r>
              <w:rPr>
                <w:spacing w:val="-2"/>
                <w:sz w:val="21"/>
              </w:rPr>
              <w:t>城市化进程是指人口从农村向城市转移的过程，这个过</w:t>
            </w:r>
            <w:r>
              <w:rPr>
                <w:spacing w:val="-2"/>
                <w:sz w:val="21"/>
              </w:rPr>
              <w:t>程通常伴随着工业化和现代化的进程。</w:t>
            </w:r>
          </w:p>
          <w:p>
            <w:pPr>
              <w:pStyle w:val="TableParagraph"/>
              <w:numPr>
                <w:ilvl w:val="0"/>
                <w:numId w:val="51"/>
              </w:numPr>
              <w:tabs>
                <w:tab w:val="left" w:pos="475"/>
                <w:tab w:val="left" w:pos="476"/>
              </w:tabs>
              <w:spacing w:before="0" w:after="0" w:line="278" w:lineRule="auto"/>
              <w:ind w:left="107" w:right="96" w:firstLine="0"/>
              <w:jc w:val="left"/>
              <w:rPr>
                <w:sz w:val="21"/>
              </w:rPr>
            </w:pPr>
            <w:r>
              <w:rPr>
                <w:spacing w:val="-7"/>
                <w:sz w:val="21"/>
              </w:rPr>
              <w:t>城市化进程的起源可以追溯到工业革命时期，随着工业</w:t>
            </w:r>
            <w:r>
              <w:rPr>
                <w:spacing w:val="-2"/>
                <w:sz w:val="21"/>
              </w:rPr>
              <w:t>生产的发展，人们开始从农村迁移到城市寻找工作机会。</w:t>
            </w:r>
          </w:p>
          <w:p>
            <w:pPr>
              <w:pStyle w:val="TableParagraph"/>
              <w:numPr>
                <w:ilvl w:val="0"/>
                <w:numId w:val="51"/>
              </w:numPr>
              <w:tabs>
                <w:tab w:val="left" w:pos="475"/>
                <w:tab w:val="left" w:pos="476"/>
              </w:tabs>
              <w:spacing w:before="0" w:after="0" w:line="278" w:lineRule="auto"/>
              <w:ind w:left="107" w:right="95" w:firstLine="0"/>
              <w:jc w:val="left"/>
              <w:rPr>
                <w:sz w:val="21"/>
              </w:rPr>
            </w:pPr>
            <w:r>
              <w:rPr>
                <w:spacing w:val="-6"/>
                <w:sz w:val="21"/>
              </w:rPr>
              <w:t>城市化进程不仅改变了人口分布，也对社会、经济和文</w:t>
            </w:r>
            <w:r>
              <w:rPr>
                <w:spacing w:val="-2"/>
                <w:sz w:val="21"/>
              </w:rPr>
              <w:t>化产生了深远影响。</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ind w:left="108"/>
              <w:rPr>
                <w:sz w:val="21"/>
              </w:rPr>
            </w:pPr>
            <w:r>
              <w:rPr>
                <w:spacing w:val="-2"/>
                <w:sz w:val="21"/>
              </w:rPr>
              <w:t>城市化进程的驱动力</w:t>
            </w:r>
          </w:p>
        </w:tc>
        <w:tc>
          <w:tcPr>
            <w:tcW w:w="5527" w:type="dxa"/>
          </w:tcPr>
          <w:p>
            <w:pPr>
              <w:pStyle w:val="TableParagraph"/>
              <w:numPr>
                <w:ilvl w:val="0"/>
                <w:numId w:val="50"/>
              </w:numPr>
              <w:tabs>
                <w:tab w:val="left" w:pos="371"/>
              </w:tabs>
              <w:spacing w:before="23" w:after="0" w:line="278" w:lineRule="auto"/>
              <w:ind w:left="107" w:right="96" w:firstLine="0"/>
              <w:jc w:val="left"/>
              <w:rPr>
                <w:sz w:val="21"/>
              </w:rPr>
            </w:pPr>
            <w:r>
              <w:rPr>
                <w:spacing w:val="-2"/>
                <w:sz w:val="21"/>
              </w:rPr>
              <w:t>城市化进程的主要驱动力是经济发展和社会进步，城市</w:t>
            </w:r>
            <w:r>
              <w:rPr>
                <w:spacing w:val="-2"/>
                <w:sz w:val="21"/>
              </w:rPr>
              <w:t>提供了更多的就业机会和更好的生活条件。</w:t>
            </w:r>
          </w:p>
          <w:p>
            <w:pPr>
              <w:pStyle w:val="TableParagraph"/>
              <w:numPr>
                <w:ilvl w:val="0"/>
                <w:numId w:val="50"/>
              </w:numPr>
              <w:tabs>
                <w:tab w:val="left" w:pos="475"/>
                <w:tab w:val="left" w:pos="476"/>
              </w:tabs>
              <w:spacing w:before="0" w:after="0" w:line="278" w:lineRule="auto"/>
              <w:ind w:left="107" w:right="96" w:firstLine="0"/>
              <w:jc w:val="left"/>
              <w:rPr>
                <w:sz w:val="21"/>
              </w:rPr>
            </w:pPr>
            <w:r>
              <w:rPr>
                <w:spacing w:val="-7"/>
                <w:sz w:val="21"/>
              </w:rPr>
              <w:t>技术进步也是推动城市化进程的重要因素，例如交通技</w:t>
            </w:r>
            <w:r>
              <w:rPr>
                <w:spacing w:val="-2"/>
                <w:sz w:val="21"/>
              </w:rPr>
              <w:t>术的发展使得人们更容易迁移到城市。</w:t>
            </w:r>
          </w:p>
          <w:p>
            <w:pPr>
              <w:pStyle w:val="TableParagraph"/>
              <w:numPr>
                <w:ilvl w:val="0"/>
                <w:numId w:val="50"/>
              </w:numPr>
              <w:tabs>
                <w:tab w:val="left" w:pos="475"/>
                <w:tab w:val="left" w:pos="476"/>
              </w:tabs>
              <w:spacing w:before="0" w:after="0" w:line="278" w:lineRule="auto"/>
              <w:ind w:left="107" w:right="96" w:firstLine="0"/>
              <w:jc w:val="left"/>
              <w:rPr>
                <w:sz w:val="21"/>
              </w:rPr>
            </w:pPr>
            <w:r>
              <w:rPr>
                <w:spacing w:val="-9"/>
                <w:sz w:val="21"/>
              </w:rPr>
              <w:t>政策因素也会影响城市化进程，例如政府的城市化政策</w:t>
            </w:r>
            <w:r>
              <w:rPr>
                <w:spacing w:val="-4"/>
                <w:sz w:val="21"/>
              </w:rPr>
              <w:t>和规划。</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ind w:left="108"/>
              <w:rPr>
                <w:sz w:val="21"/>
              </w:rPr>
            </w:pPr>
            <w:r>
              <w:rPr>
                <w:spacing w:val="-2"/>
                <w:sz w:val="21"/>
              </w:rPr>
              <w:t>城市化进程的影响</w:t>
            </w:r>
          </w:p>
        </w:tc>
        <w:tc>
          <w:tcPr>
            <w:tcW w:w="5527" w:type="dxa"/>
          </w:tcPr>
          <w:p>
            <w:pPr>
              <w:pStyle w:val="TableParagraph"/>
              <w:numPr>
                <w:ilvl w:val="0"/>
                <w:numId w:val="49"/>
              </w:numPr>
              <w:tabs>
                <w:tab w:val="left" w:pos="371"/>
              </w:tabs>
              <w:spacing w:before="23" w:after="0" w:line="278" w:lineRule="auto"/>
              <w:ind w:left="107" w:right="96" w:firstLine="0"/>
              <w:jc w:val="left"/>
              <w:rPr>
                <w:sz w:val="21"/>
              </w:rPr>
            </w:pPr>
            <w:r>
              <w:rPr>
                <w:spacing w:val="-2"/>
                <w:sz w:val="21"/>
              </w:rPr>
              <w:t>城市化进程对经济发展有积极影响，城市是经济活动的</w:t>
            </w:r>
            <w:r>
              <w:rPr>
                <w:spacing w:val="-2"/>
                <w:sz w:val="21"/>
              </w:rPr>
              <w:t>中心，可以集中资源进行高效的生产和交易。</w:t>
            </w:r>
          </w:p>
          <w:p>
            <w:pPr>
              <w:pStyle w:val="TableParagraph"/>
              <w:numPr>
                <w:ilvl w:val="0"/>
                <w:numId w:val="49"/>
              </w:numPr>
              <w:tabs>
                <w:tab w:val="left" w:pos="475"/>
                <w:tab w:val="left" w:pos="476"/>
              </w:tabs>
              <w:spacing w:before="0" w:after="0" w:line="278" w:lineRule="auto"/>
              <w:ind w:left="107" w:right="95" w:firstLine="0"/>
              <w:jc w:val="left"/>
              <w:rPr>
                <w:sz w:val="21"/>
              </w:rPr>
            </w:pPr>
            <w:r>
              <w:rPr>
                <w:spacing w:val="-6"/>
                <w:sz w:val="21"/>
              </w:rPr>
              <w:t>城市化进程也会带来一些问题，如环境污染、交通拥堵</w:t>
            </w:r>
            <w:r>
              <w:rPr>
                <w:spacing w:val="-2"/>
                <w:sz w:val="21"/>
              </w:rPr>
              <w:t>和住房短缺等。</w:t>
            </w:r>
          </w:p>
          <w:p>
            <w:pPr>
              <w:pStyle w:val="TableParagraph"/>
              <w:numPr>
                <w:ilvl w:val="0"/>
                <w:numId w:val="49"/>
              </w:numPr>
              <w:tabs>
                <w:tab w:val="left" w:pos="475"/>
                <w:tab w:val="left" w:pos="476"/>
              </w:tabs>
              <w:spacing w:before="0" w:after="0" w:line="278" w:lineRule="auto"/>
              <w:ind w:left="107" w:right="96" w:firstLine="0"/>
              <w:jc w:val="left"/>
              <w:rPr>
                <w:sz w:val="21"/>
              </w:rPr>
            </w:pPr>
            <w:r>
              <w:rPr>
                <w:spacing w:val="-8"/>
                <w:sz w:val="21"/>
              </w:rPr>
              <w:t>城市化进程还会改变社会结构和文化，例如城市化会导</w:t>
            </w:r>
            <w:r>
              <w:rPr>
                <w:spacing w:val="-2"/>
                <w:sz w:val="21"/>
              </w:rPr>
              <w:t>致农村人口减少，城市文化的传播等。</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ind w:left="108"/>
              <w:rPr>
                <w:sz w:val="21"/>
              </w:rPr>
            </w:pPr>
            <w:r>
              <w:rPr>
                <w:spacing w:val="-1"/>
                <w:sz w:val="21"/>
              </w:rPr>
              <w:t>欧洲单一市场的城市化进程</w:t>
            </w:r>
          </w:p>
        </w:tc>
        <w:tc>
          <w:tcPr>
            <w:tcW w:w="5527" w:type="dxa"/>
          </w:tcPr>
          <w:p>
            <w:pPr>
              <w:pStyle w:val="TableParagraph"/>
              <w:numPr>
                <w:ilvl w:val="0"/>
                <w:numId w:val="48"/>
              </w:numPr>
              <w:tabs>
                <w:tab w:val="left" w:pos="371"/>
              </w:tabs>
              <w:spacing w:before="23" w:after="0" w:line="278" w:lineRule="auto"/>
              <w:ind w:left="107" w:right="-116" w:firstLine="0"/>
              <w:jc w:val="left"/>
              <w:rPr>
                <w:sz w:val="21"/>
              </w:rPr>
            </w:pPr>
            <w:r>
              <w:rPr>
                <w:spacing w:val="-2"/>
                <w:sz w:val="21"/>
              </w:rPr>
              <w:t>欧洲单一市场的城市化进程受到欧洲一体化政策的推动，</w:t>
            </w:r>
            <w:r>
              <w:rPr>
                <w:spacing w:val="-2"/>
                <w:sz w:val="21"/>
              </w:rPr>
              <w:t>欧洲一体化为城市发展提供了更大的市场和更多的机会。</w:t>
            </w:r>
          </w:p>
          <w:p>
            <w:pPr>
              <w:pStyle w:val="TableParagraph"/>
              <w:numPr>
                <w:ilvl w:val="0"/>
                <w:numId w:val="48"/>
              </w:numPr>
              <w:tabs>
                <w:tab w:val="left" w:pos="475"/>
                <w:tab w:val="left" w:pos="476"/>
              </w:tabs>
              <w:spacing w:before="0" w:after="0" w:line="278" w:lineRule="auto"/>
              <w:ind w:left="107" w:right="96" w:firstLine="0"/>
              <w:jc w:val="left"/>
              <w:rPr>
                <w:sz w:val="21"/>
              </w:rPr>
            </w:pPr>
            <w:r>
              <w:rPr>
                <w:spacing w:val="-7"/>
                <w:sz w:val="21"/>
              </w:rPr>
              <w:t>欧洲单一市场的城市化进程也面临一些挑战，如如何平</w:t>
            </w:r>
            <w:r>
              <w:rPr>
                <w:spacing w:val="-2"/>
                <w:sz w:val="21"/>
              </w:rPr>
              <w:t>衡不同地区的发展，如何处理城市化带来的问题等。</w:t>
            </w:r>
          </w:p>
          <w:p>
            <w:pPr>
              <w:pStyle w:val="TableParagraph"/>
              <w:numPr>
                <w:ilvl w:val="0"/>
                <w:numId w:val="48"/>
              </w:numPr>
              <w:tabs>
                <w:tab w:val="left" w:pos="484"/>
                <w:tab w:val="left" w:pos="485"/>
              </w:tabs>
              <w:spacing w:before="0" w:after="0" w:line="278" w:lineRule="auto"/>
              <w:ind w:left="107" w:right="96" w:firstLine="0"/>
              <w:jc w:val="left"/>
              <w:rPr>
                <w:sz w:val="21"/>
              </w:rPr>
            </w:pPr>
            <w:r>
              <w:rPr>
                <w:spacing w:val="-2"/>
                <w:sz w:val="21"/>
              </w:rPr>
              <w:t>欧洲单一市场的城市化进程为其他国家和地区提供了</w:t>
            </w:r>
            <w:r>
              <w:rPr>
                <w:spacing w:val="-2"/>
                <w:sz w:val="21"/>
              </w:rPr>
              <w:t>经验和启示。</w:t>
            </w:r>
          </w:p>
        </w:tc>
      </w:tr>
      <w:tr>
        <w:tblPrEx>
          <w:tblW w:w="0" w:type="auto"/>
          <w:jc w:val="left"/>
          <w:tblInd w:w="130" w:type="dxa"/>
          <w:tblLayout w:type="fixed"/>
          <w:tblCellMar>
            <w:top w:w="0" w:type="dxa"/>
            <w:left w:w="0" w:type="dxa"/>
            <w:bottom w:w="0" w:type="dxa"/>
            <w:right w:w="0" w:type="dxa"/>
          </w:tblCellMar>
          <w:tblLook w:val="01E0"/>
        </w:tblPrEx>
        <w:trPr>
          <w:trHeight w:val="1248"/>
          <w:jc w:val="left"/>
        </w:trPr>
        <w:tc>
          <w:tcPr>
            <w:tcW w:w="2769" w:type="dxa"/>
          </w:tcPr>
          <w:p>
            <w:pPr>
              <w:pStyle w:val="TableParagraph"/>
              <w:ind w:left="108"/>
              <w:rPr>
                <w:sz w:val="21"/>
              </w:rPr>
            </w:pPr>
            <w:r>
              <w:rPr>
                <w:spacing w:val="-1"/>
                <w:sz w:val="21"/>
              </w:rPr>
              <w:t>城市化进程的未来趋势</w:t>
            </w:r>
          </w:p>
        </w:tc>
        <w:tc>
          <w:tcPr>
            <w:tcW w:w="5527" w:type="dxa"/>
          </w:tcPr>
          <w:p>
            <w:pPr>
              <w:pStyle w:val="TableParagraph"/>
              <w:numPr>
                <w:ilvl w:val="0"/>
                <w:numId w:val="47"/>
              </w:numPr>
              <w:tabs>
                <w:tab w:val="left" w:pos="371"/>
              </w:tabs>
              <w:spacing w:before="23" w:after="0" w:line="278" w:lineRule="auto"/>
              <w:ind w:left="107" w:right="96" w:firstLine="0"/>
              <w:jc w:val="left"/>
              <w:rPr>
                <w:sz w:val="21"/>
              </w:rPr>
            </w:pPr>
            <w:r>
              <w:rPr>
                <w:spacing w:val="-2"/>
                <w:sz w:val="21"/>
              </w:rPr>
              <w:t>随着科技的发展，未来的城市化进程可能会更加快速和</w:t>
            </w:r>
            <w:r>
              <w:rPr>
                <w:spacing w:val="-2"/>
                <w:sz w:val="21"/>
              </w:rPr>
              <w:t>深入，例如数字化和智能化将深刻改变城市的面貌。</w:t>
            </w:r>
          </w:p>
          <w:p>
            <w:pPr>
              <w:pStyle w:val="TableParagraph"/>
              <w:numPr>
                <w:ilvl w:val="0"/>
                <w:numId w:val="47"/>
              </w:numPr>
              <w:tabs>
                <w:tab w:val="left" w:pos="475"/>
                <w:tab w:val="left" w:pos="476"/>
              </w:tabs>
              <w:spacing w:before="0" w:after="0" w:line="269" w:lineRule="exact"/>
              <w:ind w:left="475" w:right="0" w:hanging="369"/>
              <w:jc w:val="left"/>
              <w:rPr>
                <w:sz w:val="21"/>
              </w:rPr>
            </w:pPr>
            <w:r>
              <w:rPr>
                <w:spacing w:val="-6"/>
                <w:sz w:val="21"/>
              </w:rPr>
              <w:t>未来的城市化进程也需要解决一些新的问题，如如何应</w:t>
            </w:r>
          </w:p>
          <w:p>
            <w:pPr>
              <w:pStyle w:val="TableParagraph"/>
              <w:spacing w:before="43"/>
              <w:rPr>
                <w:sz w:val="21"/>
              </w:rPr>
            </w:pPr>
            <w:r>
              <w:rPr>
                <w:spacing w:val="-1"/>
                <w:sz w:val="21"/>
              </w:rPr>
              <w:t>对气候变化，如何保护生态环境等。</w:t>
            </w:r>
          </w:p>
        </w:tc>
      </w:tr>
    </w:tbl>
    <w:p>
      <w:pPr>
        <w:spacing w:after="0"/>
        <w:rPr>
          <w:sz w:val="21"/>
        </w:rPr>
        <w:sectPr>
          <w:footerReference w:type="default" r:id="rId9"/>
          <w:pgSz w:w="11910" w:h="16840"/>
          <w:pgMar w:top="1520" w:right="1280" w:bottom="1380" w:left="1680" w:header="0" w:footer="1198"/>
          <w:pgNumType w:start="5"/>
          <w:cols w:space="708"/>
        </w:sectPr>
      </w:pPr>
    </w:p>
    <w:tbl>
      <w:tblPr>
        <w:tblStyle w:val="TableNormal2"/>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624"/>
          <w:jc w:val="left"/>
        </w:trPr>
        <w:tc>
          <w:tcPr>
            <w:tcW w:w="2769" w:type="dxa"/>
          </w:tcPr>
          <w:p>
            <w:pPr>
              <w:pStyle w:val="TableParagraph"/>
              <w:spacing w:before="0"/>
              <w:ind w:left="0"/>
              <w:rPr>
                <w:rFonts w:ascii="Times New Roman"/>
                <w:sz w:val="26"/>
              </w:rPr>
            </w:pPr>
          </w:p>
        </w:tc>
        <w:tc>
          <w:tcPr>
            <w:tcW w:w="5527" w:type="dxa"/>
          </w:tcPr>
          <w:p>
            <w:pPr>
              <w:pStyle w:val="TableParagraph"/>
              <w:tabs>
                <w:tab w:val="left" w:pos="475"/>
              </w:tabs>
              <w:rPr>
                <w:sz w:val="21"/>
              </w:rPr>
            </w:pPr>
            <w:r>
              <w:rPr>
                <w:rFonts w:ascii="Times New Roman" w:eastAsia="Times New Roman"/>
                <w:spacing w:val="-5"/>
                <w:sz w:val="21"/>
              </w:rPr>
              <w:t>3.</w:t>
            </w:r>
            <w:r>
              <w:rPr>
                <w:rFonts w:ascii="Times New Roman" w:eastAsia="Times New Roman"/>
                <w:sz w:val="21"/>
              </w:rPr>
              <w:tab/>
            </w:r>
            <w:r>
              <w:rPr>
                <w:spacing w:val="-6"/>
                <w:sz w:val="21"/>
              </w:rPr>
              <w:t>未来的城市化进程需要更加科学的规划和管理，以实现</w:t>
            </w:r>
          </w:p>
          <w:p>
            <w:pPr>
              <w:pStyle w:val="TableParagraph"/>
              <w:spacing w:before="43"/>
              <w:rPr>
                <w:sz w:val="21"/>
              </w:rPr>
            </w:pPr>
            <w:r>
              <w:rPr>
                <w:spacing w:val="-2"/>
                <w:sz w:val="21"/>
              </w:rPr>
              <w:t>可持续发展。</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0"/>
              <w:ind w:left="0"/>
              <w:rPr>
                <w:rFonts w:ascii="Times New Roman"/>
                <w:sz w:val="22"/>
              </w:rPr>
            </w:pPr>
          </w:p>
        </w:tc>
        <w:tc>
          <w:tcPr>
            <w:tcW w:w="5527" w:type="dxa"/>
          </w:tcPr>
          <w:p>
            <w:pPr>
              <w:pStyle w:val="TableParagraph"/>
              <w:spacing w:before="0"/>
              <w:ind w:left="0"/>
              <w:rPr>
                <w:rFonts w:ascii="Times New Roman"/>
                <w:sz w:val="22"/>
              </w:rPr>
            </w:pPr>
          </w:p>
        </w:tc>
      </w:tr>
    </w:tbl>
    <w:p>
      <w:pPr>
        <w:pStyle w:val="BodyText"/>
        <w:spacing w:before="4"/>
        <w:ind w:left="0"/>
        <w:rPr>
          <w:rFonts w:ascii="Microsoft JhengHei"/>
          <w:b/>
          <w:sz w:val="5"/>
        </w:rPr>
      </w:pPr>
    </w:p>
    <w:p>
      <w:pPr>
        <w:pStyle w:val="BodyText"/>
        <w:spacing w:before="61"/>
        <w:ind w:left="680"/>
      </w:pPr>
      <w:r>
        <w:rPr>
          <w:spacing w:val="-1"/>
        </w:rPr>
        <w:t>城市化进程的基本原理</w:t>
      </w:r>
    </w:p>
    <w:p>
      <w:pPr>
        <w:pStyle w:val="BodyText"/>
        <w:spacing w:before="8"/>
        <w:ind w:left="0"/>
        <w:rPr>
          <w:sz w:val="20"/>
        </w:rPr>
      </w:pPr>
    </w:p>
    <w:p>
      <w:pPr>
        <w:pStyle w:val="BodyText"/>
        <w:spacing w:before="1" w:line="417" w:lineRule="auto"/>
        <w:ind w:right="285"/>
      </w:pPr>
      <w:r>
        <w:rPr>
          <w:spacing w:val="-9"/>
        </w:rPr>
        <w:t>城市化进程是指人口从农村向城市转移的过程，这一过程伴随着经济、</w:t>
      </w:r>
      <w:r>
        <w:rPr>
          <w:spacing w:val="-2"/>
        </w:rPr>
        <w:t>社会、文化和政治等多方面的变化。欧洲单一市场的城市化进程是一</w:t>
      </w:r>
      <w:r>
        <w:rPr>
          <w:spacing w:val="-2"/>
        </w:rPr>
        <w:t>个典型的案例，它展示了城市化进程中的一些基本原理。本文将从以</w:t>
      </w:r>
      <w:r>
        <w:rPr>
          <w:spacing w:val="-14"/>
        </w:rPr>
        <w:t>下几个方面对城市化进程的基本原理进行阐述：人口迁移、经济发展、</w:t>
      </w:r>
      <w:r>
        <w:rPr>
          <w:spacing w:val="-2"/>
        </w:rPr>
        <w:t>基础设施建设、社会变迁和政策调整。</w:t>
      </w:r>
    </w:p>
    <w:p>
      <w:pPr>
        <w:pStyle w:val="ListParagraph"/>
        <w:numPr>
          <w:ilvl w:val="0"/>
          <w:numId w:val="46"/>
        </w:numPr>
        <w:tabs>
          <w:tab w:val="left" w:pos="540"/>
        </w:tabs>
        <w:spacing w:before="0" w:after="0" w:line="358" w:lineRule="exact"/>
        <w:ind w:left="540" w:right="0" w:hanging="420"/>
        <w:jc w:val="left"/>
        <w:rPr>
          <w:sz w:val="28"/>
        </w:rPr>
      </w:pPr>
      <w:r>
        <w:rPr>
          <w:spacing w:val="-3"/>
          <w:sz w:val="28"/>
        </w:rPr>
        <w:t>人口迁移</w:t>
      </w:r>
    </w:p>
    <w:p>
      <w:pPr>
        <w:pStyle w:val="BodyText"/>
        <w:spacing w:before="8"/>
        <w:ind w:left="0"/>
        <w:rPr>
          <w:sz w:val="20"/>
        </w:rPr>
      </w:pPr>
    </w:p>
    <w:p>
      <w:pPr>
        <w:pStyle w:val="BodyText"/>
        <w:spacing w:before="1" w:line="417" w:lineRule="auto"/>
        <w:ind w:right="378"/>
      </w:pPr>
      <w:r>
        <w:rPr>
          <w:spacing w:val="-7"/>
        </w:rPr>
        <w:t>城市化进程的核心是人口从农村向城市转移。在欧洲单一市场的城市</w:t>
      </w:r>
      <w:r>
        <w:rPr>
          <w:spacing w:val="-2"/>
        </w:rPr>
        <w:t>化进程中，人口迁移的主要驱动力包括经济发展、就业机会、教育和</w:t>
      </w:r>
      <w:r>
        <w:rPr>
          <w:spacing w:val="-2"/>
        </w:rPr>
        <w:t>医疗等公共服务。随着工业化和现代化的推进，城市逐渐成为经济活</w:t>
      </w:r>
      <w:r>
        <w:rPr>
          <w:spacing w:val="-12"/>
        </w:rPr>
        <w:t>动的中心，吸引了大量农村劳动力进入城市寻求更好的生活和发展机</w:t>
      </w:r>
      <w:r>
        <w:rPr>
          <w:spacing w:val="-19"/>
        </w:rPr>
        <w:t>会。此外，城市相对于农村具有更完善的教育、医疗等公共服务设施，</w:t>
      </w:r>
      <w:r>
        <w:rPr>
          <w:spacing w:val="-2"/>
        </w:rPr>
        <w:t>这也是吸引农村人口向城市迁移的重要因素。</w:t>
      </w:r>
    </w:p>
    <w:p>
      <w:pPr>
        <w:pStyle w:val="ListParagraph"/>
        <w:numPr>
          <w:ilvl w:val="0"/>
          <w:numId w:val="46"/>
        </w:numPr>
        <w:tabs>
          <w:tab w:val="left" w:pos="540"/>
        </w:tabs>
        <w:spacing w:before="0" w:after="0" w:line="357" w:lineRule="exact"/>
        <w:ind w:left="540" w:right="0" w:hanging="420"/>
        <w:jc w:val="left"/>
        <w:rPr>
          <w:sz w:val="28"/>
        </w:rPr>
      </w:pPr>
      <w:r>
        <w:rPr>
          <w:spacing w:val="-3"/>
          <w:sz w:val="28"/>
        </w:rPr>
        <w:t>经济发展</w:t>
      </w:r>
    </w:p>
    <w:p>
      <w:pPr>
        <w:pStyle w:val="BodyText"/>
        <w:spacing w:before="8"/>
        <w:ind w:left="0"/>
        <w:rPr>
          <w:sz w:val="20"/>
        </w:rPr>
      </w:pPr>
    </w:p>
    <w:p>
      <w:pPr>
        <w:pStyle w:val="BodyText"/>
        <w:spacing w:before="1" w:line="417" w:lineRule="auto"/>
        <w:ind w:right="238"/>
        <w:sectPr>
          <w:footerReference w:type="default" r:id="rId10"/>
          <w:type w:val="continuous"/>
          <w:pgSz w:w="11910" w:h="16840"/>
          <w:pgMar w:top="1400" w:right="1280" w:bottom="1380" w:left="1680" w:header="0" w:footer="1198"/>
          <w:pgNumType w:start="6"/>
          <w:cols w:space="708"/>
        </w:sectPr>
      </w:pPr>
      <w:r>
        <w:rPr>
          <w:spacing w:val="-2"/>
        </w:rPr>
        <w:t>城市化进程与经济发展密切相关。在欧洲单一市场的城市化进程中，</w:t>
      </w:r>
      <w:r>
        <w:rPr>
          <w:spacing w:val="-2"/>
        </w:rPr>
        <w:t>城市化与工业化、现代化相互促进，共同推动了经济的快速增长。城</w:t>
      </w:r>
      <w:r>
        <w:rPr>
          <w:spacing w:val="-2"/>
        </w:rPr>
        <w:t xml:space="preserve"> </w:t>
      </w:r>
      <w:r>
        <w:rPr>
          <w:spacing w:val="-2"/>
        </w:rPr>
        <w:t>市化为工业生产提供了丰富的劳动力资源，降低了生产成本，提高了</w:t>
      </w:r>
      <w:r>
        <w:rPr>
          <w:spacing w:val="-2"/>
        </w:rPr>
        <w:t xml:space="preserve"> </w:t>
      </w:r>
      <w:r>
        <w:rPr>
          <w:spacing w:val="-2"/>
        </w:rPr>
        <w:t>生产效率。同时，城市化也促进了消费需求的扩大，为经济增长提供</w:t>
      </w:r>
      <w:r>
        <w:rPr>
          <w:spacing w:val="-2"/>
        </w:rPr>
        <w:t xml:space="preserve"> </w:t>
      </w:r>
      <w:r>
        <w:rPr>
          <w:spacing w:val="-2"/>
        </w:rPr>
        <w:t xml:space="preserve">了强大的内需支撑。此外，城市化还推动了产业结构的优化升级，促 </w:t>
      </w:r>
      <w:r>
        <w:rPr>
          <w:spacing w:val="-2"/>
        </w:rPr>
        <w:t>进了科技创新和产业转型。</w:t>
      </w:r>
    </w:p>
    <w:p>
      <w:pPr>
        <w:pStyle w:val="ListParagraph"/>
        <w:numPr>
          <w:ilvl w:val="0"/>
          <w:numId w:val="46"/>
        </w:numPr>
        <w:tabs>
          <w:tab w:val="left" w:pos="540"/>
        </w:tabs>
        <w:spacing w:before="0" w:after="0" w:line="357" w:lineRule="exact"/>
        <w:ind w:left="540" w:right="0" w:hanging="420"/>
        <w:jc w:val="left"/>
        <w:rPr>
          <w:sz w:val="28"/>
        </w:rPr>
      </w:pPr>
      <w:r>
        <w:rPr>
          <w:spacing w:val="-2"/>
          <w:sz w:val="28"/>
        </w:rPr>
        <w:t>基础设施建设</w:t>
      </w:r>
    </w:p>
    <w:p>
      <w:pPr>
        <w:spacing w:after="0" w:line="357" w:lineRule="exact"/>
        <w:jc w:val="left"/>
        <w:rPr>
          <w:sz w:val="28"/>
        </w:rPr>
        <w:sectPr>
          <w:footerReference w:type="default" r:id="rId11"/>
          <w:type w:val="nextPage"/>
          <w:pgSz w:w="11910" w:h="16840"/>
          <w:pgMar w:top="1400" w:right="1280" w:bottom="1380" w:left="1680" w:header="0" w:footer="1198"/>
          <w:pgNumType w:start="7"/>
          <w:cols w:space="708"/>
          <w:titlePg w:val="0"/>
        </w:sectPr>
      </w:pPr>
    </w:p>
    <w:p>
      <w:pPr>
        <w:pStyle w:val="BodyText"/>
        <w:spacing w:before="37" w:line="417" w:lineRule="auto"/>
        <w:ind w:right="518"/>
        <w:jc w:val="both"/>
      </w:pPr>
      <w:r>
        <w:rPr>
          <w:spacing w:val="-7"/>
        </w:rPr>
        <w:t>城市化进程需要大量的基础设施建设来支撑。在欧洲单一市场的城市</w:t>
      </w:r>
      <w:r>
        <w:rPr>
          <w:spacing w:val="-4"/>
        </w:rPr>
        <w:t>化进程中，政府在基础设施建设方面投入了大量资金，包括交通、能源、通信、水利等各个领域。这些基础设施的建设不仅满足了城市化</w:t>
      </w:r>
      <w:r>
        <w:rPr>
          <w:spacing w:val="-4"/>
        </w:rPr>
        <w:t>进程中的各种需求，也为经济发展创造了良好的条件。例如，交通基</w:t>
      </w:r>
      <w:r>
        <w:rPr>
          <w:spacing w:val="-7"/>
        </w:rPr>
        <w:t>础设施的建设缩短了城市之间的时空距离，促进了区域间的经济联系</w:t>
      </w:r>
      <w:r>
        <w:rPr>
          <w:spacing w:val="-4"/>
        </w:rPr>
        <w:t>和交流；能源基础设施的建设保障了城市的正常运行，降低了生产成</w:t>
      </w:r>
      <w:r>
        <w:rPr>
          <w:spacing w:val="-4"/>
        </w:rPr>
        <w:t>本；通信基础设施的建设提高了信息传输的效率，促进了科技创新和</w:t>
      </w:r>
      <w:r>
        <w:rPr>
          <w:spacing w:val="-2"/>
        </w:rPr>
        <w:t>产业发展。</w:t>
      </w:r>
    </w:p>
    <w:p>
      <w:pPr>
        <w:pStyle w:val="ListParagraph"/>
        <w:numPr>
          <w:ilvl w:val="0"/>
          <w:numId w:val="46"/>
        </w:numPr>
        <w:tabs>
          <w:tab w:val="left" w:pos="540"/>
        </w:tabs>
        <w:spacing w:before="0" w:after="0" w:line="357" w:lineRule="exact"/>
        <w:ind w:left="540" w:right="0" w:hanging="420"/>
        <w:jc w:val="both"/>
        <w:rPr>
          <w:sz w:val="28"/>
        </w:rPr>
      </w:pPr>
      <w:r>
        <w:rPr>
          <w:spacing w:val="-3"/>
          <w:sz w:val="28"/>
        </w:rPr>
        <w:t>社会变迁</w:t>
      </w:r>
    </w:p>
    <w:p>
      <w:pPr>
        <w:pStyle w:val="BodyText"/>
        <w:spacing w:before="8"/>
        <w:ind w:left="0"/>
        <w:rPr>
          <w:sz w:val="20"/>
        </w:rPr>
      </w:pPr>
    </w:p>
    <w:p>
      <w:pPr>
        <w:pStyle w:val="BodyText"/>
        <w:spacing w:before="1" w:line="417" w:lineRule="auto"/>
        <w:ind w:right="285"/>
      </w:pPr>
      <w:r>
        <w:rPr>
          <w:spacing w:val="-13"/>
        </w:rPr>
        <w:t>城市化进程伴随着社会结构、文化观念和生活方式等方面的深刻变革。</w:t>
      </w:r>
      <w:r>
        <w:rPr>
          <w:spacing w:val="-2"/>
        </w:rPr>
        <w:t>在欧洲单一市场的城市化进程中，城市化带来了人口结构的变化，城</w:t>
      </w:r>
      <w:r>
        <w:rPr>
          <w:spacing w:val="-2"/>
        </w:rPr>
        <w:t>市居民越来越多样化，形成了多元化的社会格局。同时，城市化也促</w:t>
      </w:r>
      <w:r>
        <w:rPr>
          <w:spacing w:val="-2"/>
        </w:rPr>
        <w:t>进了文化交流和融合，形成了开放包容的城市文化。此外，城市化还</w:t>
      </w:r>
      <w:r>
        <w:rPr>
          <w:spacing w:val="-2"/>
        </w:rPr>
        <w:t>改变了人们的生活方式，城市居民的生活节奏加快，消费观念和价值</w:t>
      </w:r>
      <w:r>
        <w:rPr>
          <w:spacing w:val="-2"/>
        </w:rPr>
        <w:t>观发生了变化。</w:t>
      </w:r>
    </w:p>
    <w:p>
      <w:pPr>
        <w:pStyle w:val="ListParagraph"/>
        <w:numPr>
          <w:ilvl w:val="0"/>
          <w:numId w:val="46"/>
        </w:numPr>
        <w:tabs>
          <w:tab w:val="left" w:pos="540"/>
        </w:tabs>
        <w:spacing w:before="0" w:after="0" w:line="357" w:lineRule="exact"/>
        <w:ind w:left="540" w:right="0" w:hanging="420"/>
        <w:jc w:val="left"/>
        <w:rPr>
          <w:sz w:val="28"/>
        </w:rPr>
      </w:pPr>
      <w:r>
        <w:rPr>
          <w:spacing w:val="-3"/>
          <w:sz w:val="28"/>
        </w:rPr>
        <w:t>政策调整</w:t>
      </w:r>
    </w:p>
    <w:p>
      <w:pPr>
        <w:pStyle w:val="BodyText"/>
        <w:spacing w:before="8"/>
        <w:ind w:left="0"/>
        <w:rPr>
          <w:sz w:val="20"/>
        </w:rPr>
      </w:pPr>
    </w:p>
    <w:p>
      <w:pPr>
        <w:pStyle w:val="BodyText"/>
        <w:spacing w:before="1" w:line="417" w:lineRule="auto"/>
        <w:ind w:right="518"/>
        <w:jc w:val="both"/>
      </w:pPr>
      <w:r>
        <w:rPr>
          <w:spacing w:val="-4"/>
        </w:rPr>
        <w:t>在欧洲单一市场的城市化进程中，政府发挥了关键作用，通过制定和</w:t>
      </w:r>
      <w:r>
        <w:rPr>
          <w:spacing w:val="-8"/>
        </w:rPr>
        <w:t>调整相关政策来引导和推动城市化进程。政府在城市化进程中的主要</w:t>
      </w:r>
      <w:r>
        <w:rPr>
          <w:spacing w:val="-4"/>
        </w:rPr>
        <w:t>职责包括规划城市建设、保障公共服务、调控房地产市场、改善生态</w:t>
      </w:r>
      <w:r>
        <w:rPr>
          <w:spacing w:val="-4"/>
        </w:rPr>
        <w:t>环境等。政府通过制定城市规划来引导城市空间布局和发展方向；通</w:t>
      </w:r>
      <w:r>
        <w:rPr>
          <w:spacing w:val="-4"/>
        </w:rPr>
        <w:t>过投资建设公共服务设施来满足城市化进程中的各种需求；通过调控</w:t>
      </w:r>
      <w:r>
        <w:rPr>
          <w:spacing w:val="-5"/>
        </w:rPr>
        <w:t>房地产市场来保持市场的稳定发展；通过加强生态环境保护来提高城</w:t>
      </w:r>
    </w:p>
    <w:p>
      <w:pPr>
        <w:spacing w:after="0" w:line="417" w:lineRule="auto"/>
        <w:jc w:val="both"/>
        <w:sectPr>
          <w:footerReference w:type="default" r:id="rId12"/>
          <w:pgSz w:w="11910" w:h="16840"/>
          <w:pgMar w:top="1520" w:right="1280" w:bottom="1380" w:left="1680" w:header="0" w:footer="1198"/>
          <w:pgNumType w:start="8"/>
          <w:cols w:space="708"/>
        </w:sectPr>
      </w:pPr>
    </w:p>
    <w:p>
      <w:pPr>
        <w:pStyle w:val="BodyText"/>
        <w:spacing w:before="37"/>
      </w:pPr>
      <w:r>
        <w:rPr>
          <w:spacing w:val="-1"/>
        </w:rPr>
        <w:t>市的可持续发展能力。</w:t>
      </w:r>
    </w:p>
    <w:p>
      <w:pPr>
        <w:pStyle w:val="BodyText"/>
        <w:spacing w:before="8"/>
        <w:ind w:left="0"/>
        <w:rPr>
          <w:sz w:val="20"/>
        </w:rPr>
      </w:pPr>
    </w:p>
    <w:p>
      <w:pPr>
        <w:pStyle w:val="BodyText"/>
        <w:spacing w:before="1" w:line="417" w:lineRule="auto"/>
        <w:ind w:right="378"/>
      </w:pPr>
      <w:r>
        <w:rPr>
          <w:spacing w:val="-13"/>
        </w:rPr>
        <w:t>总之，欧洲单一市场的城市化进程展示了城市化进程中的一些基本原</w:t>
      </w:r>
      <w:r>
        <w:rPr>
          <w:spacing w:val="-2"/>
        </w:rPr>
        <w:t>理，包括人口迁移、经济发展、基础设施建设、社会变迁和政策调整</w:t>
      </w:r>
      <w:r>
        <w:rPr>
          <w:spacing w:val="-18"/>
        </w:rPr>
        <w:t>等。这些原理对于理解和把握城市化进程具有重要的参考价值。然而，</w:t>
      </w:r>
      <w:r>
        <w:rPr>
          <w:spacing w:val="-2"/>
        </w:rPr>
        <w:t>值得注意的是，不同国家和地区的城市化进程具有其特殊性，因此在</w:t>
      </w:r>
      <w:r>
        <w:rPr>
          <w:spacing w:val="-8"/>
        </w:rPr>
        <w:t>借鉴欧洲单一市场的城市化进程经验时，还需要结合本国的实际情况</w:t>
      </w:r>
      <w:r>
        <w:rPr>
          <w:spacing w:val="-2"/>
        </w:rPr>
        <w:t>进行调整和创新。</w:t>
      </w:r>
    </w:p>
    <w:p>
      <w:pPr>
        <w:pStyle w:val="BodyText"/>
        <w:ind w:left="0"/>
      </w:pPr>
    </w:p>
    <w:p>
      <w:pPr>
        <w:pStyle w:val="Heading1"/>
        <w:tabs>
          <w:tab w:val="left" w:pos="1725"/>
        </w:tabs>
      </w:pPr>
      <w:bookmarkStart w:id="2" w:name="_TOC_250005"/>
      <w:r>
        <w:t>第</w:t>
      </w:r>
      <w:r>
        <w:t>三</w:t>
      </w:r>
      <w:r>
        <w:t>部</w:t>
      </w:r>
      <w:r>
        <w:rPr>
          <w:spacing w:val="-10"/>
        </w:rPr>
        <w:t>分</w:t>
      </w:r>
      <w:r>
        <w:tab/>
        <w:t>欧</w:t>
      </w:r>
      <w:r>
        <w:t>洲</w:t>
      </w:r>
      <w:r>
        <w:t>单</w:t>
      </w:r>
      <w:r>
        <w:t>一</w:t>
      </w:r>
      <w:r>
        <w:t>市</w:t>
      </w:r>
      <w:r>
        <w:t>场</w:t>
      </w:r>
      <w:r>
        <w:t>与</w:t>
      </w:r>
      <w:r>
        <w:t>城</w:t>
      </w:r>
      <w:r>
        <w:t>市</w:t>
      </w:r>
      <w:r>
        <w:t>化</w:t>
      </w:r>
      <w:r>
        <w:t>的</w:t>
      </w:r>
      <w:r>
        <w:t>关</w:t>
      </w:r>
      <w:bookmarkEnd w:id="2"/>
      <w:r>
        <w:rPr>
          <w:spacing w:val="-10"/>
        </w:rPr>
        <w:t>系</w:t>
      </w:r>
    </w:p>
    <w:p>
      <w:pPr>
        <w:pStyle w:val="BodyText"/>
        <w:spacing w:before="16"/>
        <w:ind w:left="0"/>
        <w:rPr>
          <w:rFonts w:ascii="Microsoft JhengHei"/>
          <w:b/>
          <w:sz w:val="15"/>
        </w:rPr>
      </w:pPr>
    </w:p>
    <w:tbl>
      <w:tblPr>
        <w:tblStyle w:val="TableNormal3"/>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ind w:left="108"/>
              <w:rPr>
                <w:sz w:val="21"/>
              </w:rPr>
            </w:pPr>
            <w:r>
              <w:rPr>
                <w:spacing w:val="-4"/>
                <w:sz w:val="21"/>
              </w:rPr>
              <w:t>关键词</w:t>
            </w:r>
          </w:p>
        </w:tc>
        <w:tc>
          <w:tcPr>
            <w:tcW w:w="5527" w:type="dxa"/>
          </w:tcPr>
          <w:p>
            <w:pPr>
              <w:pStyle w:val="TableParagraph"/>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9" w:type="dxa"/>
          </w:tcPr>
          <w:p>
            <w:pPr>
              <w:pStyle w:val="TableParagraph"/>
              <w:ind w:left="108"/>
              <w:rPr>
                <w:sz w:val="21"/>
              </w:rPr>
            </w:pPr>
            <w:r>
              <w:rPr>
                <w:spacing w:val="-1"/>
                <w:sz w:val="21"/>
              </w:rPr>
              <w:t>欧洲单一市场的定义和特征</w:t>
            </w:r>
          </w:p>
        </w:tc>
        <w:tc>
          <w:tcPr>
            <w:tcW w:w="5527" w:type="dxa"/>
          </w:tcPr>
          <w:p>
            <w:pPr>
              <w:pStyle w:val="TableParagraph"/>
              <w:numPr>
                <w:ilvl w:val="0"/>
                <w:numId w:val="45"/>
              </w:numPr>
              <w:tabs>
                <w:tab w:val="left" w:pos="371"/>
              </w:tabs>
              <w:spacing w:before="23" w:after="0" w:line="278" w:lineRule="auto"/>
              <w:ind w:left="107" w:right="-116" w:firstLine="0"/>
              <w:jc w:val="left"/>
              <w:rPr>
                <w:sz w:val="21"/>
              </w:rPr>
            </w:pPr>
            <w:r>
              <w:rPr>
                <w:spacing w:val="-2"/>
                <w:sz w:val="21"/>
              </w:rPr>
              <w:t>欧洲单一市场是指欧盟内部取消所有关税和非关税壁垒，</w:t>
            </w:r>
            <w:r>
              <w:rPr>
                <w:spacing w:val="-2"/>
                <w:sz w:val="21"/>
              </w:rPr>
              <w:t>实现货物、服务、资本和劳动力的自由流动的市场。</w:t>
            </w:r>
          </w:p>
          <w:p>
            <w:pPr>
              <w:pStyle w:val="TableParagraph"/>
              <w:numPr>
                <w:ilvl w:val="0"/>
                <w:numId w:val="45"/>
              </w:numPr>
              <w:tabs>
                <w:tab w:val="left" w:pos="475"/>
                <w:tab w:val="left" w:pos="476"/>
              </w:tabs>
              <w:spacing w:before="0" w:after="0" w:line="278" w:lineRule="auto"/>
              <w:ind w:left="107" w:right="1" w:firstLine="0"/>
              <w:jc w:val="left"/>
              <w:rPr>
                <w:sz w:val="21"/>
              </w:rPr>
            </w:pPr>
            <w:r>
              <w:rPr>
                <w:spacing w:val="-2"/>
                <w:sz w:val="21"/>
              </w:rPr>
              <w:t>这一市场的特征包括无边界性、无歧视性和无限制性，</w:t>
            </w:r>
            <w:r>
              <w:rPr>
                <w:spacing w:val="-2"/>
                <w:sz w:val="21"/>
              </w:rPr>
              <w:t>使得欧盟成员国之间的经济交流和合作更加紧密。</w:t>
            </w:r>
          </w:p>
          <w:p>
            <w:pPr>
              <w:pStyle w:val="TableParagraph"/>
              <w:numPr>
                <w:ilvl w:val="0"/>
                <w:numId w:val="45"/>
              </w:numPr>
              <w:tabs>
                <w:tab w:val="left" w:pos="475"/>
                <w:tab w:val="left" w:pos="476"/>
              </w:tabs>
              <w:spacing w:before="0" w:after="0" w:line="278" w:lineRule="auto"/>
              <w:ind w:left="107" w:right="96" w:firstLine="0"/>
              <w:jc w:val="left"/>
              <w:rPr>
                <w:sz w:val="21"/>
              </w:rPr>
            </w:pPr>
            <w:r>
              <w:rPr>
                <w:spacing w:val="-12"/>
                <w:sz w:val="21"/>
              </w:rPr>
              <w:t>欧洲单一市场的建立，对于推动欧洲的经济发展和城市</w:t>
            </w:r>
            <w:r>
              <w:rPr>
                <w:spacing w:val="-2"/>
                <w:sz w:val="21"/>
              </w:rPr>
              <w:t>化进程起到了重要的推动作用。</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spacing w:line="278" w:lineRule="auto"/>
              <w:ind w:left="108" w:right="96"/>
              <w:rPr>
                <w:sz w:val="21"/>
              </w:rPr>
            </w:pPr>
            <w:r>
              <w:rPr>
                <w:spacing w:val="-2"/>
                <w:sz w:val="21"/>
              </w:rPr>
              <w:t>欧洲单一市场对城市化的影</w:t>
            </w:r>
            <w:r>
              <w:rPr>
                <w:spacing w:val="-10"/>
                <w:sz w:val="21"/>
              </w:rPr>
              <w:t>响</w:t>
            </w:r>
          </w:p>
        </w:tc>
        <w:tc>
          <w:tcPr>
            <w:tcW w:w="5527" w:type="dxa"/>
          </w:tcPr>
          <w:p>
            <w:pPr>
              <w:pStyle w:val="TableParagraph"/>
              <w:numPr>
                <w:ilvl w:val="0"/>
                <w:numId w:val="44"/>
              </w:numPr>
              <w:tabs>
                <w:tab w:val="left" w:pos="371"/>
              </w:tabs>
              <w:spacing w:before="23" w:after="0" w:line="278" w:lineRule="auto"/>
              <w:ind w:left="107" w:right="96" w:firstLine="0"/>
              <w:jc w:val="left"/>
              <w:rPr>
                <w:sz w:val="21"/>
              </w:rPr>
            </w:pPr>
            <w:r>
              <w:rPr>
                <w:spacing w:val="-2"/>
                <w:sz w:val="21"/>
              </w:rPr>
              <w:t>欧洲单一市场的建立，使得城市间的经济交流和合作更</w:t>
            </w:r>
            <w:r>
              <w:rPr>
                <w:spacing w:val="-2"/>
                <w:sz w:val="21"/>
              </w:rPr>
              <w:t>加频繁，推动了城市化进程的发展。</w:t>
            </w:r>
          </w:p>
          <w:p>
            <w:pPr>
              <w:pStyle w:val="TableParagraph"/>
              <w:numPr>
                <w:ilvl w:val="0"/>
                <w:numId w:val="44"/>
              </w:numPr>
              <w:tabs>
                <w:tab w:val="left" w:pos="475"/>
                <w:tab w:val="left" w:pos="476"/>
              </w:tabs>
              <w:spacing w:before="0" w:after="0" w:line="278" w:lineRule="auto"/>
              <w:ind w:left="107" w:right="95" w:firstLine="0"/>
              <w:jc w:val="left"/>
              <w:rPr>
                <w:sz w:val="21"/>
              </w:rPr>
            </w:pPr>
            <w:r>
              <w:rPr>
                <w:spacing w:val="-6"/>
                <w:sz w:val="21"/>
              </w:rPr>
              <w:t>通过欧洲单一市场，城市可以更好地吸引外来投资，促</w:t>
            </w:r>
            <w:r>
              <w:rPr>
                <w:spacing w:val="-2"/>
                <w:sz w:val="21"/>
              </w:rPr>
              <w:t>进城市的经济发展，从而推动城市化进程。</w:t>
            </w:r>
          </w:p>
          <w:p>
            <w:pPr>
              <w:pStyle w:val="TableParagraph"/>
              <w:numPr>
                <w:ilvl w:val="0"/>
                <w:numId w:val="44"/>
              </w:numPr>
              <w:tabs>
                <w:tab w:val="left" w:pos="475"/>
                <w:tab w:val="left" w:pos="476"/>
              </w:tabs>
              <w:spacing w:before="0" w:after="0" w:line="278" w:lineRule="auto"/>
              <w:ind w:left="107" w:right="96" w:firstLine="0"/>
              <w:jc w:val="left"/>
              <w:rPr>
                <w:sz w:val="21"/>
              </w:rPr>
            </w:pPr>
            <w:r>
              <w:rPr>
                <w:spacing w:val="-7"/>
                <w:sz w:val="21"/>
              </w:rPr>
              <w:t>欧洲单一市场还促进了城市间的人才流动，为城市的发</w:t>
            </w:r>
            <w:r>
              <w:rPr>
                <w:spacing w:val="-2"/>
                <w:sz w:val="21"/>
              </w:rPr>
              <w:t>展提供了人力资源保障。</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spacing w:line="278" w:lineRule="auto"/>
              <w:ind w:left="108" w:right="96"/>
              <w:rPr>
                <w:sz w:val="21"/>
              </w:rPr>
            </w:pPr>
            <w:r>
              <w:rPr>
                <w:spacing w:val="-2"/>
                <w:sz w:val="21"/>
              </w:rPr>
              <w:t>欧洲单一市场与城市发展的</w:t>
            </w:r>
            <w:r>
              <w:rPr>
                <w:spacing w:val="-4"/>
                <w:sz w:val="21"/>
              </w:rPr>
              <w:t>互动关系</w:t>
            </w:r>
          </w:p>
        </w:tc>
        <w:tc>
          <w:tcPr>
            <w:tcW w:w="5527" w:type="dxa"/>
          </w:tcPr>
          <w:p>
            <w:pPr>
              <w:pStyle w:val="TableParagraph"/>
              <w:numPr>
                <w:ilvl w:val="0"/>
                <w:numId w:val="43"/>
              </w:numPr>
              <w:tabs>
                <w:tab w:val="left" w:pos="371"/>
              </w:tabs>
              <w:spacing w:before="23" w:after="0" w:line="278" w:lineRule="auto"/>
              <w:ind w:left="107" w:right="96" w:firstLine="0"/>
              <w:jc w:val="left"/>
              <w:rPr>
                <w:sz w:val="21"/>
              </w:rPr>
            </w:pPr>
            <w:r>
              <w:rPr>
                <w:spacing w:val="-2"/>
                <w:sz w:val="21"/>
              </w:rPr>
              <w:t>欧洲单一市场为城市发展提供了广阔的市场空间，使得</w:t>
            </w:r>
            <w:r>
              <w:rPr>
                <w:spacing w:val="-2"/>
                <w:sz w:val="21"/>
              </w:rPr>
              <w:t>城市可以更好地发展经济，提高城市的竞争力。</w:t>
            </w:r>
          </w:p>
          <w:p>
            <w:pPr>
              <w:pStyle w:val="TableParagraph"/>
              <w:numPr>
                <w:ilvl w:val="0"/>
                <w:numId w:val="43"/>
              </w:numPr>
              <w:tabs>
                <w:tab w:val="left" w:pos="475"/>
                <w:tab w:val="left" w:pos="476"/>
              </w:tabs>
              <w:spacing w:before="0" w:after="0" w:line="278" w:lineRule="auto"/>
              <w:ind w:left="107" w:right="96" w:firstLine="0"/>
              <w:jc w:val="left"/>
              <w:rPr>
                <w:sz w:val="21"/>
              </w:rPr>
            </w:pPr>
            <w:r>
              <w:rPr>
                <w:spacing w:val="-13"/>
                <w:sz w:val="21"/>
              </w:rPr>
              <w:t>同时，城市的发展也反过来推动了欧洲单一市场的进一</w:t>
            </w:r>
            <w:r>
              <w:rPr>
                <w:spacing w:val="-2"/>
                <w:sz w:val="21"/>
              </w:rPr>
              <w:t>步发展，形成了良性的互动关系。</w:t>
            </w:r>
          </w:p>
          <w:p>
            <w:pPr>
              <w:pStyle w:val="TableParagraph"/>
              <w:numPr>
                <w:ilvl w:val="0"/>
                <w:numId w:val="43"/>
              </w:numPr>
              <w:tabs>
                <w:tab w:val="left" w:pos="484"/>
                <w:tab w:val="left" w:pos="485"/>
              </w:tabs>
              <w:spacing w:before="0" w:after="0" w:line="278" w:lineRule="auto"/>
              <w:ind w:left="107" w:right="96" w:firstLine="0"/>
              <w:jc w:val="left"/>
              <w:rPr>
                <w:sz w:val="21"/>
              </w:rPr>
            </w:pPr>
            <w:r>
              <w:rPr>
                <w:spacing w:val="-2"/>
                <w:sz w:val="21"/>
              </w:rPr>
              <w:t>这种互动关系对于推动欧洲的城市化进程具有重要的</w:t>
            </w:r>
            <w:r>
              <w:rPr>
                <w:spacing w:val="-4"/>
                <w:sz w:val="21"/>
              </w:rPr>
              <w:t>意义。</w:t>
            </w:r>
          </w:p>
        </w:tc>
      </w:tr>
      <w:tr>
        <w:tblPrEx>
          <w:tblW w:w="0" w:type="auto"/>
          <w:jc w:val="left"/>
          <w:tblInd w:w="130" w:type="dxa"/>
          <w:tblLayout w:type="fixed"/>
          <w:tblCellMar>
            <w:top w:w="0" w:type="dxa"/>
            <w:left w:w="0" w:type="dxa"/>
            <w:bottom w:w="0" w:type="dxa"/>
            <w:right w:w="0" w:type="dxa"/>
          </w:tblCellMar>
          <w:tblLook w:val="01E0"/>
        </w:tblPrEx>
        <w:trPr>
          <w:trHeight w:val="935"/>
          <w:jc w:val="left"/>
        </w:trPr>
        <w:tc>
          <w:tcPr>
            <w:tcW w:w="2769" w:type="dxa"/>
          </w:tcPr>
          <w:p>
            <w:pPr>
              <w:pStyle w:val="TableParagraph"/>
              <w:spacing w:line="278" w:lineRule="auto"/>
              <w:ind w:left="108" w:right="96"/>
              <w:rPr>
                <w:sz w:val="21"/>
              </w:rPr>
            </w:pPr>
            <w:r>
              <w:rPr>
                <w:spacing w:val="-2"/>
                <w:sz w:val="21"/>
              </w:rPr>
              <w:t>欧洲单一市场对城市化进程</w:t>
            </w:r>
            <w:r>
              <w:rPr>
                <w:spacing w:val="-4"/>
                <w:sz w:val="21"/>
              </w:rPr>
              <w:t>的挑战</w:t>
            </w:r>
          </w:p>
        </w:tc>
        <w:tc>
          <w:tcPr>
            <w:tcW w:w="5527" w:type="dxa"/>
          </w:tcPr>
          <w:p>
            <w:pPr>
              <w:pStyle w:val="TableParagraph"/>
              <w:numPr>
                <w:ilvl w:val="0"/>
                <w:numId w:val="42"/>
              </w:numPr>
              <w:tabs>
                <w:tab w:val="left" w:pos="371"/>
              </w:tabs>
              <w:spacing w:before="23" w:after="0" w:line="278" w:lineRule="auto"/>
              <w:ind w:left="107" w:right="96" w:firstLine="0"/>
              <w:jc w:val="left"/>
              <w:rPr>
                <w:sz w:val="21"/>
              </w:rPr>
            </w:pPr>
            <w:r>
              <w:rPr>
                <w:spacing w:val="-2"/>
                <w:sz w:val="21"/>
              </w:rPr>
              <w:t>欧洲单一市场的建立，使得城市间的竞争更加激烈，对</w:t>
            </w:r>
            <w:r>
              <w:rPr>
                <w:spacing w:val="-2"/>
                <w:sz w:val="21"/>
              </w:rPr>
              <w:t>于一些小型和中型城市来说，面临着巨大的竞争压力。</w:t>
            </w:r>
          </w:p>
          <w:p>
            <w:pPr>
              <w:pStyle w:val="TableParagraph"/>
              <w:numPr>
                <w:ilvl w:val="0"/>
                <w:numId w:val="42"/>
              </w:numPr>
              <w:tabs>
                <w:tab w:val="left" w:pos="475"/>
                <w:tab w:val="left" w:pos="476"/>
              </w:tabs>
              <w:spacing w:before="0" w:after="0" w:line="269" w:lineRule="exact"/>
              <w:ind w:left="475" w:right="0" w:hanging="369"/>
              <w:jc w:val="left"/>
              <w:rPr>
                <w:sz w:val="21"/>
              </w:rPr>
            </w:pPr>
            <w:r>
              <w:rPr>
                <w:spacing w:val="-7"/>
                <w:sz w:val="21"/>
              </w:rPr>
              <w:t>同时，欧洲单一市场的建立，也使得城市面临着更大的</w:t>
            </w:r>
          </w:p>
        </w:tc>
      </w:tr>
    </w:tbl>
    <w:p>
      <w:pPr>
        <w:spacing w:after="0" w:line="269" w:lineRule="exact"/>
        <w:jc w:val="left"/>
        <w:rPr>
          <w:sz w:val="21"/>
        </w:rPr>
        <w:sectPr>
          <w:footerReference w:type="default" r:id="rId13"/>
          <w:pgSz w:w="11910" w:h="16840"/>
          <w:pgMar w:top="1520" w:right="1280" w:bottom="1380" w:left="1680" w:header="0" w:footer="1198"/>
          <w:pgNumType w:start="9"/>
          <w:cols w:space="708"/>
        </w:sectPr>
      </w:pPr>
    </w:p>
    <w:tbl>
      <w:tblPr>
        <w:tblStyle w:val="TableNormal4"/>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1248"/>
          <w:jc w:val="left"/>
        </w:trPr>
        <w:tc>
          <w:tcPr>
            <w:tcW w:w="2769" w:type="dxa"/>
          </w:tcPr>
          <w:p>
            <w:pPr>
              <w:pStyle w:val="TableParagraph"/>
              <w:spacing w:before="0"/>
              <w:ind w:left="0"/>
              <w:rPr>
                <w:rFonts w:ascii="Times New Roman"/>
                <w:sz w:val="24"/>
              </w:rPr>
            </w:pPr>
          </w:p>
        </w:tc>
        <w:tc>
          <w:tcPr>
            <w:tcW w:w="5527" w:type="dxa"/>
          </w:tcPr>
          <w:p>
            <w:pPr>
              <w:pStyle w:val="TableParagraph"/>
              <w:rPr>
                <w:sz w:val="21"/>
              </w:rPr>
            </w:pPr>
            <w:r>
              <w:rPr>
                <w:spacing w:val="-1"/>
                <w:sz w:val="21"/>
              </w:rPr>
              <w:t>经济风险，需要城市有足够的应对能力。</w:t>
            </w:r>
          </w:p>
          <w:p>
            <w:pPr>
              <w:pStyle w:val="TableParagraph"/>
              <w:tabs>
                <w:tab w:val="left" w:pos="475"/>
              </w:tabs>
              <w:spacing w:before="43" w:line="278" w:lineRule="auto"/>
              <w:ind w:right="95"/>
              <w:rPr>
                <w:sz w:val="21"/>
              </w:rPr>
            </w:pPr>
            <w:r>
              <w:rPr>
                <w:rFonts w:ascii="Times New Roman" w:eastAsia="Times New Roman"/>
                <w:spacing w:val="-6"/>
                <w:sz w:val="21"/>
              </w:rPr>
              <w:t>3.</w:t>
            </w:r>
            <w:r>
              <w:rPr>
                <w:rFonts w:ascii="Times New Roman" w:eastAsia="Times New Roman"/>
                <w:sz w:val="21"/>
              </w:rPr>
              <w:tab/>
            </w:r>
            <w:r>
              <w:rPr>
                <w:spacing w:val="-6"/>
                <w:sz w:val="21"/>
              </w:rPr>
              <w:t>这些挑战对于欧洲的城市化进程来说，既是压力，也是</w:t>
            </w:r>
            <w:r>
              <w:rPr>
                <w:spacing w:val="-4"/>
                <w:sz w:val="21"/>
              </w:rPr>
              <w:t>机遇。</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spacing w:line="278" w:lineRule="auto"/>
              <w:ind w:left="108" w:right="96"/>
              <w:rPr>
                <w:sz w:val="21"/>
              </w:rPr>
            </w:pPr>
            <w:r>
              <w:rPr>
                <w:spacing w:val="-2"/>
                <w:sz w:val="21"/>
              </w:rPr>
              <w:t>欧洲单一市场对城市化进程</w:t>
            </w:r>
            <w:r>
              <w:rPr>
                <w:spacing w:val="-4"/>
                <w:sz w:val="21"/>
              </w:rPr>
              <w:t>的机遇</w:t>
            </w:r>
          </w:p>
        </w:tc>
        <w:tc>
          <w:tcPr>
            <w:tcW w:w="5527" w:type="dxa"/>
          </w:tcPr>
          <w:p>
            <w:pPr>
              <w:pStyle w:val="TableParagraph"/>
              <w:numPr>
                <w:ilvl w:val="0"/>
                <w:numId w:val="41"/>
              </w:numPr>
              <w:tabs>
                <w:tab w:val="left" w:pos="371"/>
              </w:tabs>
              <w:spacing w:before="23" w:after="0" w:line="278" w:lineRule="auto"/>
              <w:ind w:left="107" w:right="96" w:firstLine="0"/>
              <w:jc w:val="left"/>
              <w:rPr>
                <w:sz w:val="21"/>
              </w:rPr>
            </w:pPr>
            <w:r>
              <w:rPr>
                <w:spacing w:val="-2"/>
                <w:sz w:val="21"/>
              </w:rPr>
              <w:t>欧洲单一市场的建立，为城市提供了更大的市场空间，</w:t>
            </w:r>
            <w:r>
              <w:rPr>
                <w:spacing w:val="-2"/>
                <w:sz w:val="21"/>
              </w:rPr>
              <w:t>使得城市有更多的机会发展经济，提高城市的竞争力。</w:t>
            </w:r>
          </w:p>
          <w:p>
            <w:pPr>
              <w:pStyle w:val="TableParagraph"/>
              <w:numPr>
                <w:ilvl w:val="0"/>
                <w:numId w:val="41"/>
              </w:numPr>
              <w:tabs>
                <w:tab w:val="left" w:pos="475"/>
                <w:tab w:val="left" w:pos="476"/>
              </w:tabs>
              <w:spacing w:before="0" w:after="0" w:line="278" w:lineRule="auto"/>
              <w:ind w:left="107" w:right="-15" w:firstLine="0"/>
              <w:jc w:val="left"/>
              <w:rPr>
                <w:sz w:val="21"/>
              </w:rPr>
            </w:pPr>
            <w:r>
              <w:rPr>
                <w:spacing w:val="-2"/>
                <w:sz w:val="21"/>
              </w:rPr>
              <w:t>同时，欧洲单一市场的建立，也为城市提供了更多的合</w:t>
            </w:r>
            <w:r>
              <w:rPr>
                <w:spacing w:val="-2"/>
                <w:sz w:val="21"/>
              </w:rPr>
              <w:t>作机会，可以通过合作来共享资源，提高城市的发展潜力。</w:t>
            </w:r>
          </w:p>
          <w:p>
            <w:pPr>
              <w:pStyle w:val="TableParagraph"/>
              <w:numPr>
                <w:ilvl w:val="0"/>
                <w:numId w:val="41"/>
              </w:numPr>
              <w:tabs>
                <w:tab w:val="left" w:pos="484"/>
                <w:tab w:val="left" w:pos="485"/>
              </w:tabs>
              <w:spacing w:before="0" w:after="0" w:line="278" w:lineRule="auto"/>
              <w:ind w:left="107" w:right="96" w:firstLine="0"/>
              <w:jc w:val="left"/>
              <w:rPr>
                <w:sz w:val="21"/>
              </w:rPr>
            </w:pPr>
            <w:r>
              <w:rPr>
                <w:spacing w:val="-2"/>
                <w:sz w:val="21"/>
              </w:rPr>
              <w:t>这些机遇对于推动欧洲的城市化进程具有重要的推动</w:t>
            </w:r>
            <w:r>
              <w:rPr>
                <w:spacing w:val="-4"/>
                <w:sz w:val="21"/>
              </w:rPr>
              <w:t>作用。</w:t>
            </w:r>
          </w:p>
        </w:tc>
      </w:tr>
      <w:tr>
        <w:tblPrEx>
          <w:tblW w:w="0" w:type="auto"/>
          <w:jc w:val="left"/>
          <w:tblInd w:w="130" w:type="dxa"/>
          <w:tblLayout w:type="fixed"/>
          <w:tblCellMar>
            <w:top w:w="0" w:type="dxa"/>
            <w:left w:w="0" w:type="dxa"/>
            <w:bottom w:w="0" w:type="dxa"/>
            <w:right w:w="0" w:type="dxa"/>
          </w:tblCellMar>
          <w:tblLook w:val="01E0"/>
        </w:tblPrEx>
        <w:trPr>
          <w:trHeight w:val="1872"/>
          <w:jc w:val="left"/>
        </w:trPr>
        <w:tc>
          <w:tcPr>
            <w:tcW w:w="2769" w:type="dxa"/>
          </w:tcPr>
          <w:p>
            <w:pPr>
              <w:pStyle w:val="TableParagraph"/>
              <w:spacing w:line="278" w:lineRule="auto"/>
              <w:ind w:left="108" w:right="96"/>
              <w:rPr>
                <w:sz w:val="21"/>
              </w:rPr>
            </w:pPr>
            <w:r>
              <w:rPr>
                <w:spacing w:val="-2"/>
                <w:sz w:val="21"/>
              </w:rPr>
              <w:t>欧洲单一市场对城市化进程</w:t>
            </w:r>
            <w:r>
              <w:rPr>
                <w:spacing w:val="-2"/>
                <w:sz w:val="21"/>
              </w:rPr>
              <w:t>的未来展望</w:t>
            </w:r>
          </w:p>
        </w:tc>
        <w:tc>
          <w:tcPr>
            <w:tcW w:w="5527" w:type="dxa"/>
          </w:tcPr>
          <w:p>
            <w:pPr>
              <w:pStyle w:val="TableParagraph"/>
              <w:numPr>
                <w:ilvl w:val="0"/>
                <w:numId w:val="40"/>
              </w:numPr>
              <w:tabs>
                <w:tab w:val="left" w:pos="371"/>
              </w:tabs>
              <w:spacing w:before="23" w:after="0" w:line="278" w:lineRule="auto"/>
              <w:ind w:left="107" w:right="96" w:firstLine="0"/>
              <w:jc w:val="left"/>
              <w:rPr>
                <w:sz w:val="21"/>
              </w:rPr>
            </w:pPr>
            <w:r>
              <w:rPr>
                <w:spacing w:val="-2"/>
                <w:sz w:val="21"/>
              </w:rPr>
              <w:t>随着欧洲单一市场的不断发展和完善，预计未来欧洲的</w:t>
            </w:r>
            <w:r>
              <w:rPr>
                <w:spacing w:val="-2"/>
                <w:sz w:val="21"/>
              </w:rPr>
              <w:t>城市化进程将更加快速和深入。</w:t>
            </w:r>
          </w:p>
          <w:p>
            <w:pPr>
              <w:pStyle w:val="TableParagraph"/>
              <w:numPr>
                <w:ilvl w:val="0"/>
                <w:numId w:val="40"/>
              </w:numPr>
              <w:tabs>
                <w:tab w:val="left" w:pos="475"/>
                <w:tab w:val="left" w:pos="476"/>
              </w:tabs>
              <w:spacing w:before="0" w:after="0" w:line="278" w:lineRule="auto"/>
              <w:ind w:left="107" w:right="96" w:firstLine="0"/>
              <w:jc w:val="left"/>
              <w:rPr>
                <w:sz w:val="21"/>
              </w:rPr>
            </w:pPr>
            <w:r>
              <w:rPr>
                <w:spacing w:val="-13"/>
                <w:sz w:val="21"/>
              </w:rPr>
              <w:t>同时，欧洲单一市场也将为城市提供更多的发展机遇和</w:t>
            </w:r>
            <w:r>
              <w:rPr>
                <w:spacing w:val="-2"/>
                <w:sz w:val="21"/>
              </w:rPr>
              <w:t>挑战，需要城市有足够的应对能力和策略。</w:t>
            </w:r>
          </w:p>
          <w:p>
            <w:pPr>
              <w:pStyle w:val="TableParagraph"/>
              <w:numPr>
                <w:ilvl w:val="0"/>
                <w:numId w:val="40"/>
              </w:numPr>
              <w:tabs>
                <w:tab w:val="left" w:pos="475"/>
                <w:tab w:val="left" w:pos="476"/>
              </w:tabs>
              <w:spacing w:before="0" w:after="0" w:line="269" w:lineRule="exact"/>
              <w:ind w:left="475" w:right="0" w:hanging="369"/>
              <w:jc w:val="left"/>
              <w:rPr>
                <w:sz w:val="21"/>
              </w:rPr>
            </w:pPr>
            <w:r>
              <w:rPr>
                <w:spacing w:val="-11"/>
                <w:sz w:val="21"/>
              </w:rPr>
              <w:t>总的来说，欧洲单一市场将对欧洲的城市化进程产生深</w:t>
            </w:r>
          </w:p>
          <w:p>
            <w:pPr>
              <w:pStyle w:val="TableParagraph"/>
              <w:spacing w:before="43"/>
              <w:rPr>
                <w:sz w:val="21"/>
              </w:rPr>
            </w:pPr>
            <w:r>
              <w:rPr>
                <w:spacing w:val="-2"/>
                <w:sz w:val="21"/>
              </w:rPr>
              <w:t>远的影响。</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0"/>
              <w:ind w:left="0"/>
              <w:rPr>
                <w:rFonts w:ascii="Times New Roman"/>
                <w:sz w:val="22"/>
              </w:rPr>
            </w:pPr>
          </w:p>
        </w:tc>
        <w:tc>
          <w:tcPr>
            <w:tcW w:w="5527" w:type="dxa"/>
          </w:tcPr>
          <w:p>
            <w:pPr>
              <w:pStyle w:val="TableParagraph"/>
              <w:spacing w:before="0"/>
              <w:ind w:left="0"/>
              <w:rPr>
                <w:rFonts w:ascii="Times New Roman"/>
                <w:sz w:val="22"/>
              </w:rPr>
            </w:pPr>
          </w:p>
        </w:tc>
      </w:tr>
    </w:tbl>
    <w:p>
      <w:pPr>
        <w:pStyle w:val="BodyText"/>
        <w:spacing w:before="4"/>
        <w:ind w:left="0"/>
        <w:rPr>
          <w:rFonts w:ascii="Microsoft JhengHei"/>
          <w:b/>
          <w:sz w:val="5"/>
        </w:rPr>
      </w:pPr>
    </w:p>
    <w:p>
      <w:pPr>
        <w:pStyle w:val="BodyText"/>
        <w:spacing w:before="61"/>
        <w:ind w:left="680"/>
      </w:pPr>
      <w:r>
        <w:rPr>
          <w:spacing w:val="-1"/>
        </w:rPr>
        <w:t>欧洲单一市场与城市化的关系</w:t>
      </w:r>
    </w:p>
    <w:p>
      <w:pPr>
        <w:pStyle w:val="BodyText"/>
        <w:spacing w:before="8"/>
        <w:ind w:left="0"/>
        <w:rPr>
          <w:sz w:val="20"/>
        </w:rPr>
      </w:pPr>
    </w:p>
    <w:p>
      <w:pPr>
        <w:pStyle w:val="BodyText"/>
        <w:spacing w:before="1" w:line="417" w:lineRule="auto"/>
        <w:ind w:right="285"/>
      </w:pPr>
      <w:r>
        <w:rPr>
          <w:spacing w:val="-14"/>
        </w:rPr>
        <w:t>随着全球化的不断推进，城市化进程已成为世界各国面临的重要课题。</w:t>
      </w:r>
      <w:r>
        <w:rPr>
          <w:spacing w:val="-2"/>
        </w:rPr>
        <w:t>在欧洲，单一市场的建立与发展对城市化进程产生了深远的影响。本</w:t>
      </w:r>
      <w:r>
        <w:rPr>
          <w:spacing w:val="-2"/>
        </w:rPr>
        <w:t>文将从以下几个方面探讨欧洲单一市场与城市化的关系。</w:t>
      </w:r>
    </w:p>
    <w:p>
      <w:pPr>
        <w:pStyle w:val="BodyText"/>
        <w:spacing w:line="358" w:lineRule="exact"/>
      </w:pPr>
      <w:r>
        <w:rPr>
          <w:spacing w:val="-1"/>
        </w:rPr>
        <w:t>一、欧洲单一市场的发展背景</w:t>
      </w:r>
    </w:p>
    <w:p>
      <w:pPr>
        <w:pStyle w:val="BodyText"/>
        <w:spacing w:before="8"/>
        <w:ind w:left="0"/>
        <w:rPr>
          <w:sz w:val="20"/>
        </w:rPr>
      </w:pPr>
    </w:p>
    <w:p>
      <w:pPr>
        <w:pStyle w:val="BodyText"/>
        <w:spacing w:before="1" w:line="417" w:lineRule="auto"/>
        <w:ind w:right="518"/>
        <w:jc w:val="both"/>
      </w:pPr>
      <w:r>
        <w:rPr>
          <w:spacing w:val="-4"/>
        </w:rPr>
        <w:t>欧洲单一市场是指欧盟内部实行四大自由流通的商品、服务、资本和</w:t>
      </w:r>
      <w:r>
        <w:rPr>
          <w:spacing w:val="-4"/>
        </w:rPr>
        <w:t xml:space="preserve">劳动力的市场。这一市场的发展始于 </w:t>
      </w:r>
      <w:r>
        <w:rPr>
          <w:spacing w:val="-2"/>
        </w:rPr>
        <w:t>1980</w:t>
      </w:r>
      <w:r>
        <w:rPr>
          <w:spacing w:val="-8"/>
        </w:rPr>
        <w:t xml:space="preserve"> 年代，当时的欧洲共同体</w:t>
      </w:r>
      <w:r>
        <w:t>开始实施一系列政策，以促进成员国之间的经济一体化。1992 年，</w:t>
      </w:r>
      <w:r>
        <w:rPr>
          <w:spacing w:val="-4"/>
        </w:rPr>
        <w:t>欧洲联盟成立，单一市场建设进入全面实施阶段。此后，欧洲单一市</w:t>
      </w:r>
      <w:r>
        <w:rPr>
          <w:spacing w:val="-2"/>
        </w:rPr>
        <w:t>场不断扩大，涵盖了更多的领域和国家。</w:t>
      </w:r>
    </w:p>
    <w:p>
      <w:pPr>
        <w:pStyle w:val="BodyText"/>
        <w:spacing w:line="358" w:lineRule="exact"/>
      </w:pPr>
      <w:r>
        <w:rPr>
          <w:spacing w:val="-1"/>
        </w:rPr>
        <w:t>二、欧洲单一市场对城市化的影响</w:t>
      </w:r>
    </w:p>
    <w:p>
      <w:pPr>
        <w:pStyle w:val="BodyText"/>
        <w:spacing w:before="8"/>
        <w:ind w:left="0"/>
        <w:rPr>
          <w:sz w:val="20"/>
        </w:rPr>
      </w:pPr>
    </w:p>
    <w:p>
      <w:pPr>
        <w:pStyle w:val="ListParagraph"/>
        <w:numPr>
          <w:ilvl w:val="0"/>
          <w:numId w:val="39"/>
        </w:numPr>
        <w:tabs>
          <w:tab w:val="left" w:pos="540"/>
        </w:tabs>
        <w:spacing w:before="1" w:after="0" w:line="240" w:lineRule="auto"/>
        <w:ind w:left="540" w:right="0" w:hanging="420"/>
        <w:jc w:val="left"/>
        <w:rPr>
          <w:sz w:val="28"/>
        </w:rPr>
      </w:pPr>
      <w:r>
        <w:rPr>
          <w:spacing w:val="-1"/>
          <w:sz w:val="28"/>
        </w:rPr>
        <w:t>促进了城市间的人口流动</w:t>
      </w:r>
    </w:p>
    <w:p>
      <w:pPr>
        <w:pStyle w:val="BodyText"/>
        <w:spacing w:before="8"/>
        <w:ind w:left="0"/>
        <w:rPr>
          <w:sz w:val="20"/>
        </w:rPr>
      </w:pPr>
    </w:p>
    <w:p>
      <w:pPr>
        <w:pStyle w:val="BodyText"/>
        <w:spacing w:before="1"/>
      </w:pPr>
      <w:r>
        <w:rPr>
          <w:spacing w:val="-5"/>
        </w:rPr>
        <w:t>欧洲单一市场的建立使得成员国之间的边界逐渐消失，为人口的自由</w:t>
      </w:r>
    </w:p>
    <w:p>
      <w:pPr>
        <w:spacing w:after="0"/>
        <w:sectPr>
          <w:footerReference w:type="default" r:id="rId14"/>
          <w:type w:val="continuous"/>
          <w:pgSz w:w="11910" w:h="16840"/>
          <w:pgMar w:top="1400" w:right="1280" w:bottom="1380" w:left="1680" w:header="0" w:footer="1198"/>
          <w:pgNumType w:start="10"/>
          <w:cols w:space="708"/>
        </w:sectPr>
      </w:pPr>
    </w:p>
    <w:p>
      <w:pPr>
        <w:pStyle w:val="BodyText"/>
        <w:spacing w:before="37" w:line="417" w:lineRule="auto"/>
        <w:ind w:right="518"/>
        <w:jc w:val="both"/>
      </w:pPr>
      <w:r>
        <w:rPr>
          <w:spacing w:val="-4"/>
        </w:rPr>
        <w:t xml:space="preserve">流动创造了条件。根据欧盟统计局的数据，自 </w:t>
      </w:r>
      <w:r>
        <w:rPr>
          <w:spacing w:val="-2"/>
        </w:rPr>
        <w:t>1990</w:t>
      </w:r>
      <w:r>
        <w:rPr>
          <w:spacing w:val="-8"/>
        </w:rPr>
        <w:t xml:space="preserve"> 年代以来，欧洲</w:t>
      </w:r>
      <w:r>
        <w:rPr>
          <w:spacing w:val="-9"/>
        </w:rPr>
        <w:t>内部的跨国人口流动不断增加。这种人口流动不仅促进了城市间的联</w:t>
      </w:r>
      <w:r>
        <w:rPr>
          <w:spacing w:val="-4"/>
        </w:rPr>
        <w:t>系，还推动了城市化进程。例如，德国的柏林、法国的巴黎等大城市</w:t>
      </w:r>
      <w:r>
        <w:rPr>
          <w:spacing w:val="-2"/>
        </w:rPr>
        <w:t>吸引了大量的外来人口，使得这些城市的城市化水平不断提高。</w:t>
      </w:r>
    </w:p>
    <w:p>
      <w:pPr>
        <w:pStyle w:val="ListParagraph"/>
        <w:numPr>
          <w:ilvl w:val="0"/>
          <w:numId w:val="39"/>
        </w:numPr>
        <w:tabs>
          <w:tab w:val="left" w:pos="540"/>
        </w:tabs>
        <w:spacing w:before="0" w:after="0" w:line="358" w:lineRule="exact"/>
        <w:ind w:left="540" w:right="0" w:hanging="420"/>
        <w:jc w:val="both"/>
        <w:rPr>
          <w:sz w:val="28"/>
        </w:rPr>
      </w:pPr>
      <w:r>
        <w:rPr>
          <w:spacing w:val="-1"/>
          <w:sz w:val="28"/>
        </w:rPr>
        <w:t>促进了城市间的经济合作</w:t>
      </w:r>
    </w:p>
    <w:p>
      <w:pPr>
        <w:pStyle w:val="BodyText"/>
        <w:spacing w:before="8"/>
        <w:ind w:left="0"/>
        <w:rPr>
          <w:sz w:val="20"/>
        </w:rPr>
      </w:pPr>
    </w:p>
    <w:p>
      <w:pPr>
        <w:pStyle w:val="BodyText"/>
        <w:spacing w:before="1" w:line="417" w:lineRule="auto"/>
        <w:ind w:right="518"/>
        <w:jc w:val="both"/>
      </w:pPr>
      <w:r>
        <w:rPr>
          <w:spacing w:val="-6"/>
        </w:rPr>
        <w:t>欧洲单一市场的建立使得成员国之间的经济联系更加紧密，为城市间</w:t>
      </w:r>
      <w:r>
        <w:rPr>
          <w:spacing w:val="-9"/>
        </w:rPr>
        <w:t>的经济合作提供了良好的环境。许多城市开始寻求与其他城市的经济</w:t>
      </w:r>
      <w:r>
        <w:rPr>
          <w:spacing w:val="-4"/>
        </w:rPr>
        <w:t>合作，以实现互补优势和共同发展。例如，英国的伦敦与荷兰的阿姆</w:t>
      </w:r>
      <w:r>
        <w:rPr>
          <w:spacing w:val="-7"/>
        </w:rPr>
        <w:t>斯特丹通过欧洲单一市场实现了金融服务业的合作，共同打造了欧洲</w:t>
      </w:r>
      <w:r>
        <w:rPr>
          <w:spacing w:val="-2"/>
        </w:rPr>
        <w:t>金融中心。</w:t>
      </w:r>
    </w:p>
    <w:p>
      <w:pPr>
        <w:pStyle w:val="ListParagraph"/>
        <w:numPr>
          <w:ilvl w:val="0"/>
          <w:numId w:val="39"/>
        </w:numPr>
        <w:tabs>
          <w:tab w:val="left" w:pos="540"/>
        </w:tabs>
        <w:spacing w:before="0" w:after="0" w:line="358" w:lineRule="exact"/>
        <w:ind w:left="540" w:right="0" w:hanging="420"/>
        <w:jc w:val="both"/>
        <w:rPr>
          <w:sz w:val="28"/>
        </w:rPr>
      </w:pPr>
      <w:r>
        <w:rPr>
          <w:spacing w:val="-1"/>
          <w:sz w:val="28"/>
        </w:rPr>
        <w:t>促进了城市间的基础设施建设</w:t>
      </w:r>
    </w:p>
    <w:p>
      <w:pPr>
        <w:pStyle w:val="BodyText"/>
        <w:spacing w:before="8"/>
        <w:ind w:left="0"/>
        <w:rPr>
          <w:sz w:val="20"/>
        </w:rPr>
      </w:pPr>
    </w:p>
    <w:p>
      <w:pPr>
        <w:pStyle w:val="BodyText"/>
        <w:spacing w:before="1" w:line="417" w:lineRule="auto"/>
        <w:ind w:right="285"/>
      </w:pPr>
      <w:r>
        <w:rPr>
          <w:spacing w:val="-12"/>
        </w:rPr>
        <w:t>为了适应欧洲单一市场的需求，各成员国纷纷加大基础设施建设投入，</w:t>
      </w:r>
      <w:r>
        <w:rPr>
          <w:spacing w:val="-2"/>
        </w:rPr>
        <w:t>以提高城市间的互联互通水平。这些基础设施包括交通、通信、能源</w:t>
      </w:r>
      <w:r>
        <w:rPr>
          <w:spacing w:val="-2"/>
        </w:rPr>
        <w:t>等方面。例如，欧洲高速铁路网络的建设使得各成员国之间的交通更</w:t>
      </w:r>
      <w:r>
        <w:rPr>
          <w:spacing w:val="-2"/>
        </w:rPr>
        <w:t>加便捷，为城市间的人口流动和经济合作提供了便利条件。</w:t>
      </w:r>
    </w:p>
    <w:p>
      <w:pPr>
        <w:pStyle w:val="ListParagraph"/>
        <w:numPr>
          <w:ilvl w:val="0"/>
          <w:numId w:val="39"/>
        </w:numPr>
        <w:tabs>
          <w:tab w:val="left" w:pos="540"/>
        </w:tabs>
        <w:spacing w:before="0" w:after="0" w:line="358" w:lineRule="exact"/>
        <w:ind w:left="540" w:right="0" w:hanging="420"/>
        <w:jc w:val="left"/>
        <w:rPr>
          <w:sz w:val="28"/>
        </w:rPr>
      </w:pPr>
      <w:r>
        <w:rPr>
          <w:spacing w:val="-1"/>
          <w:sz w:val="28"/>
        </w:rPr>
        <w:t>促进了城市间的文化交流</w:t>
      </w:r>
    </w:p>
    <w:p>
      <w:pPr>
        <w:pStyle w:val="BodyText"/>
        <w:spacing w:before="8"/>
        <w:ind w:left="0"/>
        <w:rPr>
          <w:sz w:val="20"/>
        </w:rPr>
      </w:pPr>
    </w:p>
    <w:p>
      <w:pPr>
        <w:pStyle w:val="BodyText"/>
        <w:spacing w:before="1" w:line="417" w:lineRule="auto"/>
        <w:ind w:right="518"/>
        <w:jc w:val="both"/>
      </w:pPr>
      <w:r>
        <w:rPr>
          <w:spacing w:val="-6"/>
        </w:rPr>
        <w:t>欧洲单一市场的建立使得各成员国之间的文化交流更加频繁，为城市</w:t>
      </w:r>
      <w:r>
        <w:rPr>
          <w:spacing w:val="-4"/>
        </w:rPr>
        <w:t>间的文化融合创造了条件。许多城市开始举办各种文化活动，以吸引</w:t>
      </w:r>
      <w:r>
        <w:rPr>
          <w:spacing w:val="-4"/>
        </w:rPr>
        <w:t>外来人口和文化资源。例如，法国的戛纳电影节吸引了世界各地的电</w:t>
      </w:r>
      <w:r>
        <w:rPr>
          <w:spacing w:val="-2"/>
        </w:rPr>
        <w:t>影人和观众，使得这个海滨小城成为世界著名的文化盛事。</w:t>
      </w:r>
    </w:p>
    <w:p>
      <w:pPr>
        <w:pStyle w:val="BodyText"/>
        <w:spacing w:line="358" w:lineRule="exact"/>
      </w:pPr>
      <w:r>
        <w:rPr>
          <w:spacing w:val="-1"/>
        </w:rPr>
        <w:t>三、欧洲单一市场对城市化的挑战</w:t>
      </w:r>
    </w:p>
    <w:p>
      <w:pPr>
        <w:pStyle w:val="BodyText"/>
        <w:spacing w:before="8"/>
        <w:ind w:left="0"/>
        <w:rPr>
          <w:sz w:val="20"/>
        </w:rPr>
      </w:pPr>
    </w:p>
    <w:p>
      <w:pPr>
        <w:pStyle w:val="BodyText"/>
        <w:spacing w:before="1"/>
      </w:pPr>
      <w:r>
        <w:rPr>
          <w:spacing w:val="-6"/>
        </w:rPr>
        <w:t>尽管欧洲单一市场对城市化进程产生了积极影响，但同时也带来了一</w:t>
      </w:r>
    </w:p>
    <w:p>
      <w:pPr>
        <w:spacing w:after="0"/>
        <w:sectPr>
          <w:footerReference w:type="default" r:id="rId15"/>
          <w:pgSz w:w="11910" w:h="16840"/>
          <w:pgMar w:top="1520" w:right="1280" w:bottom="1380" w:left="1680" w:header="0" w:footer="1198"/>
          <w:pgNumType w:start="11"/>
          <w:cols w:space="708"/>
        </w:sectPr>
      </w:pPr>
    </w:p>
    <w:p>
      <w:pPr>
        <w:pStyle w:val="BodyText"/>
        <w:spacing w:before="37"/>
      </w:pPr>
      <w:r>
        <w:rPr>
          <w:spacing w:val="-3"/>
        </w:rPr>
        <w:t>些挑战。</w:t>
      </w:r>
    </w:p>
    <w:p>
      <w:pPr>
        <w:pStyle w:val="BodyText"/>
        <w:spacing w:before="8"/>
        <w:ind w:left="0"/>
        <w:rPr>
          <w:sz w:val="20"/>
        </w:rPr>
      </w:pPr>
    </w:p>
    <w:p>
      <w:pPr>
        <w:pStyle w:val="ListParagraph"/>
        <w:numPr>
          <w:ilvl w:val="0"/>
          <w:numId w:val="38"/>
        </w:numPr>
        <w:tabs>
          <w:tab w:val="left" w:pos="540"/>
        </w:tabs>
        <w:spacing w:before="1" w:after="0" w:line="240" w:lineRule="auto"/>
        <w:ind w:left="540" w:right="0" w:hanging="420"/>
        <w:jc w:val="left"/>
        <w:rPr>
          <w:sz w:val="28"/>
        </w:rPr>
      </w:pPr>
      <w:r>
        <w:rPr>
          <w:spacing w:val="-2"/>
          <w:sz w:val="28"/>
        </w:rPr>
        <w:t>城市化水平的不平衡</w:t>
      </w:r>
    </w:p>
    <w:p>
      <w:pPr>
        <w:pStyle w:val="BodyText"/>
        <w:spacing w:before="8"/>
        <w:ind w:left="0"/>
        <w:rPr>
          <w:sz w:val="20"/>
        </w:rPr>
      </w:pPr>
    </w:p>
    <w:p>
      <w:pPr>
        <w:pStyle w:val="BodyText"/>
        <w:spacing w:before="1" w:line="417" w:lineRule="auto"/>
        <w:ind w:right="378"/>
      </w:pPr>
      <w:r>
        <w:rPr>
          <w:spacing w:val="-6"/>
        </w:rPr>
        <w:t>欧洲单一市场的发展使得各成员国之间的经济联系更加紧密，但城市</w:t>
      </w:r>
      <w:r>
        <w:rPr>
          <w:spacing w:val="-2"/>
        </w:rPr>
        <w:t>化水平的不平衡问题依然突出。一方面，一些大城市如伦敦、巴黎等</w:t>
      </w:r>
      <w:r>
        <w:rPr>
          <w:spacing w:val="-15"/>
        </w:rPr>
        <w:t>吸引了大量的外来人口和资源，导致城市化水平迅速提高；另一方面，</w:t>
      </w:r>
      <w:r>
        <w:rPr>
          <w:spacing w:val="-6"/>
        </w:rPr>
        <w:t>一些中小城市则面临着人口外流和经济发展滞后的问题。这种不平衡</w:t>
      </w:r>
      <w:r>
        <w:rPr>
          <w:spacing w:val="-2"/>
        </w:rPr>
        <w:t>的城市化水平可能导致社会矛盾和地区发展的失衡。</w:t>
      </w:r>
    </w:p>
    <w:p>
      <w:pPr>
        <w:pStyle w:val="ListParagraph"/>
        <w:numPr>
          <w:ilvl w:val="0"/>
          <w:numId w:val="38"/>
        </w:numPr>
        <w:tabs>
          <w:tab w:val="left" w:pos="540"/>
        </w:tabs>
        <w:spacing w:before="0" w:after="0" w:line="358" w:lineRule="exact"/>
        <w:ind w:left="540" w:right="0" w:hanging="420"/>
        <w:jc w:val="left"/>
        <w:rPr>
          <w:sz w:val="28"/>
        </w:rPr>
      </w:pPr>
      <w:r>
        <w:rPr>
          <w:spacing w:val="-2"/>
          <w:sz w:val="28"/>
        </w:rPr>
        <w:t>城市间的竞争加剧</w:t>
      </w:r>
    </w:p>
    <w:p>
      <w:pPr>
        <w:pStyle w:val="BodyText"/>
        <w:spacing w:before="8"/>
        <w:ind w:left="0"/>
        <w:rPr>
          <w:sz w:val="20"/>
        </w:rPr>
      </w:pPr>
    </w:p>
    <w:p>
      <w:pPr>
        <w:pStyle w:val="BodyText"/>
        <w:spacing w:before="1" w:line="417" w:lineRule="auto"/>
        <w:ind w:right="518"/>
        <w:jc w:val="both"/>
      </w:pPr>
      <w:r>
        <w:rPr>
          <w:spacing w:val="-6"/>
        </w:rPr>
        <w:t>欧洲单一市场的建立使得各成员国之间的竞争更加激烈，这种竞争不</w:t>
      </w:r>
      <w:r>
        <w:rPr>
          <w:spacing w:val="-4"/>
        </w:rPr>
        <w:t>仅体现在经济领域，还体现在城市发展方面。为了吸引更多的人口和</w:t>
      </w:r>
      <w:r>
        <w:rPr>
          <w:spacing w:val="-4"/>
        </w:rPr>
        <w:t>资源，各城市纷纷加大投入，提高自身的竞争力。然而，过度的竞争</w:t>
      </w:r>
      <w:r>
        <w:rPr>
          <w:spacing w:val="-8"/>
        </w:rPr>
        <w:t>可能导致资源的浪费和环境的破坏，对城市的可持续发展产生负面影</w:t>
      </w:r>
      <w:r>
        <w:rPr>
          <w:spacing w:val="-6"/>
        </w:rPr>
        <w:t>响。</w:t>
      </w:r>
    </w:p>
    <w:p>
      <w:pPr>
        <w:pStyle w:val="ListParagraph"/>
        <w:numPr>
          <w:ilvl w:val="0"/>
          <w:numId w:val="38"/>
        </w:numPr>
        <w:tabs>
          <w:tab w:val="left" w:pos="540"/>
        </w:tabs>
        <w:spacing w:before="0" w:after="0" w:line="358" w:lineRule="exact"/>
        <w:ind w:left="540" w:right="0" w:hanging="420"/>
        <w:jc w:val="both"/>
        <w:rPr>
          <w:sz w:val="28"/>
        </w:rPr>
      </w:pPr>
      <w:r>
        <w:rPr>
          <w:spacing w:val="-1"/>
          <w:sz w:val="28"/>
        </w:rPr>
        <w:t>城市化进程带来的社会问题</w:t>
      </w:r>
    </w:p>
    <w:p>
      <w:pPr>
        <w:pStyle w:val="BodyText"/>
        <w:spacing w:before="8"/>
        <w:ind w:left="0"/>
        <w:rPr>
          <w:sz w:val="20"/>
        </w:rPr>
      </w:pPr>
    </w:p>
    <w:p>
      <w:pPr>
        <w:pStyle w:val="BodyText"/>
        <w:spacing w:before="1" w:line="417" w:lineRule="auto"/>
        <w:ind w:right="518"/>
        <w:jc w:val="both"/>
      </w:pPr>
      <w:r>
        <w:rPr>
          <w:spacing w:val="-4"/>
        </w:rPr>
        <w:t>随着城市化进程的推进，欧洲各国面临着一系列社会问题，如住房紧张、交通拥堵、环境污染等。这些问题需要各国政府采取有效措施加</w:t>
      </w:r>
      <w:r>
        <w:rPr>
          <w:spacing w:val="-2"/>
        </w:rPr>
        <w:t>以解决，以确保城市化进程的顺利进行。</w:t>
      </w:r>
    </w:p>
    <w:p>
      <w:pPr>
        <w:pStyle w:val="BodyText"/>
        <w:spacing w:line="417" w:lineRule="auto"/>
        <w:ind w:right="518"/>
        <w:jc w:val="both"/>
      </w:pPr>
      <w:r>
        <w:rPr>
          <w:spacing w:val="-4"/>
        </w:rPr>
        <w:t>总之，欧洲单一市场对城市化进程产生了深远的影响。在促进城市间</w:t>
      </w:r>
      <w:r>
        <w:rPr>
          <w:spacing w:val="-4"/>
        </w:rPr>
        <w:t>的人口流动、经济合作、基础设施建设和文化交流的同时，也带来了</w:t>
      </w:r>
      <w:r>
        <w:rPr>
          <w:spacing w:val="-4"/>
        </w:rPr>
        <w:t>城市化水平不平衡、城市间竞争加剧和社会问题等挑战。因此，各国</w:t>
      </w:r>
      <w:r>
        <w:rPr>
          <w:spacing w:val="-4"/>
        </w:rPr>
        <w:t>政府需要在推动欧洲单一市场发展的同时，加强城市规划和管理，确</w:t>
      </w:r>
      <w:r>
        <w:rPr>
          <w:spacing w:val="-2"/>
        </w:rPr>
        <w:t>保城市化进程的可持续发展。</w:t>
      </w:r>
    </w:p>
    <w:p>
      <w:pPr>
        <w:spacing w:after="0" w:line="417" w:lineRule="auto"/>
        <w:jc w:val="both"/>
        <w:sectPr>
          <w:footerReference w:type="default" r:id="rId16"/>
          <w:pgSz w:w="11910" w:h="16840"/>
          <w:pgMar w:top="1520" w:right="1280" w:bottom="1380" w:left="1680" w:header="0" w:footer="1198"/>
          <w:pgNumType w:start="12"/>
          <w:cols w:space="708"/>
        </w:sectPr>
      </w:pPr>
    </w:p>
    <w:p>
      <w:pPr>
        <w:pStyle w:val="BodyText"/>
        <w:spacing w:before="2"/>
        <w:ind w:left="0"/>
        <w:rPr>
          <w:sz w:val="22"/>
        </w:rPr>
      </w:pPr>
    </w:p>
    <w:p>
      <w:pPr>
        <w:pStyle w:val="Heading1"/>
        <w:tabs>
          <w:tab w:val="left" w:pos="1725"/>
        </w:tabs>
        <w:spacing w:before="0" w:line="538" w:lineRule="exact"/>
      </w:pPr>
      <w:bookmarkStart w:id="3" w:name="_TOC_250004"/>
      <w:r>
        <w:t>第</w:t>
      </w:r>
      <w:r>
        <w:t>四</w:t>
      </w:r>
      <w:r>
        <w:t>部</w:t>
      </w:r>
      <w:r>
        <w:rPr>
          <w:spacing w:val="-10"/>
        </w:rPr>
        <w:t>分</w:t>
      </w:r>
      <w:r>
        <w:tab/>
        <w:t>欧</w:t>
      </w:r>
      <w:r>
        <w:t>洲</w:t>
      </w:r>
      <w:r>
        <w:t>单</w:t>
      </w:r>
      <w:r>
        <w:t>一</w:t>
      </w:r>
      <w:r>
        <w:t>市</w:t>
      </w:r>
      <w:r>
        <w:t>场</w:t>
      </w:r>
      <w:r>
        <w:t>的</w:t>
      </w:r>
      <w:r>
        <w:t>城</w:t>
      </w:r>
      <w:r>
        <w:t>市</w:t>
      </w:r>
      <w:r>
        <w:t>化</w:t>
      </w:r>
      <w:r>
        <w:t>程</w:t>
      </w:r>
      <w:r>
        <w:t>度</w:t>
      </w:r>
      <w:r>
        <w:t>分</w:t>
      </w:r>
      <w:bookmarkEnd w:id="3"/>
      <w:r>
        <w:rPr>
          <w:spacing w:val="-10"/>
        </w:rPr>
        <w:t>析</w:t>
      </w:r>
    </w:p>
    <w:p>
      <w:pPr>
        <w:pStyle w:val="BodyText"/>
        <w:spacing w:before="15" w:after="1"/>
        <w:ind w:left="0"/>
        <w:rPr>
          <w:rFonts w:ascii="Microsoft JhengHei"/>
          <w:b/>
          <w:sz w:val="15"/>
        </w:rPr>
      </w:pPr>
    </w:p>
    <w:tbl>
      <w:tblPr>
        <w:tblStyle w:val="TableNormal5"/>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ind w:left="108"/>
              <w:rPr>
                <w:sz w:val="21"/>
              </w:rPr>
            </w:pPr>
            <w:r>
              <w:rPr>
                <w:spacing w:val="-4"/>
                <w:sz w:val="21"/>
              </w:rPr>
              <w:t>关键词</w:t>
            </w:r>
          </w:p>
        </w:tc>
        <w:tc>
          <w:tcPr>
            <w:tcW w:w="5527" w:type="dxa"/>
          </w:tcPr>
          <w:p>
            <w:pPr>
              <w:pStyle w:val="TableParagraph"/>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69" w:type="dxa"/>
          </w:tcPr>
          <w:p>
            <w:pPr>
              <w:pStyle w:val="TableParagraph"/>
              <w:spacing w:line="278" w:lineRule="auto"/>
              <w:ind w:left="108" w:right="96"/>
              <w:rPr>
                <w:sz w:val="21"/>
              </w:rPr>
            </w:pPr>
            <w:r>
              <w:rPr>
                <w:spacing w:val="-2"/>
                <w:sz w:val="21"/>
              </w:rPr>
              <w:t>欧洲单一市场城市化的历史</w:t>
            </w:r>
            <w:r>
              <w:rPr>
                <w:spacing w:val="-6"/>
                <w:sz w:val="21"/>
              </w:rPr>
              <w:t>进程</w:t>
            </w:r>
          </w:p>
        </w:tc>
        <w:tc>
          <w:tcPr>
            <w:tcW w:w="5527" w:type="dxa"/>
          </w:tcPr>
          <w:p>
            <w:pPr>
              <w:pStyle w:val="TableParagraph"/>
              <w:numPr>
                <w:ilvl w:val="0"/>
                <w:numId w:val="37"/>
              </w:numPr>
              <w:tabs>
                <w:tab w:val="left" w:pos="371"/>
              </w:tabs>
              <w:spacing w:before="23" w:after="0" w:line="278" w:lineRule="auto"/>
              <w:ind w:left="107" w:right="96" w:firstLine="0"/>
              <w:jc w:val="both"/>
              <w:rPr>
                <w:sz w:val="21"/>
              </w:rPr>
            </w:pPr>
            <w:r>
              <w:rPr>
                <w:spacing w:val="-4"/>
                <w:sz w:val="21"/>
              </w:rPr>
              <w:t xml:space="preserve">欧洲单一市场的形成，源于欧洲联盟在 </w:t>
            </w:r>
            <w:r>
              <w:rPr>
                <w:rFonts w:ascii="Times New Roman" w:eastAsia="Times New Roman"/>
                <w:spacing w:val="-2"/>
                <w:sz w:val="21"/>
              </w:rPr>
              <w:t>20</w:t>
            </w:r>
            <w:r>
              <w:rPr>
                <w:rFonts w:ascii="Times New Roman" w:eastAsia="Times New Roman"/>
                <w:spacing w:val="-11"/>
                <w:sz w:val="21"/>
              </w:rPr>
              <w:t xml:space="preserve"> </w:t>
            </w:r>
            <w:r>
              <w:rPr>
                <w:spacing w:val="-10"/>
                <w:sz w:val="21"/>
              </w:rPr>
              <w:t xml:space="preserve">世纪 </w:t>
            </w:r>
            <w:r>
              <w:rPr>
                <w:rFonts w:ascii="Times New Roman" w:eastAsia="Times New Roman"/>
                <w:spacing w:val="-2"/>
                <w:sz w:val="21"/>
              </w:rPr>
              <w:t>50</w:t>
            </w:r>
            <w:r>
              <w:rPr>
                <w:rFonts w:ascii="Times New Roman" w:eastAsia="Times New Roman"/>
                <w:spacing w:val="-11"/>
                <w:sz w:val="21"/>
              </w:rPr>
              <w:t xml:space="preserve"> </w:t>
            </w:r>
            <w:r>
              <w:rPr>
                <w:spacing w:val="-2"/>
                <w:sz w:val="21"/>
              </w:rPr>
              <w:t>年代</w:t>
            </w:r>
            <w:r>
              <w:rPr>
                <w:spacing w:val="-2"/>
                <w:sz w:val="21"/>
              </w:rPr>
              <w:t>开始的一体化进程，这一进程使得欧洲各国之间的贸易壁</w:t>
            </w:r>
            <w:r>
              <w:rPr>
                <w:spacing w:val="-2"/>
                <w:sz w:val="21"/>
              </w:rPr>
              <w:t>垒逐渐消除，为城市化进程提供了条件。</w:t>
            </w:r>
          </w:p>
          <w:p>
            <w:pPr>
              <w:pStyle w:val="TableParagraph"/>
              <w:numPr>
                <w:ilvl w:val="0"/>
                <w:numId w:val="37"/>
              </w:numPr>
              <w:tabs>
                <w:tab w:val="left" w:pos="475"/>
                <w:tab w:val="left" w:pos="476"/>
              </w:tabs>
              <w:spacing w:before="0" w:after="0" w:line="278" w:lineRule="auto"/>
              <w:ind w:left="107" w:right="-116" w:firstLine="0"/>
              <w:jc w:val="left"/>
              <w:rPr>
                <w:sz w:val="21"/>
              </w:rPr>
            </w:pPr>
            <w:r>
              <w:rPr>
                <w:spacing w:val="-11"/>
                <w:sz w:val="21"/>
              </w:rPr>
              <w:t>随着欧洲单一市场的建立，各国城市间的联系日益紧密，</w:t>
            </w:r>
            <w:r>
              <w:rPr>
                <w:spacing w:val="-2"/>
                <w:sz w:val="21"/>
              </w:rPr>
              <w:t>城市化进程也随之加快。</w:t>
            </w:r>
          </w:p>
          <w:p>
            <w:pPr>
              <w:pStyle w:val="TableParagraph"/>
              <w:numPr>
                <w:ilvl w:val="0"/>
                <w:numId w:val="37"/>
              </w:numPr>
              <w:tabs>
                <w:tab w:val="left" w:pos="475"/>
                <w:tab w:val="left" w:pos="476"/>
              </w:tabs>
              <w:spacing w:before="0" w:after="0" w:line="278" w:lineRule="auto"/>
              <w:ind w:left="107" w:right="96" w:firstLine="0"/>
              <w:jc w:val="left"/>
              <w:rPr>
                <w:sz w:val="21"/>
              </w:rPr>
            </w:pPr>
            <w:r>
              <w:rPr>
                <w:spacing w:val="-12"/>
                <w:sz w:val="21"/>
              </w:rPr>
              <w:t>在过去的几十年中，欧洲单一市场的城市化程度不断提</w:t>
            </w:r>
            <w:r>
              <w:rPr>
                <w:spacing w:val="-2"/>
                <w:sz w:val="21"/>
              </w:rPr>
              <w:t>高，城市规模不断扩大，城市功能也在不断优化。</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9" w:type="dxa"/>
          </w:tcPr>
          <w:p>
            <w:pPr>
              <w:pStyle w:val="TableParagraph"/>
              <w:ind w:left="108"/>
              <w:rPr>
                <w:sz w:val="21"/>
              </w:rPr>
            </w:pPr>
            <w:r>
              <w:rPr>
                <w:spacing w:val="-1"/>
                <w:sz w:val="21"/>
              </w:rPr>
              <w:t>欧洲单一市场城市化的现状</w:t>
            </w:r>
          </w:p>
        </w:tc>
        <w:tc>
          <w:tcPr>
            <w:tcW w:w="5527" w:type="dxa"/>
          </w:tcPr>
          <w:p>
            <w:pPr>
              <w:pStyle w:val="TableParagraph"/>
              <w:numPr>
                <w:ilvl w:val="0"/>
                <w:numId w:val="36"/>
              </w:numPr>
              <w:tabs>
                <w:tab w:val="left" w:pos="371"/>
              </w:tabs>
              <w:spacing w:before="23" w:after="0" w:line="278" w:lineRule="auto"/>
              <w:ind w:left="107" w:right="96" w:firstLine="0"/>
              <w:jc w:val="left"/>
              <w:rPr>
                <w:sz w:val="21"/>
              </w:rPr>
            </w:pPr>
            <w:r>
              <w:rPr>
                <w:spacing w:val="-2"/>
                <w:sz w:val="21"/>
              </w:rPr>
              <w:t>目前，欧洲单一市场的城市化程度已经相当高，大部分</w:t>
            </w:r>
            <w:r>
              <w:rPr>
                <w:spacing w:val="-2"/>
                <w:sz w:val="21"/>
              </w:rPr>
              <w:t>人口都集中在城市地区。</w:t>
            </w:r>
          </w:p>
          <w:p>
            <w:pPr>
              <w:pStyle w:val="TableParagraph"/>
              <w:numPr>
                <w:ilvl w:val="0"/>
                <w:numId w:val="36"/>
              </w:numPr>
              <w:tabs>
                <w:tab w:val="left" w:pos="475"/>
                <w:tab w:val="left" w:pos="476"/>
              </w:tabs>
              <w:spacing w:before="0" w:after="0" w:line="278" w:lineRule="auto"/>
              <w:ind w:left="107" w:right="96" w:firstLine="0"/>
              <w:jc w:val="left"/>
              <w:rPr>
                <w:sz w:val="21"/>
              </w:rPr>
            </w:pPr>
            <w:r>
              <w:rPr>
                <w:spacing w:val="-8"/>
                <w:sz w:val="21"/>
              </w:rPr>
              <w:t>城市化进程在欧洲各国之间存在差异，一些国家的城市</w:t>
            </w:r>
            <w:r>
              <w:rPr>
                <w:spacing w:val="-2"/>
                <w:sz w:val="21"/>
              </w:rPr>
              <w:t>化进程更为迅速，而一些国家的城市化程度则相对较低。</w:t>
            </w:r>
          </w:p>
          <w:p>
            <w:pPr>
              <w:pStyle w:val="TableParagraph"/>
              <w:numPr>
                <w:ilvl w:val="0"/>
                <w:numId w:val="36"/>
              </w:numPr>
              <w:tabs>
                <w:tab w:val="left" w:pos="475"/>
                <w:tab w:val="left" w:pos="476"/>
              </w:tabs>
              <w:spacing w:before="0" w:after="0" w:line="278" w:lineRule="auto"/>
              <w:ind w:left="107" w:right="96" w:firstLine="0"/>
              <w:jc w:val="left"/>
              <w:rPr>
                <w:sz w:val="21"/>
              </w:rPr>
            </w:pPr>
            <w:r>
              <w:rPr>
                <w:spacing w:val="-12"/>
                <w:sz w:val="21"/>
              </w:rPr>
              <w:t>尽管城市化程度高，但欧洲城市的生活质量和环境质量</w:t>
            </w:r>
            <w:r>
              <w:rPr>
                <w:spacing w:val="-2"/>
                <w:sz w:val="21"/>
              </w:rPr>
              <w:t>也相对较好，这是欧洲城市化进程的一大特点。</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9" w:type="dxa"/>
          </w:tcPr>
          <w:p>
            <w:pPr>
              <w:pStyle w:val="TableParagraph"/>
              <w:ind w:left="108"/>
              <w:rPr>
                <w:sz w:val="21"/>
              </w:rPr>
            </w:pPr>
            <w:r>
              <w:rPr>
                <w:spacing w:val="-1"/>
                <w:sz w:val="21"/>
              </w:rPr>
              <w:t>欧洲单一市场城市化的影响</w:t>
            </w:r>
          </w:p>
        </w:tc>
        <w:tc>
          <w:tcPr>
            <w:tcW w:w="5527" w:type="dxa"/>
          </w:tcPr>
          <w:p>
            <w:pPr>
              <w:pStyle w:val="TableParagraph"/>
              <w:numPr>
                <w:ilvl w:val="0"/>
                <w:numId w:val="35"/>
              </w:numPr>
              <w:tabs>
                <w:tab w:val="left" w:pos="371"/>
              </w:tabs>
              <w:spacing w:before="23" w:after="0" w:line="278" w:lineRule="auto"/>
              <w:ind w:left="107" w:right="96" w:firstLine="0"/>
              <w:jc w:val="left"/>
              <w:rPr>
                <w:sz w:val="21"/>
              </w:rPr>
            </w:pPr>
            <w:r>
              <w:rPr>
                <w:spacing w:val="-2"/>
                <w:sz w:val="21"/>
              </w:rPr>
              <w:t>城市化进程对欧洲经济产生了重要影响，城市是经济活</w:t>
            </w:r>
            <w:r>
              <w:rPr>
                <w:spacing w:val="-2"/>
                <w:sz w:val="21"/>
              </w:rPr>
              <w:t>动的主要场所，城市化程度的提高有助于提高经济效率。</w:t>
            </w:r>
          </w:p>
          <w:p>
            <w:pPr>
              <w:pStyle w:val="TableParagraph"/>
              <w:numPr>
                <w:ilvl w:val="0"/>
                <w:numId w:val="35"/>
              </w:numPr>
              <w:tabs>
                <w:tab w:val="left" w:pos="475"/>
                <w:tab w:val="left" w:pos="476"/>
              </w:tabs>
              <w:spacing w:before="0" w:after="0" w:line="278" w:lineRule="auto"/>
              <w:ind w:left="107" w:right="96" w:firstLine="0"/>
              <w:jc w:val="left"/>
              <w:rPr>
                <w:sz w:val="21"/>
              </w:rPr>
            </w:pPr>
            <w:r>
              <w:rPr>
                <w:spacing w:val="-7"/>
                <w:sz w:val="21"/>
              </w:rPr>
              <w:t>城市化进程也对欧洲社会结构产生了影响，城市化使得</w:t>
            </w:r>
            <w:r>
              <w:rPr>
                <w:spacing w:val="-2"/>
                <w:sz w:val="21"/>
              </w:rPr>
              <w:t>社会结构更加复杂，也带来了一系列社会问题。</w:t>
            </w:r>
          </w:p>
          <w:p>
            <w:pPr>
              <w:pStyle w:val="TableParagraph"/>
              <w:numPr>
                <w:ilvl w:val="0"/>
                <w:numId w:val="35"/>
              </w:numPr>
              <w:tabs>
                <w:tab w:val="left" w:pos="475"/>
                <w:tab w:val="left" w:pos="476"/>
              </w:tabs>
              <w:spacing w:before="0" w:after="0" w:line="278" w:lineRule="auto"/>
              <w:ind w:left="107" w:right="96" w:firstLine="0"/>
              <w:jc w:val="left"/>
              <w:rPr>
                <w:sz w:val="21"/>
              </w:rPr>
            </w:pPr>
            <w:r>
              <w:rPr>
                <w:spacing w:val="-9"/>
                <w:sz w:val="21"/>
              </w:rPr>
              <w:t>城市化进程对环境也产生了影响，城市化带来的是环境</w:t>
            </w:r>
            <w:r>
              <w:rPr>
                <w:spacing w:val="-2"/>
                <w:sz w:val="21"/>
              </w:rPr>
              <w:t>压力的增大，但也推动了环保技术的发展和应用。</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ind w:left="108"/>
              <w:rPr>
                <w:sz w:val="21"/>
              </w:rPr>
            </w:pPr>
            <w:r>
              <w:rPr>
                <w:spacing w:val="-1"/>
                <w:sz w:val="21"/>
              </w:rPr>
              <w:t>欧洲单一市场城市化的挑战</w:t>
            </w:r>
          </w:p>
        </w:tc>
        <w:tc>
          <w:tcPr>
            <w:tcW w:w="5527" w:type="dxa"/>
          </w:tcPr>
          <w:p>
            <w:pPr>
              <w:pStyle w:val="TableParagraph"/>
              <w:numPr>
                <w:ilvl w:val="0"/>
                <w:numId w:val="34"/>
              </w:numPr>
              <w:tabs>
                <w:tab w:val="left" w:pos="371"/>
              </w:tabs>
              <w:spacing w:before="23" w:after="0" w:line="278" w:lineRule="auto"/>
              <w:ind w:left="107" w:right="96" w:firstLine="0"/>
              <w:jc w:val="left"/>
              <w:rPr>
                <w:sz w:val="21"/>
              </w:rPr>
            </w:pPr>
            <w:r>
              <w:rPr>
                <w:spacing w:val="-2"/>
                <w:sz w:val="21"/>
              </w:rPr>
              <w:t>随着城市化进程的加快，欧洲城市面临着诸多挑战，如</w:t>
            </w:r>
            <w:r>
              <w:rPr>
                <w:spacing w:val="-2"/>
                <w:sz w:val="21"/>
              </w:rPr>
              <w:t>人口过剩、环境污染、交通拥堵等问题。</w:t>
            </w:r>
          </w:p>
          <w:p>
            <w:pPr>
              <w:pStyle w:val="TableParagraph"/>
              <w:numPr>
                <w:ilvl w:val="0"/>
                <w:numId w:val="34"/>
              </w:numPr>
              <w:tabs>
                <w:tab w:val="left" w:pos="475"/>
                <w:tab w:val="left" w:pos="476"/>
              </w:tabs>
              <w:spacing w:before="0" w:after="0" w:line="278" w:lineRule="auto"/>
              <w:ind w:left="107" w:right="96" w:firstLine="0"/>
              <w:jc w:val="left"/>
              <w:rPr>
                <w:sz w:val="21"/>
              </w:rPr>
            </w:pPr>
            <w:r>
              <w:rPr>
                <w:spacing w:val="-8"/>
                <w:sz w:val="21"/>
              </w:rPr>
              <w:t>城市化进程也加剧了社会不平等问题，城市中的贫富差</w:t>
            </w:r>
            <w:r>
              <w:rPr>
                <w:spacing w:val="-2"/>
                <w:sz w:val="21"/>
              </w:rPr>
              <w:t>距在扩大。</w:t>
            </w:r>
          </w:p>
          <w:p>
            <w:pPr>
              <w:pStyle w:val="TableParagraph"/>
              <w:numPr>
                <w:ilvl w:val="0"/>
                <w:numId w:val="34"/>
              </w:numPr>
              <w:tabs>
                <w:tab w:val="left" w:pos="475"/>
                <w:tab w:val="left" w:pos="476"/>
              </w:tabs>
              <w:spacing w:before="0" w:after="0" w:line="278" w:lineRule="auto"/>
              <w:ind w:left="107" w:right="96" w:firstLine="0"/>
              <w:jc w:val="left"/>
              <w:rPr>
                <w:sz w:val="21"/>
              </w:rPr>
            </w:pPr>
            <w:r>
              <w:rPr>
                <w:spacing w:val="-9"/>
                <w:sz w:val="21"/>
              </w:rPr>
              <w:t>城市化进程还带来了文化冲击，如何在城市化进程中保</w:t>
            </w:r>
            <w:r>
              <w:rPr>
                <w:spacing w:val="-2"/>
                <w:sz w:val="21"/>
              </w:rPr>
              <w:t>持和传承本地文化，是欧洲城市面临的一大挑战。</w:t>
            </w:r>
          </w:p>
        </w:tc>
      </w:tr>
      <w:tr>
        <w:tblPrEx>
          <w:tblW w:w="0" w:type="auto"/>
          <w:jc w:val="left"/>
          <w:tblInd w:w="130" w:type="dxa"/>
          <w:tblLayout w:type="fixed"/>
          <w:tblCellMar>
            <w:top w:w="0" w:type="dxa"/>
            <w:left w:w="0" w:type="dxa"/>
            <w:bottom w:w="0" w:type="dxa"/>
            <w:right w:w="0" w:type="dxa"/>
          </w:tblCellMar>
          <w:tblLook w:val="01E0"/>
        </w:tblPrEx>
        <w:trPr>
          <w:trHeight w:val="1871"/>
          <w:jc w:val="left"/>
        </w:trPr>
        <w:tc>
          <w:tcPr>
            <w:tcW w:w="2769" w:type="dxa"/>
          </w:tcPr>
          <w:p>
            <w:pPr>
              <w:pStyle w:val="TableParagraph"/>
              <w:spacing w:line="278" w:lineRule="auto"/>
              <w:ind w:left="108" w:right="96"/>
              <w:rPr>
                <w:sz w:val="21"/>
              </w:rPr>
            </w:pPr>
            <w:r>
              <w:rPr>
                <w:spacing w:val="-2"/>
                <w:sz w:val="21"/>
              </w:rPr>
              <w:t>欧洲单一市场城市化的未来</w:t>
            </w:r>
            <w:r>
              <w:rPr>
                <w:spacing w:val="-6"/>
                <w:sz w:val="21"/>
              </w:rPr>
              <w:t>趋势</w:t>
            </w:r>
          </w:p>
        </w:tc>
        <w:tc>
          <w:tcPr>
            <w:tcW w:w="5527" w:type="dxa"/>
          </w:tcPr>
          <w:p>
            <w:pPr>
              <w:pStyle w:val="TableParagraph"/>
              <w:numPr>
                <w:ilvl w:val="0"/>
                <w:numId w:val="33"/>
              </w:numPr>
              <w:tabs>
                <w:tab w:val="left" w:pos="371"/>
              </w:tabs>
              <w:spacing w:before="23" w:after="0" w:line="278" w:lineRule="auto"/>
              <w:ind w:left="107" w:right="96" w:firstLine="0"/>
              <w:jc w:val="left"/>
              <w:rPr>
                <w:sz w:val="21"/>
              </w:rPr>
            </w:pPr>
            <w:r>
              <w:rPr>
                <w:spacing w:val="-2"/>
                <w:sz w:val="21"/>
              </w:rPr>
              <w:t>预计未来欧洲单一市场的城市化程度将继续提高，城市</w:t>
            </w:r>
            <w:r>
              <w:rPr>
                <w:spacing w:val="-2"/>
                <w:sz w:val="21"/>
              </w:rPr>
              <w:t>规模将进一步扩大。</w:t>
            </w:r>
          </w:p>
          <w:p>
            <w:pPr>
              <w:pStyle w:val="TableParagraph"/>
              <w:numPr>
                <w:ilvl w:val="0"/>
                <w:numId w:val="33"/>
              </w:numPr>
              <w:tabs>
                <w:tab w:val="left" w:pos="475"/>
                <w:tab w:val="left" w:pos="476"/>
              </w:tabs>
              <w:spacing w:before="0" w:after="0" w:line="278" w:lineRule="auto"/>
              <w:ind w:left="107" w:right="96" w:firstLine="0"/>
              <w:jc w:val="left"/>
              <w:rPr>
                <w:sz w:val="21"/>
              </w:rPr>
            </w:pPr>
            <w:r>
              <w:rPr>
                <w:spacing w:val="-11"/>
                <w:sz w:val="21"/>
              </w:rPr>
              <w:t>面对城市化带来的挑战，欧洲各国将采取更加积极的政</w:t>
            </w:r>
            <w:r>
              <w:rPr>
                <w:spacing w:val="-2"/>
                <w:sz w:val="21"/>
              </w:rPr>
              <w:t>策来应对，如推动绿色城市化、智能城市化等。</w:t>
            </w:r>
          </w:p>
          <w:p>
            <w:pPr>
              <w:pStyle w:val="TableParagraph"/>
              <w:numPr>
                <w:ilvl w:val="0"/>
                <w:numId w:val="33"/>
              </w:numPr>
              <w:tabs>
                <w:tab w:val="left" w:pos="475"/>
                <w:tab w:val="left" w:pos="476"/>
              </w:tabs>
              <w:spacing w:before="0" w:after="0" w:line="269" w:lineRule="exact"/>
              <w:ind w:left="475" w:right="0" w:hanging="369"/>
              <w:jc w:val="left"/>
              <w:rPr>
                <w:sz w:val="21"/>
              </w:rPr>
            </w:pPr>
            <w:r>
              <w:rPr>
                <w:spacing w:val="-7"/>
                <w:sz w:val="21"/>
              </w:rPr>
              <w:t>未来的城市化进程将更加注重人的发展，提高城市居民</w:t>
            </w:r>
          </w:p>
          <w:p>
            <w:pPr>
              <w:pStyle w:val="TableParagraph"/>
              <w:spacing w:before="43"/>
              <w:rPr>
                <w:sz w:val="21"/>
              </w:rPr>
            </w:pPr>
            <w:r>
              <w:rPr>
                <w:spacing w:val="-1"/>
                <w:sz w:val="21"/>
              </w:rPr>
              <w:t>的生活质量将成为城市化的重要目标。</w:t>
            </w:r>
          </w:p>
        </w:tc>
      </w:tr>
      <w:tr>
        <w:tblPrEx>
          <w:tblW w:w="0" w:type="auto"/>
          <w:jc w:val="left"/>
          <w:tblInd w:w="130" w:type="dxa"/>
          <w:tblLayout w:type="fixed"/>
          <w:tblCellMar>
            <w:top w:w="0" w:type="dxa"/>
            <w:left w:w="0" w:type="dxa"/>
            <w:bottom w:w="0" w:type="dxa"/>
            <w:right w:w="0" w:type="dxa"/>
          </w:tblCellMar>
          <w:tblLook w:val="01E0"/>
        </w:tblPrEx>
        <w:trPr>
          <w:trHeight w:val="311"/>
          <w:jc w:val="left"/>
        </w:trPr>
        <w:tc>
          <w:tcPr>
            <w:tcW w:w="2769" w:type="dxa"/>
          </w:tcPr>
          <w:p>
            <w:pPr>
              <w:pStyle w:val="TableParagraph"/>
              <w:spacing w:before="0"/>
              <w:ind w:left="0"/>
              <w:rPr>
                <w:rFonts w:ascii="Times New Roman"/>
                <w:sz w:val="20"/>
              </w:rPr>
            </w:pPr>
          </w:p>
        </w:tc>
        <w:tc>
          <w:tcPr>
            <w:tcW w:w="5527" w:type="dxa"/>
          </w:tcPr>
          <w:p>
            <w:pPr>
              <w:pStyle w:val="TableParagraph"/>
              <w:spacing w:before="0"/>
              <w:ind w:left="0"/>
              <w:rPr>
                <w:rFonts w:ascii="Times New Roman"/>
                <w:sz w:val="20"/>
              </w:rPr>
            </w:pPr>
          </w:p>
        </w:tc>
      </w:tr>
    </w:tbl>
    <w:p>
      <w:pPr>
        <w:pStyle w:val="BodyText"/>
        <w:spacing w:before="4"/>
        <w:ind w:left="0"/>
        <w:rPr>
          <w:rFonts w:ascii="Microsoft JhengHei"/>
          <w:b/>
          <w:sz w:val="4"/>
        </w:rPr>
      </w:pPr>
    </w:p>
    <w:p>
      <w:pPr>
        <w:pStyle w:val="BodyText"/>
        <w:spacing w:before="61"/>
        <w:ind w:left="680"/>
      </w:pPr>
      <w:r>
        <w:rPr>
          <w:spacing w:val="-1"/>
        </w:rPr>
        <w:t>欧洲单一市场的城市化程度分析</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7" w:history="1">
        <w:r>
          <w:rPr>
            <w:rFonts w:ascii="SimSun" w:eastAsia="SimSun" w:hAnsi="SimSun" w:cs="SimSun"/>
            <w:b/>
            <w:bCs/>
            <w:color w:val="0000EE"/>
            <w:sz w:val="30"/>
            <w:szCs w:val="30"/>
            <w:u w:val="single" w:color="0000EE"/>
          </w:rPr>
          <w:t>https://d.book118.com/485113020044011120</w:t>
        </w:r>
      </w:hyperlink>
    </w:p>
    <w:p>
      <w:pPr>
        <w:spacing w:after="0"/>
      </w:pPr>
    </w:p>
    <w:sectPr>
      <w:footerReference w:type="default" r:id="rId18"/>
      <w:pgSz w:w="11910" w:h="16840"/>
      <w:pgMar w:top="1920" w:right="1280" w:bottom="1380" w:left="1680" w:header="0" w:footer="1198"/>
      <w:pgNumType w:start="1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width:29.05pt;height:12pt;margin-top:770.98pt;margin-left:284.4pt;mso-position-horizontal-relative:page;mso-position-vertical-relative:page;position:absolute;z-index:-25165824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29.05pt;height:12pt;margin-top:770.98pt;margin-left:284.4pt;mso-position-horizontal-relative:page;mso-position-vertical-relative:page;position:absolute;z-index:-25165721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1" type="#_x0000_t202" style="width:29.05pt;height:12pt;margin-top:770.98pt;margin-left:284.4pt;mso-position-horizontal-relative:page;mso-position-vertical-relative:page;position:absolute;z-index:-25165619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2" type="#_x0000_t202" style="width:29.05pt;height:12pt;margin-top:770.98pt;margin-left:284.4pt;mso-position-horizontal-relative:page;mso-position-vertical-relative:page;position:absolute;z-index:-25165516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29.05pt;height:12pt;margin-top:770.98pt;margin-left:284.4pt;mso-position-horizontal-relative:page;mso-position-vertical-relative:page;position:absolute;z-index:-25165414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5</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4" type="#_x0000_t202" style="width:29.05pt;height:12pt;margin-top:770.98pt;margin-left:284.4pt;mso-position-horizontal-relative:page;mso-position-vertical-relative:page;position:absolute;z-index:-25165312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6</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5" type="#_x0000_t202" style="width:29.05pt;height:12pt;margin-top:770.98pt;margin-left:284.4pt;mso-position-horizontal-relative:page;mso-position-vertical-relative:page;position:absolute;z-index:-25165209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7</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29.05pt;height:12pt;margin-top:770.98pt;margin-left:284.4pt;mso-position-horizontal-relative:page;mso-position-vertical-relative:page;position:absolute;z-index:-25165107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8</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29.05pt;height:12pt;margin-top:770.98pt;margin-left:284.4pt;mso-position-horizontal-relative:page;mso-position-vertical-relative:page;position:absolute;z-index:-25165004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9</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8" type="#_x0000_t202" style="width:29.05pt;height:12pt;margin-top:770.98pt;margin-left:284.4pt;mso-position-horizontal-relative:page;mso-position-vertical-relative:page;position:absolute;z-index:-25164902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10</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9" type="#_x0000_t202" style="width:29.05pt;height:12pt;margin-top:770.98pt;margin-left:284.4pt;mso-position-horizontal-relative:page;mso-position-vertical-relative:page;position:absolute;z-index:-25164800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0" type="#_x0000_t202" style="width:29.05pt;height:12pt;margin-top:770.98pt;margin-left:284.4pt;mso-position-horizontal-relative:page;mso-position-vertical-relative:page;position:absolute;z-index:-25164697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1" type="#_x0000_t202" style="width:29.05pt;height:12pt;margin-top:770.98pt;margin-left:284.4pt;mso-position-horizontal-relative:page;mso-position-vertical-relative:page;position:absolute;z-index:-25164595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13</w:t>
                </w:r>
                <w:r>
                  <w:rPr>
                    <w:rFonts w:ascii="Times New Roman"/>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414A8F"/>
    <w:multiLevelType w:val="hybridMultilevel"/>
    <w:tmpl w:val="00000000"/>
    <w:lvl w:ilvl="0">
      <w:start w:val="1"/>
      <w:numFmt w:val="decimal"/>
      <w:lvlText w:val="%1."/>
      <w:lvlJc w:val="left"/>
      <w:pPr>
        <w:ind w:left="541"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2"/>
      </w:pPr>
      <w:rPr>
        <w:rFonts w:hint="default"/>
        <w:lang w:val="en-US" w:eastAsia="zh-CN" w:bidi="ar-SA"/>
      </w:rPr>
    </w:lvl>
    <w:lvl w:ilvl="2">
      <w:start w:val="0"/>
      <w:numFmt w:val="bullet"/>
      <w:lvlText w:val="•"/>
      <w:lvlJc w:val="left"/>
      <w:pPr>
        <w:ind w:left="2221" w:hanging="422"/>
      </w:pPr>
      <w:rPr>
        <w:rFonts w:hint="default"/>
        <w:lang w:val="en-US" w:eastAsia="zh-CN" w:bidi="ar-SA"/>
      </w:rPr>
    </w:lvl>
    <w:lvl w:ilvl="3">
      <w:start w:val="0"/>
      <w:numFmt w:val="bullet"/>
      <w:lvlText w:val="•"/>
      <w:lvlJc w:val="left"/>
      <w:pPr>
        <w:ind w:left="3061" w:hanging="422"/>
      </w:pPr>
      <w:rPr>
        <w:rFonts w:hint="default"/>
        <w:lang w:val="en-US" w:eastAsia="zh-CN" w:bidi="ar-SA"/>
      </w:rPr>
    </w:lvl>
    <w:lvl w:ilvl="4">
      <w:start w:val="0"/>
      <w:numFmt w:val="bullet"/>
      <w:lvlText w:val="•"/>
      <w:lvlJc w:val="left"/>
      <w:pPr>
        <w:ind w:left="3902" w:hanging="422"/>
      </w:pPr>
      <w:rPr>
        <w:rFonts w:hint="default"/>
        <w:lang w:val="en-US" w:eastAsia="zh-CN" w:bidi="ar-SA"/>
      </w:rPr>
    </w:lvl>
    <w:lvl w:ilvl="5">
      <w:start w:val="0"/>
      <w:numFmt w:val="bullet"/>
      <w:lvlText w:val="•"/>
      <w:lvlJc w:val="left"/>
      <w:pPr>
        <w:ind w:left="4743" w:hanging="422"/>
      </w:pPr>
      <w:rPr>
        <w:rFonts w:hint="default"/>
        <w:lang w:val="en-US" w:eastAsia="zh-CN" w:bidi="ar-SA"/>
      </w:rPr>
    </w:lvl>
    <w:lvl w:ilvl="6">
      <w:start w:val="0"/>
      <w:numFmt w:val="bullet"/>
      <w:lvlText w:val="•"/>
      <w:lvlJc w:val="left"/>
      <w:pPr>
        <w:ind w:left="5583" w:hanging="422"/>
      </w:pPr>
      <w:rPr>
        <w:rFonts w:hint="default"/>
        <w:lang w:val="en-US" w:eastAsia="zh-CN" w:bidi="ar-SA"/>
      </w:rPr>
    </w:lvl>
    <w:lvl w:ilvl="7">
      <w:start w:val="0"/>
      <w:numFmt w:val="bullet"/>
      <w:lvlText w:val="•"/>
      <w:lvlJc w:val="left"/>
      <w:pPr>
        <w:ind w:left="6424" w:hanging="422"/>
      </w:pPr>
      <w:rPr>
        <w:rFonts w:hint="default"/>
        <w:lang w:val="en-US" w:eastAsia="zh-CN" w:bidi="ar-SA"/>
      </w:rPr>
    </w:lvl>
    <w:lvl w:ilvl="8">
      <w:start w:val="0"/>
      <w:numFmt w:val="bullet"/>
      <w:lvlText w:val="•"/>
      <w:lvlJc w:val="left"/>
      <w:pPr>
        <w:ind w:left="7264" w:hanging="422"/>
      </w:pPr>
      <w:rPr>
        <w:rFonts w:hint="default"/>
        <w:lang w:val="en-US" w:eastAsia="zh-CN" w:bidi="ar-SA"/>
      </w:rPr>
    </w:lvl>
  </w:abstractNum>
  <w:abstractNum w:abstractNumId="1">
    <w:nsid w:val="01E5B86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
    <w:nsid w:val="02E06D7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
    <w:nsid w:val="04455236"/>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
    <w:nsid w:val="0586FBAD"/>
    <w:multiLevelType w:val="hybridMultilevel"/>
    <w:tmpl w:val="00000000"/>
    <w:lvl w:ilvl="0">
      <w:start w:val="2"/>
      <w:numFmt w:val="decimal"/>
      <w:lvlText w:val="%1."/>
      <w:lvlJc w:val="left"/>
      <w:pPr>
        <w:ind w:left="108" w:hanging="368"/>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368"/>
      </w:pPr>
      <w:rPr>
        <w:rFonts w:hint="default"/>
        <w:lang w:val="en-US" w:eastAsia="zh-CN" w:bidi="ar-SA"/>
      </w:rPr>
    </w:lvl>
    <w:lvl w:ilvl="2">
      <w:start w:val="0"/>
      <w:numFmt w:val="bullet"/>
      <w:lvlText w:val="•"/>
      <w:lvlJc w:val="left"/>
      <w:pPr>
        <w:ind w:left="1183" w:hanging="368"/>
      </w:pPr>
      <w:rPr>
        <w:rFonts w:hint="default"/>
        <w:lang w:val="en-US" w:eastAsia="zh-CN" w:bidi="ar-SA"/>
      </w:rPr>
    </w:lvl>
    <w:lvl w:ilvl="3">
      <w:start w:val="0"/>
      <w:numFmt w:val="bullet"/>
      <w:lvlText w:val="•"/>
      <w:lvlJc w:val="left"/>
      <w:pPr>
        <w:ind w:left="1725" w:hanging="368"/>
      </w:pPr>
      <w:rPr>
        <w:rFonts w:hint="default"/>
        <w:lang w:val="en-US" w:eastAsia="zh-CN" w:bidi="ar-SA"/>
      </w:rPr>
    </w:lvl>
    <w:lvl w:ilvl="4">
      <w:start w:val="0"/>
      <w:numFmt w:val="bullet"/>
      <w:lvlText w:val="•"/>
      <w:lvlJc w:val="left"/>
      <w:pPr>
        <w:ind w:left="2266" w:hanging="368"/>
      </w:pPr>
      <w:rPr>
        <w:rFonts w:hint="default"/>
        <w:lang w:val="en-US" w:eastAsia="zh-CN" w:bidi="ar-SA"/>
      </w:rPr>
    </w:lvl>
    <w:lvl w:ilvl="5">
      <w:start w:val="0"/>
      <w:numFmt w:val="bullet"/>
      <w:lvlText w:val="•"/>
      <w:lvlJc w:val="left"/>
      <w:pPr>
        <w:ind w:left="2808" w:hanging="368"/>
      </w:pPr>
      <w:rPr>
        <w:rFonts w:hint="default"/>
        <w:lang w:val="en-US" w:eastAsia="zh-CN" w:bidi="ar-SA"/>
      </w:rPr>
    </w:lvl>
    <w:lvl w:ilvl="6">
      <w:start w:val="0"/>
      <w:numFmt w:val="bullet"/>
      <w:lvlText w:val="•"/>
      <w:lvlJc w:val="left"/>
      <w:pPr>
        <w:ind w:left="3350" w:hanging="368"/>
      </w:pPr>
      <w:rPr>
        <w:rFonts w:hint="default"/>
        <w:lang w:val="en-US" w:eastAsia="zh-CN" w:bidi="ar-SA"/>
      </w:rPr>
    </w:lvl>
    <w:lvl w:ilvl="7">
      <w:start w:val="0"/>
      <w:numFmt w:val="bullet"/>
      <w:lvlText w:val="•"/>
      <w:lvlJc w:val="left"/>
      <w:pPr>
        <w:ind w:left="3891" w:hanging="368"/>
      </w:pPr>
      <w:rPr>
        <w:rFonts w:hint="default"/>
        <w:lang w:val="en-US" w:eastAsia="zh-CN" w:bidi="ar-SA"/>
      </w:rPr>
    </w:lvl>
    <w:lvl w:ilvl="8">
      <w:start w:val="0"/>
      <w:numFmt w:val="bullet"/>
      <w:lvlText w:val="•"/>
      <w:lvlJc w:val="left"/>
      <w:pPr>
        <w:ind w:left="4433" w:hanging="368"/>
      </w:pPr>
      <w:rPr>
        <w:rFonts w:hint="default"/>
        <w:lang w:val="en-US" w:eastAsia="zh-CN" w:bidi="ar-SA"/>
      </w:rPr>
    </w:lvl>
  </w:abstractNum>
  <w:abstractNum w:abstractNumId="5">
    <w:nsid w:val="0B3A33BF"/>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6">
    <w:nsid w:val="0B953864"/>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7">
    <w:nsid w:val="0C5A3C6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8">
    <w:nsid w:val="0D03F82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9">
    <w:nsid w:val="0D23211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1" w:hanging="263"/>
      </w:pPr>
      <w:rPr>
        <w:rFonts w:hint="default"/>
        <w:lang w:val="en-US" w:eastAsia="zh-CN" w:bidi="ar-SA"/>
      </w:rPr>
    </w:lvl>
    <w:lvl w:ilvl="7">
      <w:start w:val="0"/>
      <w:numFmt w:val="bullet"/>
      <w:lvlText w:val="•"/>
      <w:lvlJc w:val="left"/>
      <w:pPr>
        <w:ind w:left="3893" w:hanging="263"/>
      </w:pPr>
      <w:rPr>
        <w:rFonts w:hint="default"/>
        <w:lang w:val="en-US" w:eastAsia="zh-CN" w:bidi="ar-SA"/>
      </w:rPr>
    </w:lvl>
    <w:lvl w:ilvl="8">
      <w:start w:val="0"/>
      <w:numFmt w:val="bullet"/>
      <w:lvlText w:val="•"/>
      <w:lvlJc w:val="left"/>
      <w:pPr>
        <w:ind w:left="4435" w:hanging="263"/>
      </w:pPr>
      <w:rPr>
        <w:rFonts w:hint="default"/>
        <w:lang w:val="en-US" w:eastAsia="zh-CN" w:bidi="ar-SA"/>
      </w:rPr>
    </w:lvl>
  </w:abstractNum>
  <w:abstractNum w:abstractNumId="10">
    <w:nsid w:val="0D56A99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1">
    <w:nsid w:val="0F2A117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2">
    <w:nsid w:val="1062591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3">
    <w:nsid w:val="11224D3E"/>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14">
    <w:nsid w:val="11CB136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5">
    <w:nsid w:val="16635C2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6">
    <w:nsid w:val="18619625"/>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7">
    <w:nsid w:val="19274246"/>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8">
    <w:nsid w:val="1D76157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9">
    <w:nsid w:val="21E9E0A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0">
    <w:nsid w:val="224CB83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1">
    <w:nsid w:val="225D426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1" w:hanging="263"/>
      </w:pPr>
      <w:rPr>
        <w:rFonts w:hint="default"/>
        <w:lang w:val="en-US" w:eastAsia="zh-CN" w:bidi="ar-SA"/>
      </w:rPr>
    </w:lvl>
    <w:lvl w:ilvl="7">
      <w:start w:val="0"/>
      <w:numFmt w:val="bullet"/>
      <w:lvlText w:val="•"/>
      <w:lvlJc w:val="left"/>
      <w:pPr>
        <w:ind w:left="3893" w:hanging="263"/>
      </w:pPr>
      <w:rPr>
        <w:rFonts w:hint="default"/>
        <w:lang w:val="en-US" w:eastAsia="zh-CN" w:bidi="ar-SA"/>
      </w:rPr>
    </w:lvl>
    <w:lvl w:ilvl="8">
      <w:start w:val="0"/>
      <w:numFmt w:val="bullet"/>
      <w:lvlText w:val="•"/>
      <w:lvlJc w:val="left"/>
      <w:pPr>
        <w:ind w:left="4435" w:hanging="263"/>
      </w:pPr>
      <w:rPr>
        <w:rFonts w:hint="default"/>
        <w:lang w:val="en-US" w:eastAsia="zh-CN" w:bidi="ar-SA"/>
      </w:rPr>
    </w:lvl>
  </w:abstractNum>
  <w:abstractNum w:abstractNumId="22">
    <w:nsid w:val="2266305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3">
    <w:nsid w:val="2B82C21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4">
    <w:nsid w:val="2DFEBEE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5">
    <w:nsid w:val="2EC383F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1" w:hanging="263"/>
      </w:pPr>
      <w:rPr>
        <w:rFonts w:hint="default"/>
        <w:lang w:val="en-US" w:eastAsia="zh-CN" w:bidi="ar-SA"/>
      </w:rPr>
    </w:lvl>
    <w:lvl w:ilvl="7">
      <w:start w:val="0"/>
      <w:numFmt w:val="bullet"/>
      <w:lvlText w:val="•"/>
      <w:lvlJc w:val="left"/>
      <w:pPr>
        <w:ind w:left="3893" w:hanging="263"/>
      </w:pPr>
      <w:rPr>
        <w:rFonts w:hint="default"/>
        <w:lang w:val="en-US" w:eastAsia="zh-CN" w:bidi="ar-SA"/>
      </w:rPr>
    </w:lvl>
    <w:lvl w:ilvl="8">
      <w:start w:val="0"/>
      <w:numFmt w:val="bullet"/>
      <w:lvlText w:val="•"/>
      <w:lvlJc w:val="left"/>
      <w:pPr>
        <w:ind w:left="4435" w:hanging="263"/>
      </w:pPr>
      <w:rPr>
        <w:rFonts w:hint="default"/>
        <w:lang w:val="en-US" w:eastAsia="zh-CN" w:bidi="ar-SA"/>
      </w:rPr>
    </w:lvl>
  </w:abstractNum>
  <w:abstractNum w:abstractNumId="26">
    <w:nsid w:val="2EF7C742"/>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27">
    <w:nsid w:val="31F3F17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8">
    <w:nsid w:val="32FC5F1B"/>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1" w:hanging="263"/>
      </w:pPr>
      <w:rPr>
        <w:rFonts w:hint="default"/>
        <w:lang w:val="en-US" w:eastAsia="zh-CN" w:bidi="ar-SA"/>
      </w:rPr>
    </w:lvl>
    <w:lvl w:ilvl="7">
      <w:start w:val="0"/>
      <w:numFmt w:val="bullet"/>
      <w:lvlText w:val="•"/>
      <w:lvlJc w:val="left"/>
      <w:pPr>
        <w:ind w:left="3893" w:hanging="263"/>
      </w:pPr>
      <w:rPr>
        <w:rFonts w:hint="default"/>
        <w:lang w:val="en-US" w:eastAsia="zh-CN" w:bidi="ar-SA"/>
      </w:rPr>
    </w:lvl>
    <w:lvl w:ilvl="8">
      <w:start w:val="0"/>
      <w:numFmt w:val="bullet"/>
      <w:lvlText w:val="•"/>
      <w:lvlJc w:val="left"/>
      <w:pPr>
        <w:ind w:left="4435" w:hanging="263"/>
      </w:pPr>
      <w:rPr>
        <w:rFonts w:hint="default"/>
        <w:lang w:val="en-US" w:eastAsia="zh-CN" w:bidi="ar-SA"/>
      </w:rPr>
    </w:lvl>
  </w:abstractNum>
  <w:abstractNum w:abstractNumId="29">
    <w:nsid w:val="3822FC3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0">
    <w:nsid w:val="3863E8DF"/>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31">
    <w:nsid w:val="3DE0097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2">
    <w:nsid w:val="3E2CC6D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3">
    <w:nsid w:val="3FC74372"/>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34">
    <w:nsid w:val="4012DE2B"/>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5">
    <w:nsid w:val="413DF5E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6">
    <w:nsid w:val="4141618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7">
    <w:nsid w:val="41A4C18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8">
    <w:nsid w:val="42A42BA8"/>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39">
    <w:nsid w:val="4508A35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0">
    <w:nsid w:val="4829FF2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1" w:hanging="263"/>
      </w:pPr>
      <w:rPr>
        <w:rFonts w:hint="default"/>
        <w:lang w:val="en-US" w:eastAsia="zh-CN" w:bidi="ar-SA"/>
      </w:rPr>
    </w:lvl>
    <w:lvl w:ilvl="7">
      <w:start w:val="0"/>
      <w:numFmt w:val="bullet"/>
      <w:lvlText w:val="•"/>
      <w:lvlJc w:val="left"/>
      <w:pPr>
        <w:ind w:left="3893" w:hanging="263"/>
      </w:pPr>
      <w:rPr>
        <w:rFonts w:hint="default"/>
        <w:lang w:val="en-US" w:eastAsia="zh-CN" w:bidi="ar-SA"/>
      </w:rPr>
    </w:lvl>
    <w:lvl w:ilvl="8">
      <w:start w:val="0"/>
      <w:numFmt w:val="bullet"/>
      <w:lvlText w:val="•"/>
      <w:lvlJc w:val="left"/>
      <w:pPr>
        <w:ind w:left="4435" w:hanging="263"/>
      </w:pPr>
      <w:rPr>
        <w:rFonts w:hint="default"/>
        <w:lang w:val="en-US" w:eastAsia="zh-CN" w:bidi="ar-SA"/>
      </w:rPr>
    </w:lvl>
  </w:abstractNum>
  <w:abstractNum w:abstractNumId="41">
    <w:nsid w:val="48B9CD30"/>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42">
    <w:nsid w:val="4F9954D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3">
    <w:nsid w:val="5092574B"/>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4">
    <w:nsid w:val="5B85B497"/>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45">
    <w:nsid w:val="5BF93ED7"/>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6">
    <w:nsid w:val="5C335E4D"/>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47">
    <w:nsid w:val="5F93125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8">
    <w:nsid w:val="60DC80C1"/>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9">
    <w:nsid w:val="61A600A4"/>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50">
    <w:nsid w:val="6B4AA73B"/>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1">
    <w:nsid w:val="6BC525B8"/>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52">
    <w:nsid w:val="6FDAB6C2"/>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3">
    <w:nsid w:val="735989B8"/>
    <w:multiLevelType w:val="hybridMultilevel"/>
    <w:tmpl w:val="00000000"/>
    <w:lvl w:ilvl="0">
      <w:start w:val="2"/>
      <w:numFmt w:val="decimal"/>
      <w:lvlText w:val="%1."/>
      <w:lvlJc w:val="left"/>
      <w:pPr>
        <w:ind w:left="108" w:hanging="368"/>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368"/>
      </w:pPr>
      <w:rPr>
        <w:rFonts w:hint="default"/>
        <w:lang w:val="en-US" w:eastAsia="zh-CN" w:bidi="ar-SA"/>
      </w:rPr>
    </w:lvl>
    <w:lvl w:ilvl="2">
      <w:start w:val="0"/>
      <w:numFmt w:val="bullet"/>
      <w:lvlText w:val="•"/>
      <w:lvlJc w:val="left"/>
      <w:pPr>
        <w:ind w:left="1183" w:hanging="368"/>
      </w:pPr>
      <w:rPr>
        <w:rFonts w:hint="default"/>
        <w:lang w:val="en-US" w:eastAsia="zh-CN" w:bidi="ar-SA"/>
      </w:rPr>
    </w:lvl>
    <w:lvl w:ilvl="3">
      <w:start w:val="0"/>
      <w:numFmt w:val="bullet"/>
      <w:lvlText w:val="•"/>
      <w:lvlJc w:val="left"/>
      <w:pPr>
        <w:ind w:left="1725" w:hanging="368"/>
      </w:pPr>
      <w:rPr>
        <w:rFonts w:hint="default"/>
        <w:lang w:val="en-US" w:eastAsia="zh-CN" w:bidi="ar-SA"/>
      </w:rPr>
    </w:lvl>
    <w:lvl w:ilvl="4">
      <w:start w:val="0"/>
      <w:numFmt w:val="bullet"/>
      <w:lvlText w:val="•"/>
      <w:lvlJc w:val="left"/>
      <w:pPr>
        <w:ind w:left="2266" w:hanging="368"/>
      </w:pPr>
      <w:rPr>
        <w:rFonts w:hint="default"/>
        <w:lang w:val="en-US" w:eastAsia="zh-CN" w:bidi="ar-SA"/>
      </w:rPr>
    </w:lvl>
    <w:lvl w:ilvl="5">
      <w:start w:val="0"/>
      <w:numFmt w:val="bullet"/>
      <w:lvlText w:val="•"/>
      <w:lvlJc w:val="left"/>
      <w:pPr>
        <w:ind w:left="2808" w:hanging="368"/>
      </w:pPr>
      <w:rPr>
        <w:rFonts w:hint="default"/>
        <w:lang w:val="en-US" w:eastAsia="zh-CN" w:bidi="ar-SA"/>
      </w:rPr>
    </w:lvl>
    <w:lvl w:ilvl="6">
      <w:start w:val="0"/>
      <w:numFmt w:val="bullet"/>
      <w:lvlText w:val="•"/>
      <w:lvlJc w:val="left"/>
      <w:pPr>
        <w:ind w:left="3350" w:hanging="368"/>
      </w:pPr>
      <w:rPr>
        <w:rFonts w:hint="default"/>
        <w:lang w:val="en-US" w:eastAsia="zh-CN" w:bidi="ar-SA"/>
      </w:rPr>
    </w:lvl>
    <w:lvl w:ilvl="7">
      <w:start w:val="0"/>
      <w:numFmt w:val="bullet"/>
      <w:lvlText w:val="•"/>
      <w:lvlJc w:val="left"/>
      <w:pPr>
        <w:ind w:left="3891" w:hanging="368"/>
      </w:pPr>
      <w:rPr>
        <w:rFonts w:hint="default"/>
        <w:lang w:val="en-US" w:eastAsia="zh-CN" w:bidi="ar-SA"/>
      </w:rPr>
    </w:lvl>
    <w:lvl w:ilvl="8">
      <w:start w:val="0"/>
      <w:numFmt w:val="bullet"/>
      <w:lvlText w:val="•"/>
      <w:lvlJc w:val="left"/>
      <w:pPr>
        <w:ind w:left="4433" w:hanging="368"/>
      </w:pPr>
      <w:rPr>
        <w:rFonts w:hint="default"/>
        <w:lang w:val="en-US" w:eastAsia="zh-CN" w:bidi="ar-SA"/>
      </w:rPr>
    </w:lvl>
  </w:abstractNum>
  <w:abstractNum w:abstractNumId="54">
    <w:nsid w:val="74B5EC4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5">
    <w:nsid w:val="7DCDDD1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1" w:hanging="263"/>
      </w:pPr>
      <w:rPr>
        <w:rFonts w:hint="default"/>
        <w:lang w:val="en-US" w:eastAsia="zh-CN" w:bidi="ar-SA"/>
      </w:rPr>
    </w:lvl>
    <w:lvl w:ilvl="7">
      <w:start w:val="0"/>
      <w:numFmt w:val="bullet"/>
      <w:lvlText w:val="•"/>
      <w:lvlJc w:val="left"/>
      <w:pPr>
        <w:ind w:left="3893" w:hanging="263"/>
      </w:pPr>
      <w:rPr>
        <w:rFonts w:hint="default"/>
        <w:lang w:val="en-US" w:eastAsia="zh-CN" w:bidi="ar-SA"/>
      </w:rPr>
    </w:lvl>
    <w:lvl w:ilvl="8">
      <w:start w:val="0"/>
      <w:numFmt w:val="bullet"/>
      <w:lvlText w:val="•"/>
      <w:lvlJc w:val="left"/>
      <w:pPr>
        <w:ind w:left="4435" w:hanging="263"/>
      </w:pPr>
      <w:rPr>
        <w:rFonts w:hint="default"/>
        <w:lang w:val="en-US" w:eastAsia="zh-CN" w:bidi="ar-SA"/>
      </w:rPr>
    </w:lvl>
  </w:abstractNum>
  <w:abstractNum w:abstractNumId="56">
    <w:nsid w:val="7FF9C55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num w:numId="1">
    <w:abstractNumId w:val="5"/>
  </w:num>
  <w:num w:numId="2">
    <w:abstractNumId w:val="13"/>
  </w:num>
  <w:num w:numId="3">
    <w:abstractNumId w:val="40"/>
  </w:num>
  <w:num w:numId="4">
    <w:abstractNumId w:val="25"/>
  </w:num>
  <w:num w:numId="5">
    <w:abstractNumId w:val="28"/>
  </w:num>
  <w:num w:numId="6">
    <w:abstractNumId w:val="21"/>
  </w:num>
  <w:num w:numId="7">
    <w:abstractNumId w:val="55"/>
  </w:num>
  <w:num w:numId="8">
    <w:abstractNumId w:val="9"/>
  </w:num>
  <w:num w:numId="9">
    <w:abstractNumId w:val="38"/>
  </w:num>
  <w:num w:numId="10">
    <w:abstractNumId w:val="22"/>
  </w:num>
  <w:num w:numId="11">
    <w:abstractNumId w:val="54"/>
  </w:num>
  <w:num w:numId="12">
    <w:abstractNumId w:val="43"/>
  </w:num>
  <w:num w:numId="13">
    <w:abstractNumId w:val="53"/>
  </w:num>
  <w:num w:numId="14">
    <w:abstractNumId w:val="30"/>
  </w:num>
  <w:num w:numId="15">
    <w:abstractNumId w:val="20"/>
  </w:num>
  <w:num w:numId="16">
    <w:abstractNumId w:val="2"/>
  </w:num>
  <w:num w:numId="17">
    <w:abstractNumId w:val="49"/>
  </w:num>
  <w:num w:numId="18">
    <w:abstractNumId w:val="44"/>
  </w:num>
  <w:num w:numId="19">
    <w:abstractNumId w:val="4"/>
  </w:num>
  <w:num w:numId="20">
    <w:abstractNumId w:val="33"/>
  </w:num>
  <w:num w:numId="21">
    <w:abstractNumId w:val="16"/>
  </w:num>
  <w:num w:numId="22">
    <w:abstractNumId w:val="19"/>
  </w:num>
  <w:num w:numId="23">
    <w:abstractNumId w:val="10"/>
  </w:num>
  <w:num w:numId="24">
    <w:abstractNumId w:val="1"/>
  </w:num>
  <w:num w:numId="25">
    <w:abstractNumId w:val="34"/>
  </w:num>
  <w:num w:numId="26">
    <w:abstractNumId w:val="56"/>
  </w:num>
  <w:num w:numId="27">
    <w:abstractNumId w:val="31"/>
  </w:num>
  <w:num w:numId="28">
    <w:abstractNumId w:val="39"/>
  </w:num>
  <w:num w:numId="29">
    <w:abstractNumId w:val="27"/>
  </w:num>
  <w:num w:numId="30">
    <w:abstractNumId w:val="46"/>
  </w:num>
  <w:num w:numId="31">
    <w:abstractNumId w:val="17"/>
  </w:num>
  <w:num w:numId="32">
    <w:abstractNumId w:val="0"/>
  </w:num>
  <w:num w:numId="33">
    <w:abstractNumId w:val="45"/>
  </w:num>
  <w:num w:numId="34">
    <w:abstractNumId w:val="14"/>
  </w:num>
  <w:num w:numId="35">
    <w:abstractNumId w:val="18"/>
  </w:num>
  <w:num w:numId="36">
    <w:abstractNumId w:val="11"/>
  </w:num>
  <w:num w:numId="37">
    <w:abstractNumId w:val="35"/>
  </w:num>
  <w:num w:numId="38">
    <w:abstractNumId w:val="41"/>
  </w:num>
  <w:num w:numId="39">
    <w:abstractNumId w:val="6"/>
  </w:num>
  <w:num w:numId="40">
    <w:abstractNumId w:val="42"/>
  </w:num>
  <w:num w:numId="41">
    <w:abstractNumId w:val="52"/>
  </w:num>
  <w:num w:numId="42">
    <w:abstractNumId w:val="50"/>
  </w:num>
  <w:num w:numId="43">
    <w:abstractNumId w:val="8"/>
  </w:num>
  <w:num w:numId="44">
    <w:abstractNumId w:val="24"/>
  </w:num>
  <w:num w:numId="45">
    <w:abstractNumId w:val="48"/>
  </w:num>
  <w:num w:numId="46">
    <w:abstractNumId w:val="26"/>
  </w:num>
  <w:num w:numId="47">
    <w:abstractNumId w:val="12"/>
  </w:num>
  <w:num w:numId="48">
    <w:abstractNumId w:val="36"/>
  </w:num>
  <w:num w:numId="49">
    <w:abstractNumId w:val="23"/>
  </w:num>
  <w:num w:numId="50">
    <w:abstractNumId w:val="15"/>
  </w:num>
  <w:num w:numId="51">
    <w:abstractNumId w:val="7"/>
  </w:num>
  <w:num w:numId="52">
    <w:abstractNumId w:val="51"/>
  </w:num>
  <w:num w:numId="53">
    <w:abstractNumId w:val="29"/>
  </w:num>
  <w:num w:numId="54">
    <w:abstractNumId w:val="32"/>
  </w:num>
  <w:num w:numId="55">
    <w:abstractNumId w:val="47"/>
  </w:num>
  <w:num w:numId="56">
    <w:abstractNumId w:val="3"/>
  </w:num>
  <w:num w:numId="5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en-US" w:eastAsia="zh-CN" w:bidi="ar-SA"/>
    </w:rPr>
  </w:style>
  <w:style w:type="paragraph" w:styleId="Heading1">
    <w:name w:val="heading 1"/>
    <w:basedOn w:val="Normal"/>
    <w:uiPriority w:val="1"/>
    <w:qFormat/>
    <w:pPr>
      <w:spacing w:before="236"/>
      <w:ind w:left="120"/>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仿宋" w:eastAsia="仿宋" w:hAnsi="仿宋" w:cs="仿宋"/>
      <w:sz w:val="21"/>
      <w:szCs w:val="21"/>
      <w:lang w:val="en-US" w:eastAsia="zh-CN" w:bidi="ar-SA"/>
    </w:rPr>
  </w:style>
  <w:style w:type="paragraph" w:styleId="BodyText">
    <w:name w:val="Body Text"/>
    <w:basedOn w:val="Normal"/>
    <w:uiPriority w:val="1"/>
    <w:qFormat/>
    <w:pPr>
      <w:ind w:left="120"/>
    </w:pPr>
    <w:rPr>
      <w:rFonts w:ascii="仿宋" w:eastAsia="仿宋" w:hAnsi="仿宋" w:cs="仿宋"/>
      <w:sz w:val="28"/>
      <w:szCs w:val="28"/>
      <w:lang w:val="en-US" w:eastAsia="zh-CN" w:bidi="ar-SA"/>
    </w:rPr>
  </w:style>
  <w:style w:type="paragraph" w:styleId="Title">
    <w:name w:val="Title"/>
    <w:basedOn w:val="Normal"/>
    <w:uiPriority w:val="1"/>
    <w:qFormat/>
    <w:pPr>
      <w:spacing w:line="569" w:lineRule="exact"/>
      <w:ind w:left="2101" w:right="2500"/>
      <w:jc w:val="center"/>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spacing w:line="358" w:lineRule="exact"/>
      <w:ind w:left="540" w:hanging="420"/>
    </w:pPr>
    <w:rPr>
      <w:rFonts w:ascii="仿宋" w:eastAsia="仿宋" w:hAnsi="仿宋" w:cs="仿宋"/>
      <w:lang w:val="en-US" w:eastAsia="zh-CN" w:bidi="ar-SA"/>
    </w:rPr>
  </w:style>
  <w:style w:type="paragraph" w:customStyle="1" w:styleId="TableParagraph">
    <w:name w:val="Table Paragraph"/>
    <w:basedOn w:val="Normal"/>
    <w:uiPriority w:val="1"/>
    <w:qFormat/>
    <w:pPr>
      <w:spacing w:before="23"/>
      <w:ind w:left="107"/>
    </w:pPr>
    <w:rPr>
      <w:rFonts w:ascii="仿宋" w:eastAsia="仿宋" w:hAnsi="仿宋" w:cs="仿宋"/>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hyperlink" Target="https://d.book118.com/485113020044011120" TargetMode="External" /><Relationship Id="rId18" Type="http://schemas.openxmlformats.org/officeDocument/2006/relationships/footer" Target="footer1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2024-03-05T05:50:42Z</dcterms:created>
  <dcterms:modified xsi:type="dcterms:W3CDTF">2024-03-05T05:50:42Z</dcterms:modified>
</cp:coreProperties>
</file>