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1266"/>
        </w:tabs>
        <w:spacing w:before="49"/>
        <w:ind w:right="171"/>
        <w:jc w:val="center"/>
      </w:pPr>
      <w:r>
        <w:t>第三节</w:t>
        <w:tab/>
        <w:t>资本成本与资本结构</w:t>
      </w:r>
    </w:p>
    <w:p>
      <w:pPr>
        <w:pStyle w:val="BodyText"/>
        <w:spacing w:before="1"/>
        <w:rPr>
          <w:b/>
          <w:sz w:val="42"/>
        </w:rPr>
      </w:pPr>
    </w:p>
    <w:p>
      <w:pPr>
        <w:pStyle w:val="Title"/>
        <w:ind w:left="770"/>
      </w:pPr>
      <w:r>
        <w:t>一、资本成本</w:t>
      </w:r>
    </w:p>
    <w:p>
      <w:pPr>
        <w:pStyle w:val="ListParagraph"/>
        <w:numPr>
          <w:ilvl w:val="0"/>
          <w:numId w:val="24"/>
        </w:numPr>
        <w:tabs>
          <w:tab w:val="left" w:pos="459"/>
        </w:tabs>
        <w:spacing w:before="71" w:after="0" w:line="240" w:lineRule="auto"/>
        <w:ind w:left="458" w:right="0" w:hanging="319"/>
        <w:jc w:val="left"/>
        <w:rPr>
          <w:sz w:val="31"/>
        </w:rPr>
      </w:pPr>
      <w:r>
        <w:rPr>
          <w:sz w:val="31"/>
        </w:rPr>
        <w:t>特别重要考点</w:t>
      </w:r>
    </w:p>
    <w:p>
      <w:pPr>
        <w:pStyle w:val="BodyText"/>
        <w:spacing w:before="71" w:line="283" w:lineRule="auto"/>
        <w:ind w:left="140" w:right="106" w:firstLine="633"/>
      </w:pPr>
      <w:r>
        <w:rPr>
          <w:spacing w:val="-1"/>
        </w:rPr>
        <w:t>掌握资本成本的含义、作用、影响因素；掌握个别资本成本、平均资本成本、边际资本</w:t>
      </w:r>
      <w:r>
        <w:t>成本的计算。</w:t>
      </w:r>
    </w:p>
    <w:p>
      <w:pPr>
        <w:pStyle w:val="BodyText"/>
        <w:rPr>
          <w:sz w:val="19"/>
        </w:rPr>
      </w:pPr>
      <w:r>
        <w:pict>
          <v:group id="_x0000_s1025" style="width:566pt;height:218pt;margin-top:14.17pt;margin-left:164pt;mso-position-horizontal-relative:page;mso-wrap-distance-left:0;mso-wrap-distance-right:0;position:absolute;z-index:-251657216" coordorigin="3280,283" coordsize="11320,4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320;height:4360;left:3280;position:absolute;top:283" stroked="f">
              <v:imagedata r:id="rId4" o:title=""/>
            </v:shape>
            <v:shapetype id="_x0000_t202" coordsize="21600,21600" o:spt="202" path="m,l,21600r21600,l21600,xe">
              <v:stroke joinstyle="miter"/>
              <v:path gradientshapeok="t" o:connecttype="rect"/>
            </v:shapetype>
            <v:shape id="_x0000_s1027" type="#_x0000_t202" style="width:11320;height:4360;left:3280;position:absolute;top:283" filled="f" stroked="f">
              <v:textbox inset="0,0,0,0">
                <w:txbxContent>
                  <w:p>
                    <w:pPr>
                      <w:spacing w:before="118" w:line="316" w:lineRule="exact"/>
                      <w:ind w:left="46" w:right="0" w:firstLine="0"/>
                      <w:jc w:val="left"/>
                      <w:rPr>
                        <w:sz w:val="31"/>
                      </w:rPr>
                    </w:pPr>
                    <w:r>
                      <w:rPr>
                        <w:w w:val="102"/>
                        <w:sz w:val="31"/>
                      </w:rPr>
                      <w:t>含</w:t>
                    </w:r>
                  </w:p>
                  <w:p>
                    <w:pPr>
                      <w:spacing w:before="0" w:line="234" w:lineRule="exact"/>
                      <w:ind w:left="500" w:right="0" w:firstLine="0"/>
                      <w:jc w:val="left"/>
                      <w:rPr>
                        <w:sz w:val="31"/>
                      </w:rPr>
                    </w:pPr>
                    <w:r>
                      <w:rPr>
                        <w:sz w:val="31"/>
                      </w:rPr>
                      <w:t>资本成本是指企业为筹集和使用资本而付出的代价，包括筹资费用和占用费用</w:t>
                    </w:r>
                  </w:p>
                  <w:p>
                    <w:pPr>
                      <w:spacing w:before="0" w:line="316" w:lineRule="exact"/>
                      <w:ind w:left="46" w:right="0" w:firstLine="0"/>
                      <w:jc w:val="left"/>
                      <w:rPr>
                        <w:sz w:val="31"/>
                      </w:rPr>
                    </w:pPr>
                    <w:r>
                      <w:rPr>
                        <w:w w:val="102"/>
                        <w:sz w:val="31"/>
                      </w:rPr>
                      <w:t>义</w:t>
                    </w:r>
                  </w:p>
                  <w:p>
                    <w:pPr>
                      <w:spacing w:before="55" w:line="460" w:lineRule="atLeast"/>
                      <w:ind w:left="500" w:right="46" w:firstLine="0"/>
                      <w:jc w:val="both"/>
                      <w:rPr>
                        <w:sz w:val="31"/>
                      </w:rPr>
                    </w:pPr>
                    <w:r>
                      <w:rPr>
                        <w:spacing w:val="-1"/>
                        <w:sz w:val="31"/>
                      </w:rPr>
                      <w:t>①筹资费，是指企业在资本筹措过程中为获取资本而付出的代价，如向银行支付的借款手续费，因发行股票、公司债券而支付的发行费等。筹资费用通常在资本筹集时一次性发生，在资本使用过程中不再发生，因此，视为筹资数量的</w:t>
                    </w:r>
                  </w:p>
                  <w:p>
                    <w:pPr>
                      <w:spacing w:before="0" w:line="169" w:lineRule="exact"/>
                      <w:ind w:left="46" w:right="0" w:firstLine="0"/>
                      <w:jc w:val="left"/>
                      <w:rPr>
                        <w:sz w:val="31"/>
                      </w:rPr>
                    </w:pPr>
                    <w:r>
                      <w:rPr>
                        <w:w w:val="102"/>
                        <w:sz w:val="31"/>
                      </w:rPr>
                      <w:t>内</w:t>
                    </w:r>
                  </w:p>
                  <w:p>
                    <w:pPr>
                      <w:spacing w:before="0" w:line="235" w:lineRule="exact"/>
                      <w:ind w:left="500" w:right="0" w:firstLine="0"/>
                      <w:jc w:val="left"/>
                      <w:rPr>
                        <w:sz w:val="31"/>
                      </w:rPr>
                    </w:pPr>
                    <w:r>
                      <w:rPr>
                        <w:sz w:val="31"/>
                      </w:rPr>
                      <w:t>一项扣除。</w:t>
                    </w:r>
                  </w:p>
                  <w:p>
                    <w:pPr>
                      <w:spacing w:before="0" w:line="234" w:lineRule="exact"/>
                      <w:ind w:left="46" w:right="0" w:firstLine="0"/>
                      <w:jc w:val="left"/>
                      <w:rPr>
                        <w:sz w:val="31"/>
                      </w:rPr>
                    </w:pPr>
                    <w:r>
                      <w:rPr>
                        <w:w w:val="102"/>
                        <w:sz w:val="31"/>
                      </w:rPr>
                      <w:t>容</w:t>
                    </w:r>
                  </w:p>
                  <w:p>
                    <w:pPr>
                      <w:spacing w:before="0" w:line="316" w:lineRule="exact"/>
                      <w:ind w:left="500" w:right="0" w:firstLine="0"/>
                      <w:jc w:val="left"/>
                      <w:rPr>
                        <w:sz w:val="31"/>
                      </w:rPr>
                    </w:pPr>
                    <w:r>
                      <w:rPr>
                        <w:sz w:val="31"/>
                      </w:rPr>
                      <w:t>②占用费，是指企业在资本使用过程中因占用资本而付出的代价，如向银行等</w:t>
                    </w:r>
                  </w:p>
                  <w:p>
                    <w:pPr>
                      <w:spacing w:before="71" w:line="283" w:lineRule="auto"/>
                      <w:ind w:left="500" w:right="46" w:firstLine="0"/>
                      <w:jc w:val="left"/>
                      <w:rPr>
                        <w:sz w:val="31"/>
                      </w:rPr>
                    </w:pPr>
                    <w:r>
                      <w:rPr>
                        <w:sz w:val="31"/>
                      </w:rPr>
                      <w:t>债权人支付的利息，向股东支付的股利等。占用费用是因为占用了他人资金而必须支付的，是资本成本的主要内容。</w:t>
                    </w:r>
                  </w:p>
                </w:txbxContent>
              </v:textbox>
            </v:shape>
            <w10:wrap type="topAndBottom"/>
          </v:group>
        </w:pict>
      </w:r>
    </w:p>
    <w:p>
      <w:pPr>
        <w:pStyle w:val="ListParagraph"/>
        <w:numPr>
          <w:ilvl w:val="0"/>
          <w:numId w:val="24"/>
        </w:numPr>
        <w:tabs>
          <w:tab w:val="left" w:pos="1092"/>
        </w:tabs>
        <w:spacing w:before="33" w:after="103" w:line="240" w:lineRule="auto"/>
        <w:ind w:left="1092" w:right="0" w:hanging="318"/>
        <w:jc w:val="left"/>
        <w:rPr>
          <w:sz w:val="31"/>
        </w:rPr>
      </w:pPr>
      <w:r>
        <w:rPr>
          <w:sz w:val="31"/>
        </w:rPr>
        <w:t>构成</w:t>
      </w:r>
    </w:p>
    <w:p>
      <w:pPr>
        <w:pStyle w:val="BodyText"/>
        <w:ind w:left="770"/>
        <w:rPr>
          <w:sz w:val="20"/>
        </w:rPr>
      </w:pPr>
      <w:r>
        <w:rPr>
          <w:sz w:val="20"/>
        </w:rPr>
        <w:drawing>
          <wp:inline distT="0" distB="0" distL="0" distR="0">
            <wp:extent cx="5200650" cy="1057275"/>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5200650" cy="1057275"/>
                    </a:xfrm>
                    <a:prstGeom prst="rect">
                      <a:avLst/>
                    </a:prstGeom>
                  </pic:spPr>
                </pic:pic>
              </a:graphicData>
            </a:graphic>
          </wp:inline>
        </w:drawing>
      </w:r>
    </w:p>
    <w:p>
      <w:pPr>
        <w:pStyle w:val="BodyText"/>
        <w:rPr>
          <w:sz w:val="32"/>
        </w:rPr>
      </w:pPr>
    </w:p>
    <w:p>
      <w:pPr>
        <w:pStyle w:val="BodyText"/>
        <w:spacing w:before="232"/>
        <w:ind w:left="140"/>
      </w:pPr>
      <w:r>
        <w:t>（二）资本成本的作用</w:t>
      </w:r>
    </w:p>
    <w:p>
      <w:pPr>
        <w:pStyle w:val="BodyText"/>
        <w:spacing w:before="71"/>
        <w:ind w:left="457"/>
      </w:pPr>
      <w:r>
        <w:drawing>
          <wp:anchor distT="0" distB="0" distL="0" distR="0" simplePos="0" relativeHeight="251658240" behindDoc="1" locked="0" layoutInCell="1" allowOverlap="1">
            <wp:simplePos x="0" y="0"/>
            <wp:positionH relativeFrom="page">
              <wp:posOffset>1765300</wp:posOffset>
            </wp:positionH>
            <wp:positionV relativeFrom="paragraph">
              <wp:posOffset>287781</wp:posOffset>
            </wp:positionV>
            <wp:extent cx="7823200" cy="49403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7823200" cy="4940300"/>
                    </a:xfrm>
                    <a:prstGeom prst="rect">
                      <a:avLst/>
                    </a:prstGeom>
                  </pic:spPr>
                </pic:pic>
              </a:graphicData>
            </a:graphic>
          </wp:anchor>
        </w:drawing>
      </w:r>
      <w:r>
        <w:t>.影响资本成本的因素</w:t>
      </w:r>
    </w:p>
    <w:p>
      <w:pPr>
        <w:pStyle w:val="BodyText"/>
        <w:tabs>
          <w:tab w:val="left" w:pos="4987"/>
        </w:tabs>
        <w:spacing w:before="119"/>
        <w:ind w:left="2426"/>
      </w:pPr>
      <w:r>
        <w:t>含义</w:t>
        <w:tab/>
        <w:t>影响表现形式</w:t>
      </w:r>
    </w:p>
    <w:p>
      <w:pPr>
        <w:pStyle w:val="BodyText"/>
        <w:tabs>
          <w:tab w:val="left" w:pos="4987"/>
        </w:tabs>
        <w:spacing w:before="114" w:line="272" w:lineRule="exact"/>
        <w:ind w:left="2426"/>
      </w:pPr>
      <w:r>
        <w:t>决定企业所处的</w:t>
        <w:tab/>
        <w:t>国民经济保持健康、稳定、持续增长，整个社会经济的</w:t>
      </w:r>
    </w:p>
    <w:p>
      <w:pPr>
        <w:spacing w:after="0" w:line="272" w:lineRule="exact"/>
        <w:sectPr>
          <w:type w:val="continuous"/>
          <w:pgSz w:w="17860" w:h="25260"/>
          <w:pgMar w:top="1860" w:right="2380" w:bottom="280" w:left="2560" w:header="708" w:footer="708"/>
          <w:cols w:space="708"/>
        </w:sectPr>
      </w:pPr>
    </w:p>
    <w:p>
      <w:pPr>
        <w:pStyle w:val="BodyText"/>
        <w:spacing w:line="359" w:lineRule="exact"/>
        <w:ind w:left="259"/>
      </w:pPr>
      <w:r>
        <w:t>总体经济环境</w:t>
      </w:r>
    </w:p>
    <w:p>
      <w:pPr>
        <w:pStyle w:val="BodyText"/>
        <w:spacing w:before="71" w:line="283" w:lineRule="auto"/>
        <w:ind w:left="259"/>
      </w:pPr>
      <w:r>
        <w:t>（影响无风险报酬率）</w:t>
      </w:r>
    </w:p>
    <w:p>
      <w:pPr>
        <w:pStyle w:val="BodyText"/>
        <w:spacing w:before="196" w:line="283" w:lineRule="auto"/>
        <w:ind w:left="226" w:right="327"/>
        <w:jc w:val="both"/>
      </w:pPr>
      <w:r>
        <w:br w:type="column"/>
      </w:r>
      <w:r>
        <w:rPr>
          <w:b/>
          <w:color w:val="A4001F"/>
        </w:rPr>
        <w:t>国民经济</w:t>
      </w:r>
      <w:r>
        <w:rPr>
          <w:spacing w:val="-4"/>
        </w:rPr>
        <w:t>发展水  资金供给和需求相对均衡且通货膨胀水平低，资金所有</w:t>
      </w:r>
      <w:r>
        <w:rPr>
          <w:spacing w:val="-8"/>
        </w:rPr>
        <w:t>平，以及</w:t>
      </w:r>
      <w:r>
        <w:rPr>
          <w:b/>
          <w:color w:val="A4001F"/>
          <w:spacing w:val="10"/>
        </w:rPr>
        <w:t>预期的通</w:t>
      </w:r>
      <w:r>
        <w:rPr>
          <w:spacing w:val="-1"/>
        </w:rPr>
        <w:t>者投资的风险小，预期报酬率低，筹资的资本成本率相</w:t>
      </w:r>
      <w:r>
        <w:rPr>
          <w:b/>
          <w:color w:val="A4001F"/>
          <w:spacing w:val="10"/>
        </w:rPr>
        <w:t xml:space="preserve">货 膨 胀 </w:t>
      </w:r>
      <w:r>
        <w:t>应 就 比 较 低</w:t>
      </w:r>
    </w:p>
    <w:p>
      <w:pPr>
        <w:spacing w:after="0" w:line="283" w:lineRule="auto"/>
        <w:jc w:val="both"/>
        <w:sectPr>
          <w:type w:val="continuous"/>
          <w:pgSz w:w="17860" w:h="25260"/>
          <w:pgMar w:top="1860" w:right="2380" w:bottom="280" w:left="2560" w:header="708" w:footer="708"/>
          <w:pgNumType w:start="2"/>
          <w:cols w:num="2" w:space="708" w:equalWidth="0">
            <w:col w:w="2161" w:space="40"/>
            <w:col w:w="10719" w:space="0"/>
          </w:cols>
        </w:sectPr>
      </w:pPr>
    </w:p>
    <w:p>
      <w:pPr>
        <w:pStyle w:val="BodyText"/>
        <w:tabs>
          <w:tab w:val="left" w:pos="2426"/>
        </w:tabs>
        <w:spacing w:before="45"/>
        <w:ind w:left="259"/>
      </w:pPr>
      <w:r>
        <w:t>资本市场条件</w:t>
        <w:tab/>
        <w:t>资本市场条件包</w:t>
      </w:r>
    </w:p>
    <w:p>
      <w:pPr>
        <w:tabs>
          <w:tab w:val="left" w:pos="2426"/>
        </w:tabs>
        <w:spacing w:before="70" w:line="283" w:lineRule="auto"/>
        <w:ind w:left="259" w:right="41" w:firstLine="0"/>
        <w:jc w:val="left"/>
        <w:rPr>
          <w:b/>
          <w:sz w:val="31"/>
        </w:rPr>
      </w:pPr>
      <w:r>
        <w:rPr>
          <w:sz w:val="31"/>
        </w:rPr>
        <w:t>（影响风险报</w:t>
        <w:tab/>
      </w:r>
      <w:r>
        <w:rPr>
          <w:spacing w:val="-4"/>
          <w:sz w:val="31"/>
        </w:rPr>
        <w:t>括</w:t>
      </w:r>
      <w:r>
        <w:rPr>
          <w:b/>
          <w:color w:val="A4001F"/>
          <w:sz w:val="31"/>
        </w:rPr>
        <w:t>资本市场的</w:t>
      </w:r>
      <w:r>
        <w:rPr>
          <w:b/>
          <w:color w:val="A4001F"/>
          <w:spacing w:val="-17"/>
          <w:sz w:val="31"/>
        </w:rPr>
        <w:t>效</w:t>
      </w:r>
      <w:r>
        <w:rPr>
          <w:sz w:val="31"/>
        </w:rPr>
        <w:t>酬率）</w:t>
        <w:tab/>
      </w:r>
      <w:r>
        <w:rPr>
          <w:b/>
          <w:color w:val="A4001F"/>
          <w:sz w:val="31"/>
        </w:rPr>
        <w:t>率和风险</w:t>
      </w:r>
    </w:p>
    <w:p>
      <w:pPr>
        <w:spacing w:before="42" w:line="272" w:lineRule="exact"/>
        <w:ind w:left="2426" w:right="0" w:firstLine="0"/>
        <w:jc w:val="left"/>
        <w:rPr>
          <w:b/>
          <w:sz w:val="31"/>
        </w:rPr>
      </w:pPr>
      <w:r>
        <w:rPr>
          <w:sz w:val="31"/>
        </w:rPr>
        <w:t>企业的</w:t>
      </w:r>
      <w:r>
        <w:rPr>
          <w:b/>
          <w:color w:val="A4001F"/>
          <w:sz w:val="31"/>
        </w:rPr>
        <w:t>经营风险</w:t>
      </w:r>
    </w:p>
    <w:p>
      <w:pPr>
        <w:pStyle w:val="BodyText"/>
        <w:spacing w:before="279" w:line="283" w:lineRule="auto"/>
        <w:ind w:left="259" w:right="327"/>
      </w:pPr>
      <w:r>
        <w:br w:type="column"/>
      </w:r>
      <w:r>
        <w:t>如果资本市场缺乏效率，证券的市场流动性低，投资者投资风险大，要求的预期报酬率高</w:t>
      </w:r>
    </w:p>
    <w:p>
      <w:pPr>
        <w:spacing w:after="0" w:line="283" w:lineRule="auto"/>
        <w:sectPr>
          <w:type w:val="continuous"/>
          <w:pgSz w:w="17860" w:h="25260"/>
          <w:pgMar w:top="1860" w:right="2380" w:bottom="280" w:left="2560" w:header="708" w:footer="708"/>
          <w:pgNumType w:start="3"/>
          <w:cols w:num="2" w:space="708" w:equalWidth="0">
            <w:col w:w="4685" w:space="43"/>
            <w:col w:w="8192" w:space="0"/>
          </w:cols>
        </w:sectPr>
      </w:pPr>
    </w:p>
    <w:p>
      <w:pPr>
        <w:pStyle w:val="BodyText"/>
        <w:spacing w:line="360" w:lineRule="exact"/>
        <w:ind w:left="259"/>
      </w:pPr>
      <w:r>
        <w:t>企业经营状况</w:t>
      </w:r>
    </w:p>
    <w:p>
      <w:pPr>
        <w:pStyle w:val="BodyText"/>
        <w:spacing w:before="71"/>
        <w:ind w:left="259"/>
      </w:pPr>
      <w:r>
        <w:rPr>
          <w:spacing w:val="-18"/>
        </w:rPr>
        <w:t>和融资状况</w:t>
      </w:r>
      <w:r>
        <w:t>（</w:t>
      </w:r>
      <w:r>
        <w:rPr>
          <w:spacing w:val="-19"/>
        </w:rPr>
        <w:t>影</w:t>
      </w:r>
    </w:p>
    <w:p>
      <w:pPr>
        <w:spacing w:before="134" w:line="460" w:lineRule="atLeast"/>
        <w:ind w:left="-5" w:right="38" w:firstLine="0"/>
        <w:jc w:val="left"/>
        <w:rPr>
          <w:sz w:val="31"/>
        </w:rPr>
      </w:pPr>
      <w:r>
        <w:br w:type="column"/>
      </w:r>
      <w:r>
        <w:rPr>
          <w:b/>
          <w:color w:val="A4001F"/>
          <w:sz w:val="31"/>
        </w:rPr>
        <w:t>和财务风险</w:t>
      </w:r>
      <w:r>
        <w:rPr>
          <w:sz w:val="31"/>
        </w:rPr>
        <w:t>共同构成企业总体风</w:t>
      </w:r>
    </w:p>
    <w:p>
      <w:pPr>
        <w:pStyle w:val="BodyText"/>
        <w:spacing w:before="134" w:line="460" w:lineRule="atLeast"/>
        <w:ind w:left="259" w:right="327"/>
      </w:pPr>
      <w:r>
        <w:br w:type="column"/>
      </w:r>
      <w:r>
        <w:t>如果企业经营风险高，财务风险大，则企业总体风险水平高，投资者要求预期报酬率高</w:t>
      </w:r>
    </w:p>
    <w:p>
      <w:pPr>
        <w:spacing w:after="0" w:line="460" w:lineRule="atLeast"/>
        <w:sectPr>
          <w:type w:val="continuous"/>
          <w:pgSz w:w="17860" w:h="25260"/>
          <w:pgMar w:top="1860" w:right="2380" w:bottom="280" w:left="2560" w:header="708" w:footer="708"/>
          <w:pgNumType w:start="4"/>
          <w:cols w:num="3" w:space="708" w:equalWidth="0">
            <w:col w:w="2392" w:space="40"/>
            <w:col w:w="2255" w:space="41"/>
            <w:col w:w="8192" w:space="0"/>
          </w:cols>
        </w:sectPr>
      </w:pPr>
    </w:p>
    <w:p>
      <w:pPr>
        <w:pStyle w:val="BodyText"/>
        <w:spacing w:line="161" w:lineRule="exact"/>
        <w:ind w:left="259"/>
      </w:pPr>
      <w:r>
        <w:t>响风险报酬率）</w:t>
      </w:r>
    </w:p>
    <w:p>
      <w:pPr>
        <w:pStyle w:val="BodyText"/>
        <w:spacing w:line="316" w:lineRule="exact"/>
        <w:ind w:left="2426"/>
      </w:pPr>
      <w:r>
        <w:rPr>
          <w:w w:val="102"/>
        </w:rPr>
        <w:t>险</w:t>
      </w:r>
    </w:p>
    <w:p>
      <w:pPr>
        <w:spacing w:after="0" w:line="316" w:lineRule="exact"/>
        <w:sectPr>
          <w:type w:val="continuous"/>
          <w:pgSz w:w="17860" w:h="25260"/>
          <w:pgMar w:top="1860" w:right="2380" w:bottom="280" w:left="2560" w:header="708" w:footer="708"/>
          <w:pgNumType w:start="5"/>
          <w:cols w:space="708"/>
        </w:sectPr>
      </w:pPr>
    </w:p>
    <w:p>
      <w:pPr>
        <w:pStyle w:val="BodyText"/>
        <w:spacing w:before="117" w:line="283" w:lineRule="auto"/>
        <w:ind w:left="259"/>
      </w:pPr>
      <w:r>
        <w:t xml:space="preserve">企业对筹资规模和时限的需 </w:t>
      </w:r>
      <w:r>
        <w:rPr>
          <w:spacing w:val="-83"/>
        </w:rPr>
        <w:t>求</w:t>
      </w:r>
      <w:r>
        <w:t>（</w:t>
      </w:r>
      <w:r>
        <w:rPr>
          <w:spacing w:val="-4"/>
        </w:rPr>
        <w:t>影响风险报</w:t>
      </w:r>
      <w:r>
        <w:t>酬率）</w:t>
      </w:r>
    </w:p>
    <w:p>
      <w:pPr>
        <w:pStyle w:val="BodyText"/>
        <w:spacing w:before="5"/>
        <w:rPr>
          <w:sz w:val="27"/>
        </w:rPr>
      </w:pPr>
      <w:r>
        <w:br w:type="column"/>
      </w:r>
    </w:p>
    <w:p>
      <w:pPr>
        <w:pStyle w:val="ListParagraph"/>
        <w:numPr>
          <w:ilvl w:val="0"/>
          <w:numId w:val="23"/>
        </w:numPr>
        <w:tabs>
          <w:tab w:val="left" w:pos="310"/>
        </w:tabs>
        <w:spacing w:before="0" w:after="0" w:line="240" w:lineRule="auto"/>
        <w:ind w:left="310" w:right="0" w:hanging="318"/>
        <w:jc w:val="left"/>
        <w:rPr>
          <w:sz w:val="31"/>
        </w:rPr>
      </w:pPr>
      <w:r>
        <w:rPr>
          <w:spacing w:val="-2"/>
          <w:sz w:val="31"/>
        </w:rPr>
        <w:t>企业一次性需要筹集的</w:t>
      </w:r>
      <w:r>
        <w:rPr>
          <w:b/>
          <w:color w:val="A4001F"/>
          <w:sz w:val="31"/>
        </w:rPr>
        <w:t>资金规模大</w:t>
      </w:r>
      <w:r>
        <w:rPr>
          <w:spacing w:val="-3"/>
          <w:sz w:val="31"/>
        </w:rPr>
        <w:t>、占用资金</w:t>
      </w:r>
      <w:r>
        <w:rPr>
          <w:b/>
          <w:color w:val="A4001F"/>
          <w:sz w:val="31"/>
        </w:rPr>
        <w:t>时限长</w:t>
      </w:r>
      <w:r>
        <w:rPr>
          <w:sz w:val="31"/>
        </w:rPr>
        <w:t>，资本成本就高</w:t>
      </w:r>
    </w:p>
    <w:p>
      <w:pPr>
        <w:pStyle w:val="ListParagraph"/>
        <w:numPr>
          <w:ilvl w:val="0"/>
          <w:numId w:val="23"/>
        </w:numPr>
        <w:tabs>
          <w:tab w:val="left" w:pos="310"/>
        </w:tabs>
        <w:spacing w:before="71" w:after="0" w:line="283" w:lineRule="auto"/>
        <w:ind w:left="-8" w:right="402" w:firstLine="0"/>
        <w:jc w:val="left"/>
        <w:rPr>
          <w:sz w:val="31"/>
        </w:rPr>
      </w:pPr>
      <w:r>
        <w:rPr>
          <w:spacing w:val="-4"/>
          <w:sz w:val="31"/>
        </w:rPr>
        <w:t>融资规模、时限与资本成本的</w:t>
      </w:r>
      <w:r>
        <w:rPr>
          <w:b/>
          <w:color w:val="A4001F"/>
          <w:spacing w:val="-1"/>
          <w:sz w:val="31"/>
        </w:rPr>
        <w:t>正向相关性并非线性关系</w:t>
      </w:r>
      <w:r>
        <w:rPr>
          <w:spacing w:val="-3"/>
          <w:sz w:val="31"/>
        </w:rPr>
        <w:t>，当融资规模突</w:t>
      </w:r>
      <w:r>
        <w:rPr>
          <w:sz w:val="31"/>
        </w:rPr>
        <w:t>破一定限度时，才引起资本成本的明显变化</w:t>
      </w:r>
    </w:p>
    <w:p>
      <w:pPr>
        <w:spacing w:after="0" w:line="283" w:lineRule="auto"/>
        <w:jc w:val="left"/>
        <w:rPr>
          <w:sz w:val="31"/>
        </w:rPr>
        <w:sectPr>
          <w:type w:val="continuous"/>
          <w:pgSz w:w="17860" w:h="25260"/>
          <w:pgMar w:top="1860" w:right="2380" w:bottom="280" w:left="2560" w:header="708" w:footer="708"/>
          <w:pgNumType w:start="6"/>
          <w:cols w:num="2" w:space="708" w:equalWidth="0">
            <w:col w:w="2395" w:space="40"/>
            <w:col w:w="10485" w:space="0"/>
          </w:cols>
        </w:sectPr>
      </w:pPr>
    </w:p>
    <w:p>
      <w:pPr>
        <w:pStyle w:val="BodyText"/>
        <w:rPr>
          <w:sz w:val="20"/>
        </w:rPr>
      </w:pPr>
    </w:p>
    <w:p>
      <w:pPr>
        <w:pStyle w:val="BodyText"/>
        <w:spacing w:before="11"/>
        <w:rPr>
          <w:sz w:val="14"/>
        </w:rPr>
      </w:pPr>
    </w:p>
    <w:p>
      <w:pPr>
        <w:pStyle w:val="BodyText"/>
        <w:tabs>
          <w:tab w:val="left" w:pos="12210"/>
        </w:tabs>
        <w:spacing w:before="62"/>
        <w:ind w:left="695"/>
      </w:pPr>
      <w:r>
        <w:t>【例题</w:t>
      </w:r>
      <w:r>
        <w:rPr>
          <w:spacing w:val="-27"/>
        </w:rPr>
        <w:t xml:space="preserve"> </w:t>
      </w:r>
      <w:r>
        <w:rPr>
          <w:spacing w:val="-40"/>
        </w:rPr>
        <w:t>1·</w:t>
      </w:r>
      <w:r>
        <w:t>单选题</w:t>
      </w:r>
      <w:r>
        <w:rPr>
          <w:spacing w:val="-162"/>
        </w:rPr>
        <w:t>】</w:t>
      </w:r>
      <w:r>
        <w:t>（2011</w:t>
      </w:r>
      <w:r>
        <w:rPr>
          <w:spacing w:val="-27"/>
        </w:rPr>
        <w:t xml:space="preserve"> </w:t>
      </w:r>
      <w:r>
        <w:t>年</w:t>
      </w:r>
      <w:r>
        <w:rPr>
          <w:spacing w:val="-83"/>
        </w:rPr>
        <w:t>）</w:t>
      </w:r>
      <w:r>
        <w:t>下列各项中</w:t>
      </w:r>
      <w:r>
        <w:rPr>
          <w:spacing w:val="-87"/>
        </w:rPr>
        <w:t>，</w:t>
      </w:r>
      <w:r>
        <w:t>通常不会导致企业资本成本增加的</w:t>
      </w:r>
      <w:r>
        <w:rPr>
          <w:spacing w:val="-100"/>
        </w:rPr>
        <w:t>是</w:t>
      </w:r>
      <w:r>
        <w:t>（</w:t>
        <w:tab/>
      </w:r>
      <w:r>
        <w:rPr>
          <w:spacing w:val="-80"/>
        </w:rPr>
        <w:t>）</w:t>
      </w:r>
      <w:r>
        <w:t>。</w:t>
      </w:r>
    </w:p>
    <w:p>
      <w:pPr>
        <w:pStyle w:val="BodyText"/>
        <w:spacing w:before="71" w:line="283" w:lineRule="auto"/>
        <w:ind w:left="774" w:right="9929"/>
      </w:pPr>
      <w:r>
        <w:t>A.通货膨胀加剧B.投资风险上升</w:t>
      </w:r>
    </w:p>
    <w:p>
      <w:pPr>
        <w:spacing w:after="0" w:line="283" w:lineRule="auto"/>
        <w:sectPr>
          <w:type w:val="continuous"/>
          <w:pgSz w:w="17860" w:h="25260"/>
          <w:pgMar w:top="1860" w:right="2380" w:bottom="280" w:left="2560" w:header="708" w:footer="708"/>
          <w:pgNumType w:start="7"/>
          <w:cols w:space="708"/>
        </w:sectPr>
      </w:pPr>
    </w:p>
    <w:p>
      <w:pPr>
        <w:pStyle w:val="BodyText"/>
        <w:spacing w:before="49"/>
        <w:ind w:left="774"/>
      </w:pPr>
      <w:r>
        <w:t>C.经济持续过热</w:t>
      </w:r>
    </w:p>
    <w:p>
      <w:pPr>
        <w:pStyle w:val="BodyText"/>
        <w:spacing w:before="72"/>
        <w:ind w:left="774"/>
      </w:pPr>
      <w:r>
        <w:t>D.证券市场流动性增强</w:t>
      </w:r>
    </w:p>
    <w:p>
      <w:pPr>
        <w:pStyle w:val="BodyText"/>
        <w:spacing w:before="70"/>
        <w:ind w:left="770"/>
      </w:pPr>
      <w:r>
        <w:t>『正确答案』D</w:t>
      </w:r>
    </w:p>
    <w:p>
      <w:pPr>
        <w:pStyle w:val="BodyText"/>
        <w:spacing w:before="71" w:line="283" w:lineRule="auto"/>
        <w:ind w:left="770" w:right="294"/>
        <w:jc w:val="both"/>
      </w:pPr>
      <w:r>
        <w:rPr>
          <w:spacing w:val="-13"/>
        </w:rPr>
        <w:t>『答案解析』如果国民经济不景气或者经济过热，通货膨胀持续居高不下，投资者投资</w:t>
      </w:r>
      <w:r>
        <w:rPr>
          <w:spacing w:val="-15"/>
        </w:rPr>
        <w:t>风险大，预期报酬率高，筹资的资本成本就高。选项</w:t>
      </w:r>
      <w:r>
        <w:t>A</w:t>
      </w:r>
      <w:r>
        <w:rPr>
          <w:spacing w:val="-29"/>
        </w:rPr>
        <w:t>、</w:t>
      </w:r>
      <w:r>
        <w:rPr>
          <w:spacing w:val="-4"/>
        </w:rPr>
        <w:t>B</w:t>
      </w:r>
      <w:r>
        <w:rPr>
          <w:spacing w:val="-29"/>
        </w:rPr>
        <w:t>、</w:t>
      </w:r>
      <w:r>
        <w:t>C</w:t>
      </w:r>
      <w:r>
        <w:rPr>
          <w:spacing w:val="7"/>
        </w:rPr>
        <w:t xml:space="preserve"> 均会导致企业资本成本增</w:t>
      </w:r>
      <w:r>
        <w:rPr>
          <w:spacing w:val="9"/>
        </w:rPr>
        <w:t>加，所以本题选</w:t>
      </w:r>
      <w:r>
        <w:t>D</w:t>
      </w:r>
      <w:r>
        <w:rPr>
          <w:spacing w:val="-20"/>
        </w:rPr>
        <w:t xml:space="preserve"> 选项。</w:t>
      </w:r>
    </w:p>
    <w:p>
      <w:pPr>
        <w:pStyle w:val="BodyText"/>
        <w:rPr>
          <w:sz w:val="32"/>
        </w:rPr>
      </w:pPr>
    </w:p>
    <w:p>
      <w:pPr>
        <w:pStyle w:val="BodyText"/>
        <w:spacing w:before="11"/>
        <w:rPr>
          <w:sz w:val="40"/>
        </w:rPr>
      </w:pPr>
    </w:p>
    <w:p>
      <w:pPr>
        <w:pStyle w:val="BodyText"/>
        <w:spacing w:before="1"/>
        <w:ind w:left="774"/>
      </w:pPr>
      <w:r>
        <w:t>（三）资金成本计算的基本模型</w:t>
      </w:r>
    </w:p>
    <w:p>
      <w:pPr>
        <w:pStyle w:val="ListParagraph"/>
        <w:numPr>
          <w:ilvl w:val="0"/>
          <w:numId w:val="22"/>
        </w:numPr>
        <w:tabs>
          <w:tab w:val="left" w:pos="1092"/>
        </w:tabs>
        <w:spacing w:before="70" w:after="4" w:line="240" w:lineRule="auto"/>
        <w:ind w:left="1092" w:right="0" w:hanging="318"/>
        <w:jc w:val="left"/>
        <w:rPr>
          <w:sz w:val="31"/>
        </w:rPr>
      </w:pPr>
      <w:r>
        <w:rPr>
          <w:sz w:val="31"/>
        </w:rPr>
        <w:t>资本成本率计算的两种基本模式</w:t>
      </w:r>
    </w:p>
    <w:p>
      <w:pPr>
        <w:pStyle w:val="BodyText"/>
        <w:ind w:left="720"/>
        <w:rPr>
          <w:sz w:val="20"/>
        </w:rPr>
      </w:pPr>
      <w:r>
        <w:rPr>
          <w:sz w:val="20"/>
        </w:rPr>
        <w:pict>
          <v:group id="_x0000_i1028" style="width:571.7pt;height:241pt;mso-position-horizontal-relative:char;mso-position-vertical-relative:line" coordorigin="0,0" coordsize="11434,4820">
            <v:shape id="_x0000_s1029" type="#_x0000_t75" style="width:8010;height:878;left:1295;position:absolute;top:539" stroked="f">
              <v:imagedata r:id="rId7" o:title=""/>
            </v:shape>
            <v:shape id="_x0000_s1030" type="#_x0000_t75" style="width:11320;height:4820;position:absolute" stroked="f">
              <v:imagedata r:id="rId8" o:title=""/>
            </v:shape>
            <v:shape id="_x0000_s1031" type="#_x0000_t202" style="width:11434;height:4820;position:absolute" filled="f" stroked="f">
              <v:textbox inset="0,0,0,0">
                <w:txbxContent>
                  <w:p>
                    <w:pPr>
                      <w:spacing w:before="110"/>
                      <w:ind w:left="1296" w:right="0" w:firstLine="0"/>
                      <w:jc w:val="left"/>
                      <w:rPr>
                        <w:sz w:val="31"/>
                      </w:rPr>
                    </w:pPr>
                    <w:r>
                      <w:rPr>
                        <w:sz w:val="31"/>
                      </w:rPr>
                      <w:t>不考虑时间价值的模式</w:t>
                    </w:r>
                  </w:p>
                  <w:p>
                    <w:pPr>
                      <w:spacing w:before="71" w:line="283" w:lineRule="auto"/>
                      <w:ind w:left="46" w:right="10434" w:firstLine="0"/>
                      <w:jc w:val="left"/>
                      <w:rPr>
                        <w:sz w:val="31"/>
                      </w:rPr>
                    </w:pPr>
                    <w:r>
                      <w:rPr>
                        <w:sz w:val="31"/>
                      </w:rPr>
                      <w:t>一般模式</w:t>
                    </w:r>
                  </w:p>
                  <w:p>
                    <w:pPr>
                      <w:spacing w:before="0" w:line="312" w:lineRule="auto"/>
                      <w:ind w:left="1296" w:right="0" w:firstLine="0"/>
                      <w:jc w:val="left"/>
                      <w:rPr>
                        <w:sz w:val="31"/>
                      </w:rPr>
                    </w:pPr>
                    <w:r>
                      <w:rPr>
                        <w:sz w:val="31"/>
                      </w:rPr>
                      <w:t>【提示】该模式应用于债务资本成本的计算（融资租赁成本计算除外）。考虑时间价值的模式</w:t>
                    </w:r>
                  </w:p>
                  <w:p>
                    <w:pPr>
                      <w:spacing w:before="0" w:line="347" w:lineRule="exact"/>
                      <w:ind w:left="1296" w:right="0" w:firstLine="0"/>
                      <w:jc w:val="left"/>
                      <w:rPr>
                        <w:sz w:val="31"/>
                      </w:rPr>
                    </w:pPr>
                    <w:r>
                      <w:rPr>
                        <w:sz w:val="31"/>
                      </w:rPr>
                      <w:t>筹资净额现值－未来资本清偿额现金流量现值＝0</w:t>
                    </w:r>
                  </w:p>
                  <w:p>
                    <w:pPr>
                      <w:tabs>
                        <w:tab w:val="left" w:pos="1296"/>
                      </w:tabs>
                      <w:spacing w:before="71" w:line="283" w:lineRule="auto"/>
                      <w:ind w:left="46" w:right="6017" w:firstLine="0"/>
                      <w:jc w:val="left"/>
                      <w:rPr>
                        <w:sz w:val="31"/>
                      </w:rPr>
                    </w:pPr>
                    <w:r>
                      <w:rPr>
                        <w:sz w:val="31"/>
                      </w:rPr>
                      <w:t>折现模</w:t>
                      <w:tab/>
                      <w:t>资本成本率＝所采用的折现</w:t>
                    </w:r>
                    <w:r>
                      <w:rPr>
                        <w:spacing w:val="-18"/>
                        <w:sz w:val="31"/>
                      </w:rPr>
                      <w:t>率</w:t>
                    </w:r>
                    <w:r>
                      <w:rPr>
                        <w:sz w:val="31"/>
                      </w:rPr>
                      <w:t>式</w:t>
                      <w:tab/>
                      <w:t>【提示】</w:t>
                    </w:r>
                  </w:p>
                  <w:p>
                    <w:pPr>
                      <w:numPr>
                        <w:ilvl w:val="0"/>
                        <w:numId w:val="21"/>
                      </w:numPr>
                      <w:tabs>
                        <w:tab w:val="left" w:pos="2090"/>
                      </w:tabs>
                      <w:spacing w:before="0" w:line="396" w:lineRule="exact"/>
                      <w:ind w:left="2089" w:right="0" w:hanging="794"/>
                      <w:jc w:val="left"/>
                      <w:rPr>
                        <w:sz w:val="31"/>
                      </w:rPr>
                    </w:pPr>
                    <w:r>
                      <w:rPr>
                        <w:sz w:val="31"/>
                      </w:rPr>
                      <w:t>能使现金流入现值与现金流出现值相等的折现率，即为资本成本。</w:t>
                    </w:r>
                  </w:p>
                  <w:p>
                    <w:pPr>
                      <w:numPr>
                        <w:ilvl w:val="0"/>
                        <w:numId w:val="21"/>
                      </w:numPr>
                      <w:tabs>
                        <w:tab w:val="left" w:pos="2090"/>
                      </w:tabs>
                      <w:spacing w:before="71"/>
                      <w:ind w:left="2089" w:right="0" w:hanging="794"/>
                      <w:jc w:val="left"/>
                      <w:rPr>
                        <w:sz w:val="31"/>
                      </w:rPr>
                    </w:pPr>
                    <w:r>
                      <w:rPr>
                        <w:sz w:val="31"/>
                      </w:rPr>
                      <w:t>该模式为通用模式。</w:t>
                    </w:r>
                  </w:p>
                </w:txbxContent>
              </v:textbox>
            </v:shape>
            <w10:wrap type="none"/>
          </v:group>
        </w:pict>
      </w:r>
    </w:p>
    <w:p>
      <w:pPr>
        <w:pStyle w:val="ListParagraph"/>
        <w:numPr>
          <w:ilvl w:val="0"/>
          <w:numId w:val="22"/>
        </w:numPr>
        <w:tabs>
          <w:tab w:val="left" w:pos="1092"/>
        </w:tabs>
        <w:spacing w:before="52" w:after="0" w:line="240" w:lineRule="auto"/>
        <w:ind w:left="1092" w:right="0" w:hanging="318"/>
        <w:jc w:val="left"/>
        <w:rPr>
          <w:sz w:val="31"/>
        </w:rPr>
      </w:pPr>
      <w:r>
        <w:rPr>
          <w:sz w:val="31"/>
        </w:rPr>
        <w:t>个别资本成本计算</w:t>
      </w:r>
    </w:p>
    <w:p>
      <w:pPr>
        <w:pStyle w:val="ListParagraph"/>
        <w:numPr>
          <w:ilvl w:val="0"/>
          <w:numId w:val="20"/>
        </w:numPr>
        <w:tabs>
          <w:tab w:val="left" w:pos="1564"/>
        </w:tabs>
        <w:spacing w:before="70" w:after="0" w:line="240" w:lineRule="auto"/>
        <w:ind w:left="1563" w:right="0" w:hanging="790"/>
        <w:jc w:val="left"/>
        <w:rPr>
          <w:sz w:val="31"/>
        </w:rPr>
      </w:pPr>
      <w:r>
        <w:rPr>
          <w:sz w:val="31"/>
        </w:rPr>
        <w:t>银行借款资本成本</w:t>
      </w:r>
    </w:p>
    <w:p>
      <w:pPr>
        <w:pStyle w:val="BodyText"/>
        <w:ind w:left="720"/>
        <w:rPr>
          <w:sz w:val="20"/>
        </w:rPr>
      </w:pPr>
      <w:r>
        <w:rPr>
          <w:sz w:val="20"/>
        </w:rPr>
        <w:pict>
          <v:group id="_x0000_i1032" style="width:566pt;height:148pt;mso-position-horizontal-relative:char;mso-position-vertical-relative:line" coordorigin="0,0" coordsize="11320,2960">
            <v:shape id="_x0000_s1033" type="#_x0000_t75" style="width:9532;height:1999;left:1724;position:absolute;top:237" stroked="f">
              <v:imagedata r:id="rId9" o:title=""/>
            </v:shape>
            <v:shape id="_x0000_s1034" type="#_x0000_t75" style="width:11320;height:2960;position:absolute" stroked="f">
              <v:imagedata r:id="rId10" o:title=""/>
            </v:shape>
            <v:shape id="_x0000_s1035" type="#_x0000_t202" style="width:1288;height:317;left:47;position:absolute;top:1098" filled="f" stroked="f">
              <v:textbox inset="0,0,0,0">
                <w:txbxContent>
                  <w:p>
                    <w:pPr>
                      <w:spacing w:before="0" w:line="317" w:lineRule="exact"/>
                      <w:ind w:left="0" w:right="0" w:firstLine="0"/>
                      <w:jc w:val="left"/>
                      <w:rPr>
                        <w:sz w:val="31"/>
                      </w:rPr>
                    </w:pPr>
                    <w:r>
                      <w:rPr>
                        <w:sz w:val="31"/>
                      </w:rPr>
                      <w:t>一般模式</w:t>
                    </w:r>
                  </w:p>
                </w:txbxContent>
              </v:textbox>
            </v:shape>
            <v:shape id="_x0000_s1036" type="#_x0000_t202" style="width:1288;height:317;left:47;position:absolute;top:2546" filled="f" stroked="f">
              <v:textbox inset="0,0,0,0">
                <w:txbxContent>
                  <w:p>
                    <w:pPr>
                      <w:spacing w:before="0" w:line="317" w:lineRule="exact"/>
                      <w:ind w:left="0" w:right="0" w:firstLine="0"/>
                      <w:jc w:val="left"/>
                      <w:rPr>
                        <w:sz w:val="31"/>
                      </w:rPr>
                    </w:pPr>
                    <w:r>
                      <w:rPr>
                        <w:sz w:val="31"/>
                      </w:rPr>
                      <w:t>折现模式</w:t>
                    </w:r>
                  </w:p>
                </w:txbxContent>
              </v:textbox>
            </v:shape>
            <v:shape id="_x0000_s1037" type="#_x0000_t202" style="width:7465;height:317;left:1724;position:absolute;top:2546" filled="f" stroked="f">
              <v:textbox inset="0,0,0,0">
                <w:txbxContent>
                  <w:p>
                    <w:pPr>
                      <w:spacing w:before="0" w:line="317" w:lineRule="exact"/>
                      <w:ind w:left="0" w:right="0" w:firstLine="0"/>
                      <w:jc w:val="left"/>
                      <w:rPr>
                        <w:sz w:val="31"/>
                      </w:rPr>
                    </w:pPr>
                    <w:r>
                      <w:rPr>
                        <w:sz w:val="31"/>
                      </w:rPr>
                      <w:t>根据“现金流入现值－现金流出现值＝0”求解折现率</w:t>
                    </w:r>
                  </w:p>
                </w:txbxContent>
              </v:textbox>
            </v:shape>
            <w10:wrap type="none"/>
          </v:group>
        </w:pict>
      </w:r>
    </w:p>
    <w:p>
      <w:pPr>
        <w:pStyle w:val="BodyText"/>
        <w:spacing w:before="47" w:line="283" w:lineRule="auto"/>
        <w:ind w:left="140" w:right="236" w:firstLine="604"/>
      </w:pPr>
      <w:r>
        <w:t>【例 5－6】某企业取得5 年期长期借款 200 万元，年利率为10%，每年付息一次，到期一次还本，借款费用率 0.2%，企业所得税税率 20%，要求计算该借款的资本成本率。</w:t>
      </w:r>
    </w:p>
    <w:p>
      <w:pPr>
        <w:pStyle w:val="BodyText"/>
        <w:spacing w:line="396" w:lineRule="exact"/>
        <w:ind w:right="8208"/>
        <w:jc w:val="center"/>
      </w:pPr>
      <w:r>
        <w:t>『正确答案』</w:t>
      </w:r>
    </w:p>
    <w:p>
      <w:pPr>
        <w:pStyle w:val="BodyText"/>
        <w:spacing w:before="70"/>
        <w:ind w:right="8201"/>
        <w:jc w:val="center"/>
      </w:pPr>
      <w:r>
        <w:drawing>
          <wp:anchor distT="0" distB="0" distL="0" distR="0" simplePos="0" relativeHeight="251660288" behindDoc="0" locked="0" layoutInCell="1" allowOverlap="1">
            <wp:simplePos x="0" y="0"/>
            <wp:positionH relativeFrom="page">
              <wp:posOffset>2114550</wp:posOffset>
            </wp:positionH>
            <wp:positionV relativeFrom="paragraph">
              <wp:posOffset>322452</wp:posOffset>
            </wp:positionV>
            <wp:extent cx="4600514" cy="542925"/>
            <wp:effectExtent l="0" t="0" r="0" b="0"/>
            <wp:wrapTopAndBottom/>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11" cstate="print"/>
                    <a:stretch>
                      <a:fillRect/>
                    </a:stretch>
                  </pic:blipFill>
                  <pic:spPr>
                    <a:xfrm>
                      <a:off x="0" y="0"/>
                      <a:ext cx="4600514" cy="542925"/>
                    </a:xfrm>
                    <a:prstGeom prst="rect">
                      <a:avLst/>
                    </a:prstGeom>
                  </pic:spPr>
                </pic:pic>
              </a:graphicData>
            </a:graphic>
          </wp:anchor>
        </w:drawing>
      </w:r>
      <w:r>
        <w:t>【按照一般模式计算】</w:t>
      </w:r>
    </w:p>
    <w:p>
      <w:pPr>
        <w:pStyle w:val="BodyText"/>
        <w:spacing w:before="82" w:after="128"/>
        <w:ind w:right="8201"/>
        <w:jc w:val="center"/>
      </w:pPr>
      <w:r>
        <w:t>【按照贴现模式计算】</w:t>
      </w:r>
    </w:p>
    <w:p>
      <w:pPr>
        <w:pStyle w:val="BodyText"/>
        <w:ind w:left="770"/>
        <w:rPr>
          <w:sz w:val="20"/>
        </w:rPr>
      </w:pPr>
      <w:r>
        <w:rPr>
          <w:sz w:val="20"/>
        </w:rPr>
        <w:drawing>
          <wp:inline distT="0" distB="0" distL="0" distR="0">
            <wp:extent cx="4385345" cy="2497836"/>
            <wp:effectExtent l="0" t="0" r="0" b="0"/>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2" cstate="print"/>
                    <a:stretch>
                      <a:fillRect/>
                    </a:stretch>
                  </pic:blipFill>
                  <pic:spPr>
                    <a:xfrm>
                      <a:off x="0" y="0"/>
                      <a:ext cx="4385345" cy="2497836"/>
                    </a:xfrm>
                    <a:prstGeom prst="rect">
                      <a:avLst/>
                    </a:prstGeom>
                  </pic:spPr>
                </pic:pic>
              </a:graphicData>
            </a:graphic>
          </wp:inline>
        </w:drawing>
      </w:r>
    </w:p>
    <w:p>
      <w:pPr>
        <w:spacing w:after="0"/>
        <w:rPr>
          <w:sz w:val="20"/>
        </w:rPr>
        <w:sectPr>
          <w:pgSz w:w="17860" w:h="25260"/>
          <w:pgMar w:top="1860" w:right="2380" w:bottom="280" w:left="2560" w:header="708" w:footer="708"/>
          <w:pgNumType w:start="8"/>
          <w:cols w:space="708"/>
        </w:sectPr>
      </w:pPr>
    </w:p>
    <w:p>
      <w:pPr>
        <w:pStyle w:val="BodyText"/>
        <w:spacing w:before="49"/>
        <w:ind w:left="774"/>
      </w:pPr>
      <w:r>
        <w:t>现金流入现值＝200×（1－0.2%）＝199.6</w:t>
      </w:r>
    </w:p>
    <w:p>
      <w:pPr>
        <w:pStyle w:val="BodyText"/>
        <w:spacing w:before="72"/>
        <w:ind w:left="774"/>
      </w:pPr>
      <w:r>
        <w:t>现金流出现值＝200×10%×（1－20%）×（P/A，Kb，5）＋200×（P／Ｆ，Kb，5）</w:t>
      </w:r>
    </w:p>
    <w:p>
      <w:pPr>
        <w:pStyle w:val="BodyText"/>
        <w:spacing w:before="70" w:line="283" w:lineRule="auto"/>
        <w:ind w:left="770" w:right="4895" w:firstLine="3"/>
      </w:pPr>
      <w:r>
        <w:t>＝16×（P/A，Kb，5）＋200×（P/F，Kb，5） 16×（P/A，Kb，5）＋200×（P/F，Kb，5）＝199.6 用 8% 进 行 第 一 次 测 试 ： 16×（P/A，8%，5）＋200×（P/F，8%，5）</w:t>
      </w:r>
    </w:p>
    <w:p>
      <w:pPr>
        <w:pStyle w:val="BodyText"/>
        <w:spacing w:line="394" w:lineRule="exact"/>
        <w:ind w:left="774"/>
      </w:pPr>
      <w:r>
        <w:t>＝16×3.9927＋200×0.6806</w:t>
      </w:r>
    </w:p>
    <w:p>
      <w:pPr>
        <w:pStyle w:val="BodyText"/>
        <w:spacing w:before="71"/>
        <w:ind w:left="774"/>
      </w:pPr>
      <w:r>
        <w:t>＝200＞199.6</w:t>
      </w:r>
    </w:p>
    <w:p>
      <w:pPr>
        <w:pStyle w:val="BodyText"/>
        <w:spacing w:before="71" w:line="283" w:lineRule="auto"/>
        <w:ind w:left="774" w:right="4895" w:hanging="4"/>
      </w:pPr>
      <w:r>
        <w:t>用 9% 进 行 第 二 次 测 试 ： 16×（P/A，9%，5）＋200×（P/F，9%，5）</w:t>
      </w:r>
    </w:p>
    <w:p>
      <w:pPr>
        <w:pStyle w:val="BodyText"/>
        <w:spacing w:line="396" w:lineRule="exact"/>
        <w:ind w:left="774"/>
      </w:pPr>
      <w:r>
        <w:t>＝16×3.8897＋200×0.6499</w:t>
      </w:r>
    </w:p>
    <w:p>
      <w:pPr>
        <w:pStyle w:val="BodyText"/>
        <w:spacing w:before="71"/>
        <w:ind w:left="774"/>
      </w:pPr>
      <w:r>
        <w:t>＝192.22＜199.6</w:t>
      </w:r>
    </w:p>
    <w:p>
      <w:pPr>
        <w:pStyle w:val="BodyText"/>
        <w:spacing w:before="72"/>
        <w:ind w:left="774"/>
      </w:pPr>
      <w:r>
        <w:pict>
          <v:group id="_x0000_s1038" style="width:566pt;height:150.4pt;margin-top:24.99pt;margin-left:164pt;mso-position-horizontal-relative:page;position:absolute;z-index:-251654144" coordorigin="3280,500" coordsize="11320,3008">
            <v:shape id="_x0000_s1039" type="#_x0000_t75" style="width:6390;height:878;left:3330;position:absolute;top:499" stroked="f">
              <v:imagedata r:id="rId13" o:title=""/>
            </v:shape>
            <v:shape id="_x0000_s1040" type="#_x0000_t75" style="width:11320;height:2100;left:3280;position:absolute;top:1407" stroked="f">
              <v:imagedata r:id="rId14" o:title=""/>
            </v:shape>
          </v:group>
        </w:pict>
      </w:r>
      <w:r>
        <w:t>采用内插法：</w:t>
      </w:r>
    </w:p>
    <w:p>
      <w:pPr>
        <w:pStyle w:val="BodyText"/>
        <w:rPr>
          <w:sz w:val="20"/>
        </w:rPr>
      </w:pPr>
    </w:p>
    <w:p>
      <w:pPr>
        <w:pStyle w:val="BodyText"/>
        <w:rPr>
          <w:sz w:val="20"/>
        </w:rPr>
      </w:pPr>
    </w:p>
    <w:p>
      <w:pPr>
        <w:pStyle w:val="BodyText"/>
        <w:rPr>
          <w:sz w:val="20"/>
        </w:rPr>
      </w:pPr>
    </w:p>
    <w:p>
      <w:pPr>
        <w:pStyle w:val="BodyText"/>
        <w:spacing w:before="11"/>
        <w:rPr>
          <w:sz w:val="24"/>
        </w:rPr>
      </w:pPr>
    </w:p>
    <w:tbl>
      <w:tblPr>
        <w:tblStyle w:val="TableNormal0"/>
        <w:tblW w:w="0" w:type="auto"/>
        <w:jc w:val="left"/>
        <w:tblInd w:w="2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02"/>
        <w:gridCol w:w="4052"/>
      </w:tblGrid>
      <w:tr>
        <w:tblPrEx>
          <w:tblW w:w="0" w:type="auto"/>
          <w:jc w:val="left"/>
          <w:tblInd w:w="2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5"/>
          <w:jc w:val="left"/>
        </w:trPr>
        <w:tc>
          <w:tcPr>
            <w:tcW w:w="3102" w:type="dxa"/>
          </w:tcPr>
          <w:p>
            <w:pPr>
              <w:pStyle w:val="TableParagraph"/>
              <w:spacing w:before="0" w:line="359" w:lineRule="exact"/>
              <w:ind w:left="41" w:right="2090"/>
              <w:rPr>
                <w:sz w:val="31"/>
              </w:rPr>
            </w:pPr>
            <w:r>
              <w:rPr>
                <w:sz w:val="31"/>
              </w:rPr>
              <w:t>折现率</w:t>
            </w:r>
          </w:p>
        </w:tc>
        <w:tc>
          <w:tcPr>
            <w:tcW w:w="4052" w:type="dxa"/>
          </w:tcPr>
          <w:p>
            <w:pPr>
              <w:pStyle w:val="TableParagraph"/>
              <w:spacing w:before="0" w:line="359" w:lineRule="exact"/>
              <w:ind w:left="2101" w:right="50"/>
              <w:rPr>
                <w:sz w:val="31"/>
              </w:rPr>
            </w:pPr>
            <w:r>
              <w:rPr>
                <w:sz w:val="31"/>
              </w:rPr>
              <w:t>现金流出现值</w:t>
            </w:r>
          </w:p>
        </w:tc>
      </w:tr>
      <w:tr>
        <w:tblPrEx>
          <w:tblW w:w="0" w:type="auto"/>
          <w:jc w:val="left"/>
          <w:tblInd w:w="2132" w:type="dxa"/>
          <w:tblLayout w:type="fixed"/>
          <w:tblCellMar>
            <w:top w:w="0" w:type="dxa"/>
            <w:left w:w="0" w:type="dxa"/>
            <w:bottom w:w="0" w:type="dxa"/>
            <w:right w:w="0" w:type="dxa"/>
          </w:tblCellMar>
          <w:tblLook w:val="01E0"/>
        </w:tblPrEx>
        <w:trPr>
          <w:trHeight w:val="512"/>
          <w:jc w:val="left"/>
        </w:trPr>
        <w:tc>
          <w:tcPr>
            <w:tcW w:w="3102" w:type="dxa"/>
          </w:tcPr>
          <w:p>
            <w:pPr>
              <w:pStyle w:val="TableParagraph"/>
              <w:spacing w:before="61"/>
              <w:ind w:left="34" w:right="2090"/>
              <w:rPr>
                <w:sz w:val="31"/>
              </w:rPr>
            </w:pPr>
            <w:r>
              <w:rPr>
                <w:sz w:val="31"/>
              </w:rPr>
              <w:t>8%</w:t>
            </w:r>
          </w:p>
        </w:tc>
        <w:tc>
          <w:tcPr>
            <w:tcW w:w="4052" w:type="dxa"/>
          </w:tcPr>
          <w:p>
            <w:pPr>
              <w:pStyle w:val="TableParagraph"/>
              <w:spacing w:before="61"/>
              <w:ind w:left="2093" w:right="50"/>
              <w:rPr>
                <w:sz w:val="31"/>
              </w:rPr>
            </w:pPr>
            <w:r>
              <w:rPr>
                <w:sz w:val="31"/>
              </w:rPr>
              <w:t>200</w:t>
            </w:r>
          </w:p>
        </w:tc>
      </w:tr>
      <w:tr>
        <w:tblPrEx>
          <w:tblW w:w="0" w:type="auto"/>
          <w:jc w:val="left"/>
          <w:tblInd w:w="2132" w:type="dxa"/>
          <w:tblLayout w:type="fixed"/>
          <w:tblCellMar>
            <w:top w:w="0" w:type="dxa"/>
            <w:left w:w="0" w:type="dxa"/>
            <w:bottom w:w="0" w:type="dxa"/>
            <w:right w:w="0" w:type="dxa"/>
          </w:tblCellMar>
          <w:tblLook w:val="01E0"/>
        </w:tblPrEx>
        <w:trPr>
          <w:trHeight w:val="583"/>
          <w:jc w:val="left"/>
        </w:trPr>
        <w:tc>
          <w:tcPr>
            <w:tcW w:w="3102" w:type="dxa"/>
          </w:tcPr>
          <w:p>
            <w:pPr>
              <w:pStyle w:val="TableParagraph"/>
              <w:spacing w:before="82" w:line="208" w:lineRule="auto"/>
              <w:ind w:left="41" w:right="2033"/>
              <w:rPr>
                <w:sz w:val="29"/>
              </w:rPr>
            </w:pPr>
            <w:r>
              <w:rPr>
                <w:sz w:val="31"/>
              </w:rPr>
              <w:t>K</w:t>
            </w:r>
            <w:r>
              <w:rPr>
                <w:position w:val="-13"/>
                <w:sz w:val="29"/>
              </w:rPr>
              <w:t>b</w:t>
            </w:r>
          </w:p>
        </w:tc>
        <w:tc>
          <w:tcPr>
            <w:tcW w:w="4052" w:type="dxa"/>
          </w:tcPr>
          <w:p>
            <w:pPr>
              <w:pStyle w:val="TableParagraph"/>
              <w:spacing w:before="59"/>
              <w:ind w:left="2093" w:right="50"/>
              <w:rPr>
                <w:sz w:val="31"/>
              </w:rPr>
            </w:pPr>
            <w:r>
              <w:rPr>
                <w:sz w:val="31"/>
              </w:rPr>
              <w:t>199.6</w:t>
            </w:r>
          </w:p>
        </w:tc>
      </w:tr>
      <w:tr>
        <w:tblPrEx>
          <w:tblW w:w="0" w:type="auto"/>
          <w:jc w:val="left"/>
          <w:tblInd w:w="2132" w:type="dxa"/>
          <w:tblLayout w:type="fixed"/>
          <w:tblCellMar>
            <w:top w:w="0" w:type="dxa"/>
            <w:left w:w="0" w:type="dxa"/>
            <w:bottom w:w="0" w:type="dxa"/>
            <w:right w:w="0" w:type="dxa"/>
          </w:tblCellMar>
          <w:tblLook w:val="01E0"/>
        </w:tblPrEx>
        <w:trPr>
          <w:trHeight w:val="345"/>
          <w:jc w:val="left"/>
        </w:trPr>
        <w:tc>
          <w:tcPr>
            <w:tcW w:w="3102" w:type="dxa"/>
          </w:tcPr>
          <w:p>
            <w:pPr>
              <w:pStyle w:val="TableParagraph"/>
              <w:spacing w:before="0" w:line="326" w:lineRule="exact"/>
              <w:ind w:left="34" w:right="2090"/>
              <w:rPr>
                <w:sz w:val="31"/>
              </w:rPr>
            </w:pPr>
            <w:r>
              <w:rPr>
                <w:sz w:val="31"/>
              </w:rPr>
              <w:t>9%</w:t>
            </w:r>
          </w:p>
        </w:tc>
        <w:tc>
          <w:tcPr>
            <w:tcW w:w="4052" w:type="dxa"/>
          </w:tcPr>
          <w:p>
            <w:pPr>
              <w:pStyle w:val="TableParagraph"/>
              <w:spacing w:before="0" w:line="326" w:lineRule="exact"/>
              <w:ind w:left="2101" w:right="50"/>
              <w:rPr>
                <w:sz w:val="31"/>
              </w:rPr>
            </w:pPr>
            <w:r>
              <w:rPr>
                <w:sz w:val="31"/>
              </w:rPr>
              <w:t>192.22</w:t>
            </w:r>
          </w:p>
        </w:tc>
      </w:tr>
    </w:tbl>
    <w:p>
      <w:pPr>
        <w:pStyle w:val="BodyText"/>
        <w:spacing w:before="12"/>
        <w:rPr>
          <w:sz w:val="18"/>
        </w:rPr>
      </w:pPr>
      <w:r>
        <w:drawing>
          <wp:anchor distT="0" distB="0" distL="0" distR="0" simplePos="0" relativeHeight="251661312" behindDoc="0" locked="0" layoutInCell="1" allowOverlap="1">
            <wp:simplePos x="0" y="0"/>
            <wp:positionH relativeFrom="page">
              <wp:posOffset>2114550</wp:posOffset>
            </wp:positionH>
            <wp:positionV relativeFrom="paragraph">
              <wp:posOffset>178847</wp:posOffset>
            </wp:positionV>
            <wp:extent cx="3257228" cy="642937"/>
            <wp:effectExtent l="0" t="0" r="0" b="0"/>
            <wp:wrapTopAndBottom/>
            <wp:docPr id="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2.png"/>
                    <pic:cNvPicPr/>
                  </pic:nvPicPr>
                  <pic:blipFill>
                    <a:blip xmlns:r="http://schemas.openxmlformats.org/officeDocument/2006/relationships" r:embed="rId15" cstate="print"/>
                    <a:stretch>
                      <a:fillRect/>
                    </a:stretch>
                  </pic:blipFill>
                  <pic:spPr>
                    <a:xfrm>
                      <a:off x="0" y="0"/>
                      <a:ext cx="3257228" cy="642937"/>
                    </a:xfrm>
                    <a:prstGeom prst="rect">
                      <a:avLst/>
                    </a:prstGeom>
                  </pic:spPr>
                </pic:pic>
              </a:graphicData>
            </a:graphic>
          </wp:anchor>
        </w:drawing>
      </w:r>
    </w:p>
    <w:p>
      <w:pPr>
        <w:pStyle w:val="BodyText"/>
        <w:spacing w:before="8"/>
        <w:rPr>
          <w:sz w:val="13"/>
        </w:rPr>
      </w:pPr>
    </w:p>
    <w:p>
      <w:pPr>
        <w:pStyle w:val="BodyText"/>
        <w:spacing w:before="63"/>
        <w:ind w:left="774"/>
      </w:pPr>
      <w:r>
        <w:t>解之得Kb ＝8.05%</w:t>
      </w:r>
    </w:p>
    <w:p>
      <w:pPr>
        <w:pStyle w:val="BodyText"/>
        <w:tabs>
          <w:tab w:val="left" w:pos="12184"/>
        </w:tabs>
        <w:spacing w:before="71" w:line="283" w:lineRule="auto"/>
        <w:ind w:left="140" w:right="154" w:firstLine="615"/>
      </w:pPr>
      <w:r>
        <w:t>【例·单选题】甲公司长期借款的筹资净额</w:t>
      </w:r>
      <w:r>
        <w:rPr>
          <w:spacing w:val="26"/>
        </w:rPr>
        <w:t>为</w:t>
      </w:r>
      <w:r>
        <w:t>95</w:t>
      </w:r>
      <w:r>
        <w:rPr>
          <w:spacing w:val="10"/>
        </w:rPr>
        <w:t xml:space="preserve"> </w:t>
      </w:r>
      <w:r>
        <w:t>万元，筹资费用为筹资总额</w:t>
      </w:r>
      <w:r>
        <w:rPr>
          <w:spacing w:val="40"/>
        </w:rPr>
        <w:t>的</w:t>
      </w:r>
      <w:r>
        <w:t>5%，年利率为</w:t>
      </w:r>
      <w:r>
        <w:rPr>
          <w:spacing w:val="-25"/>
        </w:rPr>
        <w:t xml:space="preserve"> </w:t>
      </w:r>
      <w:r>
        <w:rPr>
          <w:spacing w:val="-18"/>
        </w:rPr>
        <w:t>4%，</w:t>
      </w:r>
      <w:r>
        <w:t>所得税税率为</w:t>
      </w:r>
      <w:r>
        <w:rPr>
          <w:spacing w:val="-34"/>
        </w:rPr>
        <w:t xml:space="preserve"> </w:t>
      </w:r>
      <w:r>
        <w:t>25%</w:t>
      </w:r>
      <w:r>
        <w:rPr>
          <w:spacing w:val="-51"/>
        </w:rPr>
        <w:t>。</w:t>
      </w:r>
      <w:r>
        <w:rPr>
          <w:spacing w:val="-54"/>
        </w:rPr>
        <w:t>，</w:t>
      </w:r>
      <w:r>
        <w:t>假设用一般模式计算</w:t>
      </w:r>
      <w:r>
        <w:rPr>
          <w:spacing w:val="-65"/>
        </w:rPr>
        <w:t>，</w:t>
      </w:r>
      <w:r>
        <w:t>则该长期借款的筹资成本</w:t>
      </w:r>
      <w:r>
        <w:rPr>
          <w:spacing w:val="-72"/>
        </w:rPr>
        <w:t>为</w:t>
      </w:r>
      <w:r>
        <w:t>（</w:t>
        <w:tab/>
      </w:r>
      <w:r>
        <w:rPr>
          <w:spacing w:val="-54"/>
        </w:rPr>
        <w:t>）</w:t>
      </w:r>
      <w:r>
        <w:rPr>
          <w:spacing w:val="-18"/>
        </w:rPr>
        <w:t>。</w:t>
      </w:r>
    </w:p>
    <w:p>
      <w:pPr>
        <w:pStyle w:val="BodyText"/>
        <w:spacing w:line="283" w:lineRule="auto"/>
        <w:ind w:left="774" w:right="10461"/>
      </w:pPr>
      <w:r>
        <w:t>A.3% B.3.16% C.4% D.4.21%</w:t>
      </w:r>
    </w:p>
    <w:p>
      <w:pPr>
        <w:pStyle w:val="BodyText"/>
        <w:rPr>
          <w:sz w:val="32"/>
        </w:rPr>
      </w:pPr>
    </w:p>
    <w:p>
      <w:pPr>
        <w:pStyle w:val="BodyText"/>
        <w:spacing w:before="9"/>
        <w:rPr>
          <w:sz w:val="40"/>
        </w:rPr>
      </w:pPr>
    </w:p>
    <w:p>
      <w:pPr>
        <w:pStyle w:val="BodyText"/>
        <w:ind w:left="817"/>
      </w:pPr>
      <w:r>
        <w:t>『正确答案』B</w:t>
      </w:r>
    </w:p>
    <w:p>
      <w:pPr>
        <w:pStyle w:val="BodyText"/>
        <w:spacing w:before="71"/>
        <w:ind w:left="817"/>
      </w:pPr>
      <w:r>
        <w:t>『答案解析』【100×4%×（1-25%）】/95=3.16%</w:t>
      </w:r>
    </w:p>
    <w:p>
      <w:pPr>
        <w:pStyle w:val="BodyText"/>
        <w:spacing w:before="1"/>
        <w:rPr>
          <w:sz w:val="42"/>
        </w:rPr>
      </w:pPr>
    </w:p>
    <w:p>
      <w:pPr>
        <w:pStyle w:val="ListParagraph"/>
        <w:numPr>
          <w:ilvl w:val="0"/>
          <w:numId w:val="20"/>
        </w:numPr>
        <w:tabs>
          <w:tab w:val="left" w:pos="1564"/>
        </w:tabs>
        <w:spacing w:before="0" w:after="0" w:line="240" w:lineRule="auto"/>
        <w:ind w:left="1563" w:right="0" w:hanging="790"/>
        <w:jc w:val="left"/>
        <w:rPr>
          <w:sz w:val="31"/>
        </w:rPr>
      </w:pPr>
      <w:r>
        <w:rPr>
          <w:sz w:val="31"/>
        </w:rPr>
        <w:t>公司债券资本成本</w:t>
      </w:r>
    </w:p>
    <w:p>
      <w:pPr>
        <w:pStyle w:val="BodyText"/>
        <w:ind w:left="720"/>
        <w:rPr>
          <w:sz w:val="20"/>
        </w:rPr>
      </w:pPr>
      <w:r>
        <w:rPr>
          <w:sz w:val="20"/>
        </w:rPr>
        <w:pict>
          <v:group id="_x0000_i1041" style="width:568.95pt;height:171pt;mso-position-horizontal-relative:char;mso-position-vertical-relative:line" coordorigin="0,0" coordsize="11379,3420">
            <v:shape id="_x0000_s1042" type="#_x0000_t75" style="width:10352;height:1000;left:903;position:absolute;top:253" stroked="f">
              <v:imagedata r:id="rId16" o:title=""/>
            </v:shape>
            <v:shape id="_x0000_s1043" type="#_x0000_t75" style="width:11320;height:3420;position:absolute" stroked="f">
              <v:imagedata r:id="rId17" o:title=""/>
            </v:shape>
            <v:shape id="_x0000_s1044" type="#_x0000_t202" style="width:654;height:785;left:47;position:absolute;top:859" filled="f" stroked="f">
              <v:textbox inset="0,0,0,0">
                <w:txbxContent>
                  <w:p>
                    <w:pPr>
                      <w:spacing w:before="0" w:line="359" w:lineRule="exact"/>
                      <w:ind w:left="0" w:right="0" w:firstLine="0"/>
                      <w:jc w:val="left"/>
                      <w:rPr>
                        <w:sz w:val="31"/>
                      </w:rPr>
                    </w:pPr>
                    <w:r>
                      <w:rPr>
                        <w:sz w:val="31"/>
                      </w:rPr>
                      <w:t>一般</w:t>
                    </w:r>
                  </w:p>
                  <w:p>
                    <w:pPr>
                      <w:spacing w:before="71" w:line="355" w:lineRule="exact"/>
                      <w:ind w:left="0" w:right="0" w:firstLine="0"/>
                      <w:jc w:val="left"/>
                      <w:rPr>
                        <w:sz w:val="31"/>
                      </w:rPr>
                    </w:pPr>
                    <w:r>
                      <w:rPr>
                        <w:sz w:val="31"/>
                      </w:rPr>
                      <w:t>模式</w:t>
                    </w:r>
                  </w:p>
                </w:txbxContent>
              </v:textbox>
            </v:shape>
            <v:shape id="_x0000_s1045" type="#_x0000_t202" style="width:10475;height:785;left:903;position:absolute;top:1561" filled="f" stroked="f">
              <v:textbox inset="0,0,0,0">
                <w:txbxContent>
                  <w:p>
                    <w:pPr>
                      <w:spacing w:before="0" w:line="359" w:lineRule="exact"/>
                      <w:ind w:left="0" w:right="0" w:firstLine="0"/>
                      <w:jc w:val="left"/>
                      <w:rPr>
                        <w:sz w:val="31"/>
                      </w:rPr>
                    </w:pPr>
                    <w:r>
                      <w:rPr>
                        <w:sz w:val="31"/>
                      </w:rPr>
                      <w:t>【注】分子计算年利息要根据面值和票面利率计算，分母筹资总额是根据债</w:t>
                    </w:r>
                  </w:p>
                  <w:p>
                    <w:pPr>
                      <w:spacing w:before="71" w:line="355" w:lineRule="exact"/>
                      <w:ind w:left="0" w:right="0" w:firstLine="0"/>
                      <w:jc w:val="left"/>
                      <w:rPr>
                        <w:sz w:val="31"/>
                      </w:rPr>
                    </w:pPr>
                    <w:r>
                      <w:rPr>
                        <w:sz w:val="31"/>
                      </w:rPr>
                      <w:t>券发行价格计算的。</w:t>
                    </w:r>
                  </w:p>
                </w:txbxContent>
              </v:textbox>
            </v:shape>
            <v:shape id="_x0000_s1046" type="#_x0000_t202" style="width:8322;height:785;left:47;position:absolute;top:2540" filled="f" stroked="f">
              <v:textbox inset="0,0,0,0">
                <w:txbxContent>
                  <w:p>
                    <w:pPr>
                      <w:spacing w:before="0" w:line="278" w:lineRule="exact"/>
                      <w:ind w:left="0" w:right="0" w:firstLine="0"/>
                      <w:jc w:val="left"/>
                      <w:rPr>
                        <w:sz w:val="31"/>
                      </w:rPr>
                    </w:pPr>
                    <w:r>
                      <w:rPr>
                        <w:sz w:val="31"/>
                      </w:rPr>
                      <w:t>折现</w:t>
                    </w:r>
                  </w:p>
                  <w:p>
                    <w:pPr>
                      <w:spacing w:before="0" w:line="234" w:lineRule="exact"/>
                      <w:ind w:left="856" w:right="0" w:firstLine="0"/>
                      <w:jc w:val="left"/>
                      <w:rPr>
                        <w:sz w:val="31"/>
                      </w:rPr>
                    </w:pPr>
                    <w:r>
                      <w:rPr>
                        <w:sz w:val="31"/>
                      </w:rPr>
                      <w:t>根据“现金流入现值－现金流出现值＝0”求解折现率</w:t>
                    </w:r>
                  </w:p>
                  <w:p>
                    <w:pPr>
                      <w:spacing w:before="0" w:line="273" w:lineRule="exact"/>
                      <w:ind w:left="0" w:right="0" w:firstLine="0"/>
                      <w:jc w:val="left"/>
                      <w:rPr>
                        <w:sz w:val="31"/>
                      </w:rPr>
                    </w:pPr>
                    <w:r>
                      <w:rPr>
                        <w:sz w:val="31"/>
                      </w:rPr>
                      <w:t>模式</w:t>
                    </w:r>
                  </w:p>
                </w:txbxContent>
              </v:textbox>
            </v:shape>
            <w10:wrap type="none"/>
          </v:group>
        </w:pict>
      </w:r>
    </w:p>
    <w:p>
      <w:pPr>
        <w:spacing w:after="0"/>
        <w:rPr>
          <w:sz w:val="20"/>
        </w:rPr>
        <w:sectPr>
          <w:pgSz w:w="17860" w:h="25260"/>
          <w:pgMar w:top="1860" w:right="2380" w:bottom="280" w:left="2560" w:header="708" w:footer="708"/>
          <w:pgNumType w:start="9"/>
          <w:cols w:space="708"/>
        </w:sectPr>
      </w:pPr>
    </w:p>
    <w:p>
      <w:pPr>
        <w:pStyle w:val="BodyText"/>
        <w:spacing w:before="49" w:line="283" w:lineRule="auto"/>
        <w:ind w:left="140" w:right="154" w:firstLine="633"/>
      </w:pPr>
      <w:r>
        <w:drawing>
          <wp:anchor distT="0" distB="0" distL="0" distR="0" simplePos="0" relativeHeight="251665408" behindDoc="0" locked="0" layoutInCell="1" allowOverlap="1">
            <wp:simplePos x="0" y="0"/>
            <wp:positionH relativeFrom="page">
              <wp:posOffset>2114550</wp:posOffset>
            </wp:positionH>
            <wp:positionV relativeFrom="paragraph">
              <wp:posOffset>916305</wp:posOffset>
            </wp:positionV>
            <wp:extent cx="200913" cy="172211"/>
            <wp:effectExtent l="0" t="0" r="0" b="0"/>
            <wp:wrapNone/>
            <wp:docPr id="1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5.png"/>
                    <pic:cNvPicPr/>
                  </pic:nvPicPr>
                  <pic:blipFill>
                    <a:blip xmlns:r="http://schemas.openxmlformats.org/officeDocument/2006/relationships" r:embed="rId18" cstate="print"/>
                    <a:stretch>
                      <a:fillRect/>
                    </a:stretch>
                  </pic:blipFill>
                  <pic:spPr>
                    <a:xfrm>
                      <a:off x="0" y="0"/>
                      <a:ext cx="200913" cy="172211"/>
                    </a:xfrm>
                    <a:prstGeom prst="rect">
                      <a:avLst/>
                    </a:prstGeom>
                  </pic:spPr>
                </pic:pic>
              </a:graphicData>
            </a:graphic>
          </wp:anchor>
        </w:drawing>
      </w:r>
      <w:r>
        <w:rPr>
          <w:spacing w:val="-18"/>
        </w:rPr>
        <w:t xml:space="preserve">【例 </w:t>
      </w:r>
      <w:r>
        <w:rPr>
          <w:spacing w:val="-3"/>
        </w:rPr>
        <w:t>5－7</w:t>
      </w:r>
      <w:r>
        <w:rPr>
          <w:spacing w:val="-10"/>
        </w:rPr>
        <w:t xml:space="preserve">】某企业以 </w:t>
      </w:r>
      <w:r>
        <w:t>1100</w:t>
      </w:r>
      <w:r>
        <w:rPr>
          <w:spacing w:val="-13"/>
        </w:rPr>
        <w:t xml:space="preserve"> 元的价格，溢价发行面值为 </w:t>
      </w:r>
      <w:r>
        <w:t>1000</w:t>
      </w:r>
      <w:r>
        <w:rPr>
          <w:spacing w:val="-17"/>
        </w:rPr>
        <w:t xml:space="preserve"> 元、期限为 </w:t>
      </w:r>
      <w:r>
        <w:t>5</w:t>
      </w:r>
      <w:r>
        <w:rPr>
          <w:spacing w:val="-9"/>
        </w:rPr>
        <w:t xml:space="preserve"> 年、票面利率</w:t>
      </w:r>
      <w:r>
        <w:rPr>
          <w:spacing w:val="21"/>
        </w:rPr>
        <w:t xml:space="preserve">为 </w:t>
      </w:r>
      <w:r>
        <w:t>7</w:t>
      </w:r>
      <w:r>
        <w:rPr>
          <w:spacing w:val="-1"/>
        </w:rPr>
        <w:t>%的公司债券一批。每年付息一次，到期一次还本，发行费用率</w:t>
      </w:r>
      <w:r>
        <w:t>3</w:t>
      </w:r>
      <w:r>
        <w:rPr>
          <w:spacing w:val="-1"/>
        </w:rPr>
        <w:t xml:space="preserve">%，所得税税率 </w:t>
      </w:r>
      <w:r>
        <w:t>20</w:t>
      </w:r>
      <w:r>
        <w:rPr>
          <w:spacing w:val="-6"/>
        </w:rPr>
        <w:t>%。要求计算该债券的资本成本率。</w:t>
      </w:r>
    </w:p>
    <w:p>
      <w:pPr>
        <w:spacing w:before="57"/>
        <w:ind w:left="1087" w:right="0" w:firstLine="0"/>
        <w:jc w:val="left"/>
        <w:rPr>
          <w:sz w:val="27"/>
        </w:rPr>
      </w:pPr>
      <w:r>
        <w:rPr>
          <w:sz w:val="27"/>
        </w:rPr>
        <w:t>[答疑编号 5725050405]</w:t>
      </w:r>
    </w:p>
    <w:p>
      <w:pPr>
        <w:pStyle w:val="BodyText"/>
        <w:spacing w:before="64"/>
        <w:ind w:left="774"/>
      </w:pPr>
      <w:r>
        <w:t>『正确答案』</w:t>
      </w:r>
    </w:p>
    <w:p>
      <w:pPr>
        <w:pStyle w:val="BodyText"/>
        <w:spacing w:before="71"/>
        <w:ind w:left="774"/>
      </w:pPr>
      <w:r>
        <w:drawing>
          <wp:anchor distT="0" distB="0" distL="0" distR="0" simplePos="0" relativeHeight="251663360" behindDoc="0" locked="0" layoutInCell="1" allowOverlap="1">
            <wp:simplePos x="0" y="0"/>
            <wp:positionH relativeFrom="page">
              <wp:posOffset>2114550</wp:posOffset>
            </wp:positionH>
            <wp:positionV relativeFrom="paragraph">
              <wp:posOffset>317500</wp:posOffset>
            </wp:positionV>
            <wp:extent cx="4958149" cy="557212"/>
            <wp:effectExtent l="0" t="0" r="0" b="0"/>
            <wp:wrapTopAndBottom/>
            <wp:docPr id="1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6.png"/>
                    <pic:cNvPicPr/>
                  </pic:nvPicPr>
                  <pic:blipFill>
                    <a:blip xmlns:r="http://schemas.openxmlformats.org/officeDocument/2006/relationships" r:embed="rId19" cstate="print"/>
                    <a:stretch>
                      <a:fillRect/>
                    </a:stretch>
                  </pic:blipFill>
                  <pic:spPr>
                    <a:xfrm>
                      <a:off x="0" y="0"/>
                      <a:ext cx="4958149" cy="557212"/>
                    </a:xfrm>
                    <a:prstGeom prst="rect">
                      <a:avLst/>
                    </a:prstGeom>
                  </pic:spPr>
                </pic:pic>
              </a:graphicData>
            </a:graphic>
          </wp:anchor>
        </w:drawing>
      </w:r>
      <w:r>
        <w:t>【按照一般模式计算】</w:t>
      </w:r>
    </w:p>
    <w:p>
      <w:pPr>
        <w:pStyle w:val="BodyText"/>
        <w:spacing w:before="68"/>
        <w:ind w:left="774"/>
      </w:pPr>
      <w:r>
        <w:t>【按照折现模式计算】</w:t>
      </w:r>
    </w:p>
    <w:p>
      <w:pPr>
        <w:pStyle w:val="BodyText"/>
        <w:spacing w:before="71" w:line="283" w:lineRule="auto"/>
        <w:ind w:left="774" w:right="487"/>
      </w:pPr>
      <w:r>
        <w:t>1100×（1－3%）＝1000×7%×（1-20%）×（P/A，Kb，5）＋1000×（P/F，Kb，5） 按照插值法计算，得Kb＝4.09%</w:t>
      </w:r>
    </w:p>
    <w:p>
      <w:pPr>
        <w:pStyle w:val="ListParagraph"/>
        <w:numPr>
          <w:ilvl w:val="0"/>
          <w:numId w:val="20"/>
        </w:numPr>
        <w:tabs>
          <w:tab w:val="left" w:pos="1564"/>
        </w:tabs>
        <w:spacing w:before="0" w:after="0" w:line="396" w:lineRule="exact"/>
        <w:ind w:left="1563" w:right="0" w:hanging="790"/>
        <w:jc w:val="left"/>
        <w:rPr>
          <w:sz w:val="31"/>
        </w:rPr>
      </w:pPr>
      <w:r>
        <w:rPr>
          <w:sz w:val="31"/>
        </w:rPr>
        <w:t>融资租赁资本成本</w:t>
      </w:r>
    </w:p>
    <w:p>
      <w:pPr>
        <w:pStyle w:val="BodyText"/>
        <w:spacing w:before="72" w:line="283" w:lineRule="auto"/>
        <w:ind w:left="140" w:right="299" w:firstLine="633"/>
      </w:pPr>
      <w:r>
        <w:rPr>
          <w:spacing w:val="-13"/>
        </w:rPr>
        <w:t>融资租赁各期的租金中，包含有本金每期的偿还和各期的手续费用</w:t>
      </w:r>
      <w:r>
        <w:t>（</w:t>
      </w:r>
      <w:r>
        <w:rPr>
          <w:spacing w:val="-3"/>
        </w:rPr>
        <w:t>即租赁公司各期的</w:t>
      </w:r>
      <w:r>
        <w:t>利润），其资本成本的计算只能采用折现模式</w:t>
      </w:r>
    </w:p>
    <w:p>
      <w:pPr>
        <w:pStyle w:val="BodyText"/>
        <w:spacing w:line="283" w:lineRule="auto"/>
        <w:ind w:left="140" w:right="142" w:firstLine="586"/>
      </w:pPr>
      <w:r>
        <w:drawing>
          <wp:anchor distT="0" distB="0" distL="0" distR="0" simplePos="0" relativeHeight="251666432" behindDoc="0" locked="0" layoutInCell="1" allowOverlap="1">
            <wp:simplePos x="0" y="0"/>
            <wp:positionH relativeFrom="page">
              <wp:posOffset>2114550</wp:posOffset>
            </wp:positionH>
            <wp:positionV relativeFrom="paragraph">
              <wp:posOffset>586993</wp:posOffset>
            </wp:positionV>
            <wp:extent cx="200913" cy="172211"/>
            <wp:effectExtent l="0" t="0" r="0" b="0"/>
            <wp:wrapNone/>
            <wp:docPr id="1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5.png"/>
                    <pic:cNvPicPr/>
                  </pic:nvPicPr>
                  <pic:blipFill>
                    <a:blip xmlns:r="http://schemas.openxmlformats.org/officeDocument/2006/relationships" r:embed="rId18" cstate="print"/>
                    <a:stretch>
                      <a:fillRect/>
                    </a:stretch>
                  </pic:blipFill>
                  <pic:spPr>
                    <a:xfrm>
                      <a:off x="0" y="0"/>
                      <a:ext cx="200913" cy="172211"/>
                    </a:xfrm>
                    <a:prstGeom prst="rect">
                      <a:avLst/>
                    </a:prstGeom>
                  </pic:spPr>
                </pic:pic>
              </a:graphicData>
            </a:graphic>
          </wp:anchor>
        </w:drawing>
      </w:r>
      <w:r>
        <w:rPr>
          <w:spacing w:val="-15"/>
        </w:rPr>
        <w:t xml:space="preserve">【例 </w:t>
      </w:r>
      <w:r>
        <w:t>5－8</w:t>
      </w:r>
      <w:r>
        <w:rPr>
          <w:spacing w:val="-14"/>
        </w:rPr>
        <w:t xml:space="preserve">】租赁设备原值 </w:t>
      </w:r>
      <w:r>
        <w:t>60</w:t>
      </w:r>
      <w:r>
        <w:rPr>
          <w:spacing w:val="-21"/>
        </w:rPr>
        <w:t xml:space="preserve"> 万元，租期 </w:t>
      </w:r>
      <w:r>
        <w:t>6</w:t>
      </w:r>
      <w:r>
        <w:rPr>
          <w:spacing w:val="-15"/>
        </w:rPr>
        <w:t xml:space="preserve"> 年，租赁期满预计残值 </w:t>
      </w:r>
      <w:r>
        <w:t>5</w:t>
      </w:r>
      <w:r>
        <w:rPr>
          <w:spacing w:val="-12"/>
        </w:rPr>
        <w:t xml:space="preserve"> 万元，归租赁公司。</w:t>
      </w:r>
      <w:r>
        <w:rPr>
          <w:spacing w:val="-26"/>
        </w:rPr>
        <w:t xml:space="preserve">每年租金 </w:t>
      </w:r>
      <w:r>
        <w:t>131283</w:t>
      </w:r>
      <w:r>
        <w:rPr>
          <w:spacing w:val="-10"/>
        </w:rPr>
        <w:t xml:space="preserve"> 元，要求计算融资租赁资本成本率。</w:t>
      </w:r>
    </w:p>
    <w:p>
      <w:pPr>
        <w:spacing w:before="56"/>
        <w:ind w:left="1087" w:right="0" w:firstLine="0"/>
        <w:jc w:val="left"/>
        <w:rPr>
          <w:sz w:val="27"/>
        </w:rPr>
      </w:pPr>
      <w:r>
        <w:rPr>
          <w:sz w:val="27"/>
        </w:rPr>
        <w:t>[答疑编号 5725050406]</w:t>
      </w:r>
    </w:p>
    <w:p>
      <w:pPr>
        <w:pStyle w:val="BodyText"/>
        <w:spacing w:before="63"/>
        <w:ind w:left="774"/>
      </w:pPr>
      <w:r>
        <w:t>『正确答案』</w:t>
      </w:r>
    </w:p>
    <w:p>
      <w:pPr>
        <w:pStyle w:val="BodyText"/>
        <w:spacing w:before="12"/>
        <w:rPr>
          <w:sz w:val="8"/>
        </w:rPr>
      </w:pPr>
      <w:r>
        <w:drawing>
          <wp:anchor distT="0" distB="0" distL="0" distR="0" simplePos="0" relativeHeight="251664384" behindDoc="0" locked="0" layoutInCell="1" allowOverlap="1">
            <wp:simplePos x="0" y="0"/>
            <wp:positionH relativeFrom="page">
              <wp:posOffset>2114550</wp:posOffset>
            </wp:positionH>
            <wp:positionV relativeFrom="paragraph">
              <wp:posOffset>97964</wp:posOffset>
            </wp:positionV>
            <wp:extent cx="5215045" cy="2185987"/>
            <wp:effectExtent l="0" t="0" r="0" b="0"/>
            <wp:wrapTopAndBottom/>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20" cstate="print"/>
                    <a:stretch>
                      <a:fillRect/>
                    </a:stretch>
                  </pic:blipFill>
                  <pic:spPr>
                    <a:xfrm>
                      <a:off x="0" y="0"/>
                      <a:ext cx="5215045" cy="2185987"/>
                    </a:xfrm>
                    <a:prstGeom prst="rect">
                      <a:avLst/>
                    </a:prstGeom>
                  </pic:spPr>
                </pic:pic>
              </a:graphicData>
            </a:graphic>
          </wp:anchor>
        </w:drawing>
      </w:r>
    </w:p>
    <w:p>
      <w:pPr>
        <w:pStyle w:val="BodyText"/>
        <w:spacing w:before="190" w:line="283" w:lineRule="auto"/>
        <w:ind w:left="774" w:right="6393"/>
      </w:pPr>
      <w:r>
        <w:t>现金流入现值＝租赁设备原值＝600000 元现金流出现值＝各期租金现值＋残值现值</w:t>
      </w:r>
    </w:p>
    <w:p>
      <w:pPr>
        <w:pStyle w:val="BodyText"/>
        <w:spacing w:line="283" w:lineRule="auto"/>
        <w:ind w:left="774" w:right="3797"/>
      </w:pPr>
      <w:r>
        <w:t>＝131283×（P/A，Kb，6）＋50000×（P/F，Kb，6） 600000＝131283×（P/A，Kb，6）＋50000×（P/F，Kb，6） 得：融资租赁资本成本Kb＝10%</w:t>
      </w:r>
    </w:p>
    <w:p>
      <w:pPr>
        <w:pStyle w:val="BodyText"/>
        <w:spacing w:line="395" w:lineRule="exact"/>
        <w:ind w:left="774"/>
      </w:pPr>
      <w:r>
        <w:t>【总结】融资租赁资本成本的计算（不考虑所得税）</w:t>
      </w:r>
    </w:p>
    <w:p>
      <w:pPr>
        <w:pStyle w:val="ListParagraph"/>
        <w:numPr>
          <w:ilvl w:val="0"/>
          <w:numId w:val="19"/>
        </w:numPr>
        <w:tabs>
          <w:tab w:val="left" w:pos="1564"/>
        </w:tabs>
        <w:spacing w:before="69" w:after="0" w:line="240" w:lineRule="auto"/>
        <w:ind w:left="1563" w:right="0" w:hanging="790"/>
        <w:jc w:val="left"/>
        <w:rPr>
          <w:sz w:val="31"/>
        </w:rPr>
      </w:pPr>
      <w:r>
        <w:rPr>
          <w:sz w:val="31"/>
        </w:rPr>
        <w:t>残值归出租人</w:t>
      </w:r>
    </w:p>
    <w:p>
      <w:pPr>
        <w:pStyle w:val="BodyText"/>
        <w:spacing w:before="71"/>
        <w:ind w:left="774"/>
      </w:pPr>
      <w:r>
        <w:t>设备价值＝年租金×年金现值系数+残值现值</w:t>
      </w:r>
    </w:p>
    <w:p>
      <w:pPr>
        <w:pStyle w:val="ListParagraph"/>
        <w:numPr>
          <w:ilvl w:val="0"/>
          <w:numId w:val="19"/>
        </w:numPr>
        <w:tabs>
          <w:tab w:val="left" w:pos="1564"/>
        </w:tabs>
        <w:spacing w:before="71" w:after="0" w:line="240" w:lineRule="auto"/>
        <w:ind w:left="1563" w:right="0" w:hanging="790"/>
        <w:jc w:val="left"/>
        <w:rPr>
          <w:sz w:val="31"/>
        </w:rPr>
      </w:pPr>
      <w:r>
        <w:rPr>
          <w:sz w:val="31"/>
        </w:rPr>
        <w:t>残值归承租人</w:t>
      </w:r>
    </w:p>
    <w:p>
      <w:pPr>
        <w:pStyle w:val="BodyText"/>
        <w:spacing w:before="71"/>
        <w:ind w:left="774"/>
      </w:pPr>
      <w:r>
        <w:t>设备价值＝年租金×年金现值系数</w:t>
      </w:r>
    </w:p>
    <w:p>
      <w:pPr>
        <w:pStyle w:val="BodyText"/>
        <w:spacing w:before="71"/>
        <w:ind w:left="774"/>
      </w:pPr>
      <w:r>
        <w:t>【提示】</w:t>
      </w:r>
    </w:p>
    <w:p>
      <w:pPr>
        <w:pStyle w:val="BodyText"/>
        <w:spacing w:before="71" w:line="283" w:lineRule="auto"/>
        <w:ind w:left="140" w:right="306" w:firstLine="633"/>
      </w:pPr>
      <w:r>
        <w:rPr>
          <w:spacing w:val="-13"/>
        </w:rPr>
        <w:t>当租金在年末支付时，年金现值系数为普通年金现值系数；当租金在年初支付时，年金</w:t>
      </w:r>
      <w:r>
        <w:rPr>
          <w:spacing w:val="-1"/>
        </w:rPr>
        <w:t>现值系数为即付年金现值系数【普通年金现值系数×</w:t>
      </w:r>
      <w:r>
        <w:rPr>
          <w:spacing w:val="-7"/>
        </w:rPr>
        <w:t>（1＋i）</w:t>
      </w:r>
      <w:r>
        <w:t>】。</w:t>
      </w:r>
    </w:p>
    <w:p>
      <w:pPr>
        <w:pStyle w:val="ListParagraph"/>
        <w:numPr>
          <w:ilvl w:val="0"/>
          <w:numId w:val="18"/>
        </w:numPr>
        <w:tabs>
          <w:tab w:val="left" w:pos="1564"/>
        </w:tabs>
        <w:spacing w:before="0" w:after="0" w:line="396" w:lineRule="exact"/>
        <w:ind w:left="1563" w:right="0" w:hanging="790"/>
        <w:jc w:val="left"/>
        <w:rPr>
          <w:sz w:val="31"/>
        </w:rPr>
      </w:pPr>
      <w:r>
        <w:rPr>
          <w:sz w:val="31"/>
        </w:rPr>
        <w:t>普通股资本成本</w:t>
      </w:r>
    </w:p>
    <w:p>
      <w:pPr>
        <w:spacing w:after="0" w:line="396" w:lineRule="exact"/>
        <w:jc w:val="left"/>
        <w:rPr>
          <w:sz w:val="31"/>
        </w:rPr>
        <w:sectPr>
          <w:pgSz w:w="17860" w:h="25260"/>
          <w:pgMar w:top="1860" w:right="2380" w:bottom="280" w:left="2560" w:header="708" w:footer="708"/>
          <w:pgNumType w:start="10"/>
          <w:cols w:space="708"/>
        </w:sectPr>
      </w:pPr>
    </w:p>
    <w:p>
      <w:pPr>
        <w:pStyle w:val="BodyText"/>
        <w:ind w:left="770"/>
        <w:rPr>
          <w:sz w:val="20"/>
        </w:rPr>
      </w:pPr>
      <w:r>
        <w:rPr>
          <w:sz w:val="20"/>
        </w:rPr>
        <w:drawing>
          <wp:inline distT="0" distB="0" distL="0" distR="0">
            <wp:extent cx="5586478" cy="1600200"/>
            <wp:effectExtent l="0" t="0" r="0" b="0"/>
            <wp:docPr id="1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8.png"/>
                    <pic:cNvPicPr/>
                  </pic:nvPicPr>
                  <pic:blipFill>
                    <a:blip xmlns:r="http://schemas.openxmlformats.org/officeDocument/2006/relationships" r:embed="rId21" cstate="print"/>
                    <a:stretch>
                      <a:fillRect/>
                    </a:stretch>
                  </pic:blipFill>
                  <pic:spPr>
                    <a:xfrm>
                      <a:off x="0" y="0"/>
                      <a:ext cx="5586478" cy="1600200"/>
                    </a:xfrm>
                    <a:prstGeom prst="rect">
                      <a:avLst/>
                    </a:prstGeom>
                  </pic:spPr>
                </pic:pic>
              </a:graphicData>
            </a:graphic>
          </wp:inline>
        </w:drawing>
      </w:r>
    </w:p>
    <w:p>
      <w:pPr>
        <w:pStyle w:val="BodyText"/>
        <w:spacing w:before="2"/>
        <w:rPr>
          <w:sz w:val="12"/>
        </w:rPr>
      </w:pPr>
    </w:p>
    <w:p>
      <w:pPr>
        <w:pStyle w:val="BodyText"/>
        <w:spacing w:before="62"/>
        <w:ind w:left="774"/>
      </w:pPr>
      <w:r>
        <w:t>第一种方法——股利增长模型法</w:t>
      </w:r>
    </w:p>
    <w:p>
      <w:pPr>
        <w:pStyle w:val="BodyText"/>
        <w:spacing w:before="71"/>
        <w:ind w:left="774"/>
      </w:pPr>
      <w:r>
        <w:t>假设：某股票本期支付股利为D0，未来各期股利按g 速度增长，股票目前市场价格为</w:t>
      </w:r>
    </w:p>
    <w:p>
      <w:pPr>
        <w:pStyle w:val="BodyText"/>
        <w:spacing w:before="71"/>
        <w:ind w:left="140"/>
      </w:pPr>
      <w:r>
        <w:t>P0，则普通股资本成本为：</w:t>
      </w:r>
    </w:p>
    <w:p>
      <w:pPr>
        <w:pStyle w:val="BodyText"/>
        <w:spacing w:before="5"/>
        <w:rPr>
          <w:sz w:val="12"/>
        </w:rPr>
      </w:pPr>
      <w:r>
        <w:drawing>
          <wp:anchor distT="0" distB="0" distL="0" distR="0" simplePos="0" relativeHeight="251667456" behindDoc="0" locked="0" layoutInCell="1" allowOverlap="1">
            <wp:simplePos x="0" y="0"/>
            <wp:positionH relativeFrom="page">
              <wp:posOffset>2114550</wp:posOffset>
            </wp:positionH>
            <wp:positionV relativeFrom="paragraph">
              <wp:posOffset>125785</wp:posOffset>
            </wp:positionV>
            <wp:extent cx="4543094" cy="642937"/>
            <wp:effectExtent l="0" t="0" r="0" b="0"/>
            <wp:wrapTopAndBottom/>
            <wp:docPr id="2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9.png"/>
                    <pic:cNvPicPr/>
                  </pic:nvPicPr>
                  <pic:blipFill>
                    <a:blip xmlns:r="http://schemas.openxmlformats.org/officeDocument/2006/relationships" r:embed="rId22" cstate="print"/>
                    <a:stretch>
                      <a:fillRect/>
                    </a:stretch>
                  </pic:blipFill>
                  <pic:spPr>
                    <a:xfrm>
                      <a:off x="0" y="0"/>
                      <a:ext cx="4543094" cy="642937"/>
                    </a:xfrm>
                    <a:prstGeom prst="rect">
                      <a:avLst/>
                    </a:prstGeom>
                  </pic:spPr>
                </pic:pic>
              </a:graphicData>
            </a:graphic>
          </wp:anchor>
        </w:drawing>
      </w:r>
    </w:p>
    <w:p>
      <w:pPr>
        <w:pStyle w:val="BodyText"/>
        <w:spacing w:before="236" w:after="28"/>
        <w:ind w:left="774"/>
      </w:pPr>
      <w:r>
        <w:t>【提示】普通股资本成本计算采用的是折现模式。</w:t>
      </w:r>
    </w:p>
    <w:p>
      <w:pPr>
        <w:pStyle w:val="BodyText"/>
        <w:ind w:left="770"/>
        <w:rPr>
          <w:sz w:val="20"/>
        </w:rPr>
      </w:pPr>
      <w:r>
        <w:rPr>
          <w:sz w:val="20"/>
        </w:rPr>
        <w:drawing>
          <wp:inline distT="0" distB="0" distL="0" distR="0">
            <wp:extent cx="5515094" cy="2343150"/>
            <wp:effectExtent l="0" t="0" r="0" b="0"/>
            <wp:docPr id="2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0.png"/>
                    <pic:cNvPicPr/>
                  </pic:nvPicPr>
                  <pic:blipFill>
                    <a:blip xmlns:r="http://schemas.openxmlformats.org/officeDocument/2006/relationships" r:embed="rId23" cstate="print"/>
                    <a:stretch>
                      <a:fillRect/>
                    </a:stretch>
                  </pic:blipFill>
                  <pic:spPr>
                    <a:xfrm>
                      <a:off x="0" y="0"/>
                      <a:ext cx="5515094" cy="2343150"/>
                    </a:xfrm>
                    <a:prstGeom prst="rect">
                      <a:avLst/>
                    </a:prstGeom>
                  </pic:spPr>
                </pic:pic>
              </a:graphicData>
            </a:graphic>
          </wp:inline>
        </w:drawing>
      </w:r>
    </w:p>
    <w:p>
      <w:pPr>
        <w:pStyle w:val="BodyText"/>
        <w:spacing w:before="97"/>
        <w:ind w:left="774"/>
      </w:pPr>
      <w:r>
        <w:rPr>
          <w:spacing w:val="-2"/>
        </w:rPr>
        <w:t>【注意】</w:t>
      </w:r>
      <w:r>
        <w:t>D0</w:t>
      </w:r>
      <w:r>
        <w:rPr>
          <w:spacing w:val="-52"/>
        </w:rPr>
        <w:t xml:space="preserve"> 与 </w:t>
      </w:r>
      <w:r>
        <w:t>D1</w:t>
      </w:r>
      <w:r>
        <w:rPr>
          <w:spacing w:val="-21"/>
        </w:rPr>
        <w:t xml:space="preserve"> 的区别</w:t>
      </w:r>
    </w:p>
    <w:p>
      <w:pPr>
        <w:pStyle w:val="BodyText"/>
        <w:spacing w:before="71" w:line="283" w:lineRule="auto"/>
        <w:ind w:left="140" w:right="568" w:firstLine="633"/>
      </w:pPr>
      <w:r>
        <w:drawing>
          <wp:anchor distT="0" distB="0" distL="0" distR="0" simplePos="0" relativeHeight="251669504" behindDoc="0" locked="0" layoutInCell="1" allowOverlap="1">
            <wp:simplePos x="0" y="0"/>
            <wp:positionH relativeFrom="page">
              <wp:posOffset>2114550</wp:posOffset>
            </wp:positionH>
            <wp:positionV relativeFrom="paragraph">
              <wp:posOffset>632079</wp:posOffset>
            </wp:positionV>
            <wp:extent cx="200913" cy="172211"/>
            <wp:effectExtent l="0" t="0" r="0" b="0"/>
            <wp:wrapNone/>
            <wp:docPr id="2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1.png"/>
                    <pic:cNvPicPr/>
                  </pic:nvPicPr>
                  <pic:blipFill>
                    <a:blip xmlns:r="http://schemas.openxmlformats.org/officeDocument/2006/relationships" r:embed="rId24" cstate="print"/>
                    <a:stretch>
                      <a:fillRect/>
                    </a:stretch>
                  </pic:blipFill>
                  <pic:spPr>
                    <a:xfrm>
                      <a:off x="0" y="0"/>
                      <a:ext cx="200913" cy="172211"/>
                    </a:xfrm>
                    <a:prstGeom prst="rect">
                      <a:avLst/>
                    </a:prstGeom>
                  </pic:spPr>
                </pic:pic>
              </a:graphicData>
            </a:graphic>
          </wp:anchor>
        </w:drawing>
      </w:r>
      <w:r>
        <w:rPr>
          <w:spacing w:val="-10"/>
        </w:rPr>
        <w:t xml:space="preserve">【例 </w:t>
      </w:r>
      <w:r>
        <w:rPr>
          <w:spacing w:val="-3"/>
        </w:rPr>
        <w:t>5－9</w:t>
      </w:r>
      <w:r>
        <w:rPr>
          <w:spacing w:val="-5"/>
        </w:rPr>
        <w:t xml:space="preserve">】某公司普通股市价 </w:t>
      </w:r>
      <w:r>
        <w:t>30</w:t>
      </w:r>
      <w:r>
        <w:rPr>
          <w:spacing w:val="-10"/>
        </w:rPr>
        <w:t xml:space="preserve"> 元，筹资费用率为 </w:t>
      </w:r>
      <w:r>
        <w:t>2</w:t>
      </w:r>
      <w:r>
        <w:rPr>
          <w:spacing w:val="-5"/>
        </w:rPr>
        <w:t xml:space="preserve">%，本年发放现金股利每股 0.6 </w:t>
      </w:r>
      <w:r>
        <w:rPr>
          <w:spacing w:val="-8"/>
        </w:rPr>
        <w:t xml:space="preserve">元，预期股利年增长率 </w:t>
      </w:r>
      <w:r>
        <w:rPr>
          <w:spacing w:val="-3"/>
        </w:rPr>
        <w:t>10</w:t>
      </w:r>
      <w:r>
        <w:rPr>
          <w:spacing w:val="-2"/>
        </w:rPr>
        <w:t>%。要求计算该普通股资本成本。</w:t>
      </w:r>
    </w:p>
    <w:p>
      <w:pPr>
        <w:spacing w:before="57"/>
        <w:ind w:left="1087" w:right="0" w:firstLine="0"/>
        <w:jc w:val="left"/>
        <w:rPr>
          <w:sz w:val="27"/>
        </w:rPr>
      </w:pPr>
      <w:r>
        <w:rPr>
          <w:sz w:val="27"/>
        </w:rPr>
        <w:t>[答疑编号 5725050407]</w:t>
      </w:r>
    </w:p>
    <w:p>
      <w:pPr>
        <w:pStyle w:val="BodyText"/>
        <w:rPr>
          <w:sz w:val="26"/>
        </w:rPr>
      </w:pPr>
    </w:p>
    <w:p>
      <w:pPr>
        <w:pStyle w:val="BodyText"/>
        <w:spacing w:before="199"/>
        <w:ind w:left="817"/>
      </w:pPr>
      <w:r>
        <w:t>『正确答案』</w:t>
      </w:r>
    </w:p>
    <w:p>
      <w:pPr>
        <w:pStyle w:val="BodyText"/>
        <w:spacing w:before="1"/>
        <w:rPr>
          <w:sz w:val="13"/>
        </w:rPr>
      </w:pPr>
      <w:r>
        <w:drawing>
          <wp:anchor distT="0" distB="0" distL="0" distR="0" simplePos="0" relativeHeight="251668480" behindDoc="0" locked="0" layoutInCell="1" allowOverlap="1">
            <wp:simplePos x="0" y="0"/>
            <wp:positionH relativeFrom="page">
              <wp:posOffset>2544064</wp:posOffset>
            </wp:positionH>
            <wp:positionV relativeFrom="paragraph">
              <wp:posOffset>131445</wp:posOffset>
            </wp:positionV>
            <wp:extent cx="3443351" cy="628650"/>
            <wp:effectExtent l="0" t="0" r="0" b="0"/>
            <wp:wrapTopAndBottom/>
            <wp:docPr id="2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2.png"/>
                    <pic:cNvPicPr/>
                  </pic:nvPicPr>
                  <pic:blipFill>
                    <a:blip xmlns:r="http://schemas.openxmlformats.org/officeDocument/2006/relationships" r:embed="rId25" cstate="print"/>
                    <a:stretch>
                      <a:fillRect/>
                    </a:stretch>
                  </pic:blipFill>
                  <pic:spPr>
                    <a:xfrm>
                      <a:off x="0" y="0"/>
                      <a:ext cx="3443351" cy="628650"/>
                    </a:xfrm>
                    <a:prstGeom prst="rect">
                      <a:avLst/>
                    </a:prstGeom>
                  </pic:spPr>
                </pic:pic>
              </a:graphicData>
            </a:graphic>
          </wp:anchor>
        </w:drawing>
      </w:r>
    </w:p>
    <w:p>
      <w:pPr>
        <w:pStyle w:val="BodyText"/>
        <w:rPr>
          <w:sz w:val="32"/>
        </w:rPr>
      </w:pPr>
    </w:p>
    <w:p>
      <w:pPr>
        <w:pStyle w:val="BodyText"/>
        <w:spacing w:before="12"/>
        <w:rPr>
          <w:sz w:val="23"/>
        </w:rPr>
      </w:pPr>
    </w:p>
    <w:p>
      <w:pPr>
        <w:pStyle w:val="BodyText"/>
        <w:ind w:left="774"/>
      </w:pPr>
      <w:r>
        <w:t>第二种方法——资本资产定价模型法</w:t>
      </w:r>
    </w:p>
    <w:p>
      <w:pPr>
        <w:pStyle w:val="BodyText"/>
        <w:spacing w:before="71" w:line="346" w:lineRule="exact"/>
        <w:ind w:left="774"/>
      </w:pPr>
      <w:r>
        <w:t>K</w:t>
      </w:r>
      <w:r>
        <w:rPr>
          <w:spacing w:val="-76"/>
        </w:rPr>
        <w:t xml:space="preserve"> </w:t>
      </w:r>
      <w:r>
        <w:t>＝R</w:t>
      </w:r>
      <w:r>
        <w:rPr>
          <w:spacing w:val="-73"/>
        </w:rPr>
        <w:t xml:space="preserve"> </w:t>
      </w:r>
      <w:r>
        <w:t>+</w:t>
      </w:r>
      <w:r>
        <w:rPr>
          <w:rFonts w:ascii="Arial" w:eastAsia="Arial" w:hAnsi="Arial"/>
        </w:rPr>
        <w:t xml:space="preserve">β </w:t>
      </w:r>
      <w:r>
        <w:t>（R</w:t>
      </w:r>
      <w:r>
        <w:rPr>
          <w:spacing w:val="-73"/>
        </w:rPr>
        <w:t xml:space="preserve"> </w:t>
      </w:r>
      <w:r>
        <w:t>－R</w:t>
      </w:r>
      <w:r>
        <w:rPr>
          <w:spacing w:val="-75"/>
        </w:rPr>
        <w:t xml:space="preserve"> </w:t>
      </w:r>
      <w:r>
        <w:t>）</w:t>
      </w:r>
    </w:p>
    <w:p>
      <w:pPr>
        <w:tabs>
          <w:tab w:val="left" w:pos="1486"/>
          <w:tab w:val="left" w:pos="2512"/>
          <w:tab w:val="left" w:pos="3067"/>
        </w:tabs>
        <w:spacing w:before="0" w:line="138" w:lineRule="exact"/>
        <w:ind w:left="932" w:right="0" w:firstLine="0"/>
        <w:jc w:val="left"/>
        <w:rPr>
          <w:sz w:val="16"/>
        </w:rPr>
      </w:pPr>
      <w:r>
        <w:rPr>
          <w:w w:val="105"/>
          <w:sz w:val="16"/>
        </w:rPr>
        <w:t>s</w:t>
        <w:tab/>
        <w:t>f</w:t>
        <w:tab/>
        <w:t>m</w:t>
        <w:tab/>
        <w:t>f</w:t>
      </w:r>
    </w:p>
    <w:p>
      <w:pPr>
        <w:pStyle w:val="BodyText"/>
        <w:tabs>
          <w:tab w:val="left" w:pos="4947"/>
        </w:tabs>
        <w:spacing w:line="382" w:lineRule="exact"/>
        <w:ind w:left="774"/>
      </w:pPr>
      <w:r>
        <w:t>【例</w:t>
      </w:r>
      <w:r>
        <w:rPr>
          <w:spacing w:val="-61"/>
        </w:rPr>
        <w:t xml:space="preserve"> </w:t>
      </w:r>
      <w:r>
        <w:t>5－10】某公司普通</w:t>
      </w:r>
      <w:r>
        <w:rPr>
          <w:spacing w:val="69"/>
        </w:rPr>
        <w:t>股</w:t>
      </w:r>
      <w:r>
        <w:rPr>
          <w:rFonts w:ascii="Arial" w:eastAsia="Arial" w:hAnsi="Arial"/>
        </w:rPr>
        <w:t>β</w:t>
        <w:tab/>
      </w:r>
      <w:r>
        <w:t>系数为</w:t>
      </w:r>
      <w:r>
        <w:rPr>
          <w:spacing w:val="-59"/>
        </w:rPr>
        <w:t xml:space="preserve"> </w:t>
      </w:r>
      <w:r>
        <w:t>1.5，此时一年期国债利率</w:t>
      </w:r>
      <w:r>
        <w:rPr>
          <w:spacing w:val="-76"/>
        </w:rPr>
        <w:t xml:space="preserve"> </w:t>
      </w:r>
      <w:r>
        <w:t>5%，市场平均报酬率</w:t>
      </w:r>
    </w:p>
    <w:p>
      <w:pPr>
        <w:pStyle w:val="BodyText"/>
        <w:spacing w:before="70"/>
        <w:ind w:left="140"/>
      </w:pPr>
      <w:r>
        <w:t>15%，要求计算该普通股资本成本率。</w:t>
      </w:r>
    </w:p>
    <w:p>
      <w:pPr>
        <w:pStyle w:val="BodyText"/>
        <w:rPr>
          <w:sz w:val="32"/>
        </w:rPr>
      </w:pPr>
    </w:p>
    <w:p>
      <w:pPr>
        <w:pStyle w:val="BodyText"/>
        <w:spacing w:before="8"/>
        <w:rPr>
          <w:sz w:val="46"/>
        </w:rPr>
      </w:pPr>
    </w:p>
    <w:p>
      <w:pPr>
        <w:pStyle w:val="BodyText"/>
        <w:spacing w:before="1"/>
        <w:ind w:left="817"/>
      </w:pPr>
      <w:r>
        <w:t>『正确答案』普通股资本成本＝5%＋1.5×（15%－5%）＝20%</w:t>
      </w:r>
    </w:p>
    <w:p>
      <w:pPr>
        <w:pStyle w:val="BodyText"/>
        <w:rPr>
          <w:sz w:val="42"/>
        </w:rPr>
      </w:pPr>
    </w:p>
    <w:p>
      <w:pPr>
        <w:pStyle w:val="ListParagraph"/>
        <w:numPr>
          <w:ilvl w:val="0"/>
          <w:numId w:val="18"/>
        </w:numPr>
        <w:tabs>
          <w:tab w:val="left" w:pos="1564"/>
        </w:tabs>
        <w:spacing w:before="0" w:after="0" w:line="240" w:lineRule="auto"/>
        <w:ind w:left="1563" w:right="0" w:hanging="790"/>
        <w:jc w:val="left"/>
        <w:rPr>
          <w:sz w:val="31"/>
        </w:rPr>
      </w:pPr>
      <w:r>
        <w:rPr>
          <w:sz w:val="31"/>
        </w:rPr>
        <w:t>留存收益资本成本</w:t>
      </w:r>
    </w:p>
    <w:p>
      <w:pPr>
        <w:pStyle w:val="BodyText"/>
        <w:spacing w:before="71" w:line="283" w:lineRule="auto"/>
        <w:ind w:left="140" w:right="306" w:firstLine="633"/>
      </w:pPr>
      <w:r>
        <w:rPr>
          <w:spacing w:val="-12"/>
        </w:rPr>
        <w:t>与普通股资本成本计算相同，也分为股利增长模型法和资本资产定价模型法，不同点在</w:t>
      </w:r>
      <w:r>
        <w:t>于留存收益资本成本率不考虑筹资费用。</w:t>
      </w:r>
    </w:p>
    <w:p>
      <w:pPr>
        <w:pStyle w:val="BodyText"/>
        <w:tabs>
          <w:tab w:val="left" w:pos="11565"/>
        </w:tabs>
        <w:spacing w:line="283" w:lineRule="auto"/>
        <w:ind w:left="140" w:right="398" w:firstLine="633"/>
      </w:pPr>
      <w:r>
        <w:t>【例·单选题】某公司普通股目前的股价</w:t>
      </w:r>
      <w:r>
        <w:rPr>
          <w:spacing w:val="47"/>
        </w:rPr>
        <w:t>为</w:t>
      </w:r>
      <w:r>
        <w:t>10</w:t>
      </w:r>
      <w:r>
        <w:rPr>
          <w:spacing w:val="29"/>
        </w:rPr>
        <w:t xml:space="preserve"> </w:t>
      </w:r>
      <w:r>
        <w:t>元/股，筹资费用率为</w:t>
      </w:r>
      <w:r>
        <w:rPr>
          <w:spacing w:val="9"/>
        </w:rPr>
        <w:t xml:space="preserve"> </w:t>
      </w:r>
      <w:r>
        <w:t>6%，刚刚支付</w:t>
      </w:r>
      <w:r>
        <w:rPr>
          <w:spacing w:val="-14"/>
        </w:rPr>
        <w:t>的</w:t>
      </w:r>
      <w:r>
        <w:t>每股股利为</w:t>
      </w:r>
      <w:r>
        <w:rPr>
          <w:spacing w:val="-45"/>
        </w:rPr>
        <w:t xml:space="preserve"> </w:t>
      </w:r>
      <w:r>
        <w:t>2</w:t>
      </w:r>
      <w:r>
        <w:rPr>
          <w:spacing w:val="-32"/>
        </w:rPr>
        <w:t xml:space="preserve"> </w:t>
      </w:r>
      <w:r>
        <w:t>元，股利固定增长率</w:t>
      </w:r>
      <w:r>
        <w:rPr>
          <w:spacing w:val="-54"/>
        </w:rPr>
        <w:t xml:space="preserve"> </w:t>
      </w:r>
      <w:r>
        <w:t>2%，则该企业利用留存收益的资本成本率为（</w:t>
        <w:tab/>
        <w:t>）。</w:t>
      </w:r>
    </w:p>
    <w:p>
      <w:pPr>
        <w:spacing w:after="0" w:line="283" w:lineRule="auto"/>
        <w:sectPr>
          <w:pgSz w:w="17860" w:h="25260"/>
          <w:pgMar w:top="1980" w:right="2380" w:bottom="280" w:left="2560" w:header="708" w:footer="708"/>
          <w:pgNumType w:start="11"/>
          <w:cols w:space="708"/>
        </w:sectPr>
      </w:pPr>
    </w:p>
    <w:p>
      <w:pPr>
        <w:pStyle w:val="BodyText"/>
        <w:spacing w:before="49" w:line="283" w:lineRule="auto"/>
        <w:ind w:left="774" w:right="10876"/>
        <w:jc w:val="both"/>
      </w:pPr>
      <w:r>
        <w:drawing>
          <wp:anchor distT="0" distB="0" distL="0" distR="0" simplePos="0" relativeHeight="251671552" behindDoc="0" locked="0" layoutInCell="1" allowOverlap="1">
            <wp:simplePos x="0" y="0"/>
            <wp:positionH relativeFrom="page">
              <wp:posOffset>2114550</wp:posOffset>
            </wp:positionH>
            <wp:positionV relativeFrom="paragraph">
              <wp:posOffset>1213485</wp:posOffset>
            </wp:positionV>
            <wp:extent cx="200913" cy="172211"/>
            <wp:effectExtent l="0" t="0" r="0" b="0"/>
            <wp:wrapNone/>
            <wp:docPr id="2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3.png"/>
                    <pic:cNvPicPr/>
                  </pic:nvPicPr>
                  <pic:blipFill>
                    <a:blip xmlns:r="http://schemas.openxmlformats.org/officeDocument/2006/relationships" r:embed="rId18" cstate="print"/>
                    <a:stretch>
                      <a:fillRect/>
                    </a:stretch>
                  </pic:blipFill>
                  <pic:spPr>
                    <a:xfrm>
                      <a:off x="0" y="0"/>
                      <a:ext cx="200913" cy="172211"/>
                    </a:xfrm>
                    <a:prstGeom prst="rect">
                      <a:avLst/>
                    </a:prstGeom>
                  </pic:spPr>
                </pic:pic>
              </a:graphicData>
            </a:graphic>
          </wp:anchor>
        </w:drawing>
      </w:r>
      <w:r>
        <w:t>A.22.40% B.22.00% C.23.70% D.23.28%</w:t>
      </w:r>
    </w:p>
    <w:p>
      <w:pPr>
        <w:spacing w:before="57"/>
        <w:ind w:left="1087" w:right="0" w:firstLine="0"/>
        <w:jc w:val="both"/>
        <w:rPr>
          <w:sz w:val="27"/>
        </w:rPr>
      </w:pPr>
      <w:r>
        <w:rPr>
          <w:sz w:val="27"/>
        </w:rPr>
        <w:t>[答疑编号 5725050409]</w:t>
      </w:r>
    </w:p>
    <w:p>
      <w:pPr>
        <w:pStyle w:val="BodyText"/>
        <w:rPr>
          <w:sz w:val="26"/>
        </w:rPr>
      </w:pPr>
    </w:p>
    <w:p>
      <w:pPr>
        <w:pStyle w:val="BodyText"/>
        <w:spacing w:before="198"/>
        <w:ind w:left="817"/>
      </w:pPr>
      <w:r>
        <w:t>『正确答案』A</w:t>
      </w:r>
    </w:p>
    <w:p>
      <w:pPr>
        <w:pStyle w:val="BodyText"/>
        <w:spacing w:before="71"/>
        <w:ind w:left="817"/>
      </w:pPr>
      <w:r>
        <w:t>『答案解析』2×（1＋2%）/10×100%＋2%＝22.40%</w:t>
      </w:r>
    </w:p>
    <w:p>
      <w:pPr>
        <w:pStyle w:val="BodyText"/>
        <w:rPr>
          <w:sz w:val="42"/>
        </w:rPr>
      </w:pPr>
    </w:p>
    <w:p>
      <w:pPr>
        <w:pStyle w:val="BodyText"/>
        <w:ind w:left="457"/>
      </w:pPr>
      <w:r>
        <w:t>（五）计算综合资金成本（平均资本成本）</w:t>
      </w:r>
    </w:p>
    <w:p>
      <w:pPr>
        <w:pStyle w:val="BodyText"/>
        <w:spacing w:before="71" w:line="283" w:lineRule="auto"/>
        <w:ind w:left="140" w:right="298" w:firstLine="633"/>
      </w:pPr>
      <w:r>
        <w:drawing>
          <wp:anchor distT="0" distB="0" distL="0" distR="0" simplePos="0" relativeHeight="251672576" behindDoc="0" locked="0" layoutInCell="1" allowOverlap="1">
            <wp:simplePos x="0" y="0"/>
            <wp:positionH relativeFrom="page">
              <wp:posOffset>2114550</wp:posOffset>
            </wp:positionH>
            <wp:positionV relativeFrom="paragraph">
              <wp:posOffset>619379</wp:posOffset>
            </wp:positionV>
            <wp:extent cx="1701164" cy="843406"/>
            <wp:effectExtent l="0" t="0" r="0" b="0"/>
            <wp:wrapNone/>
            <wp:docPr id="3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4.png"/>
                    <pic:cNvPicPr/>
                  </pic:nvPicPr>
                  <pic:blipFill>
                    <a:blip xmlns:r="http://schemas.openxmlformats.org/officeDocument/2006/relationships" r:embed="rId26" cstate="print"/>
                    <a:stretch>
                      <a:fillRect/>
                    </a:stretch>
                  </pic:blipFill>
                  <pic:spPr>
                    <a:xfrm>
                      <a:off x="0" y="0"/>
                      <a:ext cx="1701164" cy="843406"/>
                    </a:xfrm>
                    <a:prstGeom prst="rect">
                      <a:avLst/>
                    </a:prstGeom>
                  </pic:spPr>
                </pic:pic>
              </a:graphicData>
            </a:graphic>
          </wp:anchor>
        </w:drawing>
      </w:r>
      <w:r>
        <w:rPr>
          <w:spacing w:val="-15"/>
        </w:rPr>
        <w:t>平均资本成本，是以各项个别资本占企业总资本中的比重为权数，对各项个别资本成本</w:t>
      </w:r>
      <w:r>
        <w:t>率进行加权平均而得到的总资本成本率。其计算公式为：</w:t>
      </w:r>
    </w:p>
    <w:p>
      <w:pPr>
        <w:pStyle w:val="BodyText"/>
        <w:rPr>
          <w:sz w:val="32"/>
        </w:rPr>
      </w:pPr>
    </w:p>
    <w:p>
      <w:pPr>
        <w:pStyle w:val="BodyText"/>
        <w:rPr>
          <w:sz w:val="32"/>
        </w:rPr>
      </w:pPr>
    </w:p>
    <w:p>
      <w:pPr>
        <w:pStyle w:val="BodyText"/>
        <w:spacing w:before="7"/>
        <w:rPr>
          <w:sz w:val="45"/>
        </w:rPr>
      </w:pPr>
    </w:p>
    <w:p>
      <w:pPr>
        <w:pStyle w:val="BodyText"/>
        <w:ind w:left="774"/>
      </w:pPr>
      <w:r>
        <w:t>其中的权数可以有三种选择，即账面价值权数、市场价值权数和目标价值权数。</w:t>
      </w:r>
    </w:p>
    <w:p>
      <w:pPr>
        <w:pStyle w:val="BodyText"/>
        <w:ind w:left="720"/>
        <w:rPr>
          <w:sz w:val="20"/>
        </w:rPr>
      </w:pPr>
      <w:r>
        <w:rPr>
          <w:sz w:val="20"/>
        </w:rPr>
        <w:pict>
          <v:group id="_x0000_i1047" style="width:574.6pt;height:246pt;mso-position-horizontal-relative:char;mso-position-vertical-relative:line" coordorigin="0,0" coordsize="11492,4920">
            <v:shape id="_x0000_s1048" type="#_x0000_t75" style="width:11320;height:4920;position:absolute" stroked="f">
              <v:imagedata r:id="rId27" o:title=""/>
            </v:shape>
            <v:shape id="_x0000_s1049" type="#_x0000_t202" style="width:11492;height:4920;position:absolute" filled="f" stroked="f">
              <v:textbox inset="0,0,0,0">
                <w:txbxContent>
                  <w:p>
                    <w:pPr>
                      <w:tabs>
                        <w:tab w:val="left" w:pos="5829"/>
                      </w:tabs>
                      <w:spacing w:before="119"/>
                      <w:ind w:left="205" w:right="0" w:firstLine="0"/>
                      <w:jc w:val="left"/>
                      <w:rPr>
                        <w:sz w:val="31"/>
                      </w:rPr>
                    </w:pPr>
                    <w:r>
                      <w:rPr>
                        <w:sz w:val="31"/>
                      </w:rPr>
                      <w:t>类别</w:t>
                      <w:tab/>
                      <w:t>评价</w:t>
                    </w:r>
                  </w:p>
                  <w:p>
                    <w:pPr>
                      <w:spacing w:before="118"/>
                      <w:ind w:left="1036" w:right="0" w:firstLine="0"/>
                      <w:jc w:val="left"/>
                      <w:rPr>
                        <w:sz w:val="31"/>
                      </w:rPr>
                    </w:pPr>
                    <w:r>
                      <w:rPr>
                        <w:sz w:val="31"/>
                      </w:rPr>
                      <w:t>其优点是资料容易取得，计算结果比较稳定。</w:t>
                    </w:r>
                  </w:p>
                  <w:p>
                    <w:pPr>
                      <w:spacing w:before="71" w:line="283" w:lineRule="auto"/>
                      <w:ind w:left="46" w:right="0" w:firstLine="0"/>
                      <w:jc w:val="left"/>
                      <w:rPr>
                        <w:sz w:val="31"/>
                      </w:rPr>
                    </w:pPr>
                    <w:r>
                      <w:rPr>
                        <w:sz w:val="31"/>
                      </w:rPr>
                      <w:t>账面价其缺点是当债券和股票的市价与账面价值差距较大时，导致按账面价值计  值权数算出来的资本成本，不能反映目前从资本市场上筹集资本是现时机会成本，</w:t>
                    </w:r>
                  </w:p>
                  <w:p>
                    <w:pPr>
                      <w:spacing w:before="0" w:line="396" w:lineRule="exact"/>
                      <w:ind w:left="1036" w:right="0" w:firstLine="0"/>
                      <w:jc w:val="left"/>
                      <w:rPr>
                        <w:sz w:val="31"/>
                      </w:rPr>
                    </w:pPr>
                    <w:r>
                      <w:rPr>
                        <w:color w:val="A4001F"/>
                        <w:sz w:val="31"/>
                      </w:rPr>
                      <w:t>不适合评价现时的资本结构</w:t>
                    </w:r>
                    <w:r>
                      <w:rPr>
                        <w:sz w:val="31"/>
                      </w:rPr>
                      <w:t>。</w:t>
                    </w:r>
                  </w:p>
                  <w:p>
                    <w:pPr>
                      <w:spacing w:before="114" w:line="316" w:lineRule="exact"/>
                      <w:ind w:left="1036" w:right="0" w:firstLine="0"/>
                      <w:jc w:val="left"/>
                      <w:rPr>
                        <w:sz w:val="31"/>
                      </w:rPr>
                    </w:pPr>
                    <w:r>
                      <w:rPr>
                        <w:sz w:val="31"/>
                      </w:rPr>
                      <w:t>其优点是能够反映现时的资本成本水平，有利于进行资本结构决策。</w:t>
                    </w:r>
                  </w:p>
                  <w:p>
                    <w:pPr>
                      <w:spacing w:before="0" w:line="234" w:lineRule="exact"/>
                      <w:ind w:left="46" w:right="0" w:firstLine="0"/>
                      <w:jc w:val="left"/>
                      <w:rPr>
                        <w:sz w:val="31"/>
                      </w:rPr>
                    </w:pPr>
                    <w:r>
                      <w:rPr>
                        <w:sz w:val="31"/>
                      </w:rPr>
                      <w:t>市场价</w:t>
                    </w:r>
                  </w:p>
                  <w:p>
                    <w:pPr>
                      <w:spacing w:before="0" w:line="234" w:lineRule="exact"/>
                      <w:ind w:left="1036" w:right="0" w:firstLine="0"/>
                      <w:jc w:val="left"/>
                      <w:rPr>
                        <w:sz w:val="31"/>
                      </w:rPr>
                    </w:pPr>
                    <w:r>
                      <w:rPr>
                        <w:sz w:val="31"/>
                      </w:rPr>
                      <w:t>其缺点是现行市价处于经常变动之中，不容易取得，且现行市价反映的只</w:t>
                    </w:r>
                  </w:p>
                  <w:p>
                    <w:pPr>
                      <w:spacing w:before="0" w:line="234" w:lineRule="exact"/>
                      <w:ind w:left="46" w:right="0" w:firstLine="0"/>
                      <w:jc w:val="left"/>
                      <w:rPr>
                        <w:sz w:val="31"/>
                      </w:rPr>
                    </w:pPr>
                    <w:r>
                      <w:rPr>
                        <w:sz w:val="31"/>
                      </w:rPr>
                      <w:t>值权数</w:t>
                    </w:r>
                  </w:p>
                  <w:p>
                    <w:pPr>
                      <w:spacing w:before="0" w:line="316" w:lineRule="exact"/>
                      <w:ind w:left="1036" w:right="0" w:firstLine="0"/>
                      <w:jc w:val="left"/>
                      <w:rPr>
                        <w:sz w:val="31"/>
                      </w:rPr>
                    </w:pPr>
                    <w:r>
                      <w:rPr>
                        <w:sz w:val="31"/>
                      </w:rPr>
                      <w:t>是现时的资本结构，</w:t>
                    </w:r>
                    <w:r>
                      <w:rPr>
                        <w:color w:val="A4001F"/>
                        <w:sz w:val="31"/>
                      </w:rPr>
                      <w:t>不适用于未来的筹资决策</w:t>
                    </w:r>
                    <w:r>
                      <w:rPr>
                        <w:sz w:val="31"/>
                      </w:rPr>
                      <w:t>。</w:t>
                    </w:r>
                  </w:p>
                  <w:p>
                    <w:pPr>
                      <w:spacing w:before="118"/>
                      <w:ind w:left="46" w:right="0" w:firstLine="0"/>
                      <w:jc w:val="left"/>
                      <w:rPr>
                        <w:sz w:val="31"/>
                      </w:rPr>
                    </w:pPr>
                    <w:r>
                      <w:rPr>
                        <w:sz w:val="31"/>
                      </w:rPr>
                      <w:t>目标价其优点是能适用于未来的筹资决策。</w:t>
                    </w:r>
                  </w:p>
                  <w:p>
                    <w:pPr>
                      <w:spacing w:before="70"/>
                      <w:ind w:left="46" w:right="0" w:firstLine="0"/>
                      <w:jc w:val="left"/>
                      <w:rPr>
                        <w:sz w:val="31"/>
                      </w:rPr>
                    </w:pPr>
                    <w:r>
                      <w:rPr>
                        <w:sz w:val="31"/>
                      </w:rPr>
                      <w:t>值权数其缺点是目标价值的确定难免具有主观性。</w:t>
                    </w:r>
                  </w:p>
                </w:txbxContent>
              </v:textbox>
            </v:shape>
            <w10:wrap type="none"/>
          </v:group>
        </w:pict>
      </w:r>
    </w:p>
    <w:p>
      <w:pPr>
        <w:pStyle w:val="BodyText"/>
        <w:spacing w:before="45" w:line="283" w:lineRule="auto"/>
        <w:ind w:left="140" w:right="304" w:firstLine="597"/>
        <w:jc w:val="both"/>
      </w:pPr>
      <w:r>
        <w:drawing>
          <wp:anchor distT="0" distB="0" distL="0" distR="0" simplePos="0" relativeHeight="251673600" behindDoc="0" locked="0" layoutInCell="1" allowOverlap="1">
            <wp:simplePos x="0" y="0"/>
            <wp:positionH relativeFrom="page">
              <wp:posOffset>2114550</wp:posOffset>
            </wp:positionH>
            <wp:positionV relativeFrom="paragraph">
              <wp:posOffset>1209801</wp:posOffset>
            </wp:positionV>
            <wp:extent cx="200913" cy="172212"/>
            <wp:effectExtent l="0" t="0" r="0" b="0"/>
            <wp:wrapNone/>
            <wp:docPr id="3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3.png"/>
                    <pic:cNvPicPr/>
                  </pic:nvPicPr>
                  <pic:blipFill>
                    <a:blip xmlns:r="http://schemas.openxmlformats.org/officeDocument/2006/relationships" r:embed="rId18" cstate="print"/>
                    <a:stretch>
                      <a:fillRect/>
                    </a:stretch>
                  </pic:blipFill>
                  <pic:spPr>
                    <a:xfrm>
                      <a:off x="0" y="0"/>
                      <a:ext cx="200913" cy="172212"/>
                    </a:xfrm>
                    <a:prstGeom prst="rect">
                      <a:avLst/>
                    </a:prstGeom>
                  </pic:spPr>
                </pic:pic>
              </a:graphicData>
            </a:graphic>
          </wp:anchor>
        </w:drawing>
      </w:r>
      <w:r>
        <w:rPr>
          <w:spacing w:val="-1"/>
        </w:rPr>
        <w:t xml:space="preserve">【例 </w:t>
      </w:r>
      <w:r>
        <w:t>5－11</w:t>
      </w:r>
      <w:r>
        <w:rPr>
          <w:spacing w:val="-4"/>
        </w:rPr>
        <w:t>】万达公司本年末的长期资本账面总额</w:t>
      </w:r>
      <w:r>
        <w:t>1000</w:t>
      </w:r>
      <w:r>
        <w:rPr>
          <w:spacing w:val="-10"/>
        </w:rPr>
        <w:t xml:space="preserve"> 万元，其中：银行长期贷款 </w:t>
      </w:r>
      <w:r>
        <w:rPr>
          <w:spacing w:val="-5"/>
        </w:rPr>
        <w:t xml:space="preserve">400 </w:t>
      </w:r>
      <w:r>
        <w:rPr>
          <w:spacing w:val="-11"/>
        </w:rPr>
        <w:t xml:space="preserve">万元，占 </w:t>
      </w:r>
      <w:r>
        <w:t>40</w:t>
      </w:r>
      <w:r>
        <w:rPr>
          <w:spacing w:val="-9"/>
        </w:rPr>
        <w:t xml:space="preserve">%；长期债券 </w:t>
      </w:r>
      <w:r>
        <w:t>150</w:t>
      </w:r>
      <w:r>
        <w:rPr>
          <w:spacing w:val="-19"/>
        </w:rPr>
        <w:t xml:space="preserve"> 万元，占 </w:t>
      </w:r>
      <w:r>
        <w:t>15</w:t>
      </w:r>
      <w:r>
        <w:rPr>
          <w:spacing w:val="-10"/>
        </w:rPr>
        <w:t xml:space="preserve">%；普通股 </w:t>
      </w:r>
      <w:r>
        <w:t>450</w:t>
      </w:r>
      <w:r>
        <w:rPr>
          <w:spacing w:val="-18"/>
        </w:rPr>
        <w:t xml:space="preserve"> 万元，占 </w:t>
      </w:r>
      <w:r>
        <w:t>45%；长期贷款、长期债</w:t>
      </w:r>
      <w:r>
        <w:rPr>
          <w:spacing w:val="-1"/>
        </w:rPr>
        <w:t>券和普通股的个别资本成本分别为：</w:t>
      </w:r>
      <w:r>
        <w:rPr>
          <w:spacing w:val="-9"/>
        </w:rPr>
        <w:t>5</w:t>
      </w:r>
      <w:r>
        <w:rPr>
          <w:spacing w:val="-7"/>
        </w:rPr>
        <w:t>%、</w:t>
      </w:r>
      <w:r>
        <w:t>6</w:t>
      </w:r>
      <w:r>
        <w:rPr>
          <w:spacing w:val="-2"/>
        </w:rPr>
        <w:t>%、</w:t>
      </w:r>
      <w:r>
        <w:t>9</w:t>
      </w:r>
      <w:r>
        <w:rPr>
          <w:spacing w:val="1"/>
        </w:rPr>
        <w:t xml:space="preserve">%。普通股市场价值为 </w:t>
      </w:r>
      <w:r>
        <w:t>1600</w:t>
      </w:r>
      <w:r>
        <w:rPr>
          <w:spacing w:val="3"/>
        </w:rPr>
        <w:t xml:space="preserve"> 万元，债务市场价值等于账面价值。要求计算该公司平均资本成本。</w:t>
      </w:r>
    </w:p>
    <w:p>
      <w:pPr>
        <w:spacing w:before="56"/>
        <w:ind w:left="1087" w:right="0" w:firstLine="0"/>
        <w:jc w:val="both"/>
        <w:rPr>
          <w:sz w:val="27"/>
        </w:rPr>
      </w:pPr>
      <w:r>
        <w:rPr>
          <w:sz w:val="27"/>
        </w:rPr>
        <w:t>[答疑编号 5725050501]</w:t>
      </w:r>
    </w:p>
    <w:p>
      <w:pPr>
        <w:pStyle w:val="BodyText"/>
        <w:spacing w:before="8"/>
        <w:rPr>
          <w:sz w:val="25"/>
        </w:rPr>
      </w:pPr>
    </w:p>
    <w:p>
      <w:pPr>
        <w:pStyle w:val="BodyText"/>
        <w:spacing w:line="600" w:lineRule="atLeast"/>
        <w:ind w:left="1451" w:right="106" w:hanging="634"/>
      </w:pPr>
      <w:r>
        <w:t>『 正 确 答 案 』 按 账 面 价 值 计 算 ： Ｋ</w:t>
      </w:r>
      <w:r>
        <w:rPr>
          <w:position w:val="-13"/>
          <w:sz w:val="29"/>
        </w:rPr>
        <w:t>W</w:t>
      </w:r>
      <w:r>
        <w:t>＝5%×40%＋6%×15%＋9%×45%＝6.95%</w:t>
      </w:r>
    </w:p>
    <w:p>
      <w:pPr>
        <w:pStyle w:val="BodyText"/>
        <w:spacing w:line="336" w:lineRule="exact"/>
        <w:ind w:left="1451"/>
      </w:pPr>
      <w:r>
        <w:drawing>
          <wp:anchor distT="0" distB="0" distL="0" distR="0" simplePos="0" relativeHeight="251670528" behindDoc="0" locked="0" layoutInCell="1" allowOverlap="1">
            <wp:simplePos x="0" y="0"/>
            <wp:positionH relativeFrom="page">
              <wp:posOffset>2544064</wp:posOffset>
            </wp:positionH>
            <wp:positionV relativeFrom="paragraph">
              <wp:posOffset>283090</wp:posOffset>
            </wp:positionV>
            <wp:extent cx="4643501" cy="457200"/>
            <wp:effectExtent l="0" t="0" r="0" b="0"/>
            <wp:wrapTopAndBottom/>
            <wp:docPr id="3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6.png"/>
                    <pic:cNvPicPr/>
                  </pic:nvPicPr>
                  <pic:blipFill>
                    <a:blip xmlns:r="http://schemas.openxmlformats.org/officeDocument/2006/relationships" r:embed="rId28" cstate="print"/>
                    <a:stretch>
                      <a:fillRect/>
                    </a:stretch>
                  </pic:blipFill>
                  <pic:spPr>
                    <a:xfrm>
                      <a:off x="0" y="0"/>
                      <a:ext cx="4643501" cy="457200"/>
                    </a:xfrm>
                    <a:prstGeom prst="rect">
                      <a:avLst/>
                    </a:prstGeom>
                  </pic:spPr>
                </pic:pic>
              </a:graphicData>
            </a:graphic>
          </wp:anchor>
        </w:drawing>
      </w:r>
      <w:r>
        <w:t>按市场价值计算：</w:t>
      </w:r>
    </w:p>
    <w:p>
      <w:pPr>
        <w:pStyle w:val="BodyText"/>
        <w:rPr>
          <w:sz w:val="32"/>
        </w:rPr>
      </w:pPr>
    </w:p>
    <w:p>
      <w:pPr>
        <w:pStyle w:val="BodyText"/>
        <w:spacing w:before="206"/>
        <w:ind w:left="774"/>
      </w:pPr>
      <w:r>
        <w:t>（六）边际资本成本</w:t>
      </w:r>
    </w:p>
    <w:p>
      <w:pPr>
        <w:spacing w:after="0"/>
        <w:sectPr>
          <w:pgSz w:w="17860" w:h="25260"/>
          <w:pgMar w:top="1860" w:right="2380" w:bottom="280" w:left="2560" w:header="708" w:footer="708"/>
          <w:pgNumType w:start="12"/>
          <w:cols w:space="708"/>
        </w:sectPr>
      </w:pPr>
    </w:p>
    <w:p>
      <w:pPr>
        <w:pStyle w:val="BodyText"/>
        <w:tabs>
          <w:tab w:val="left" w:pos="1400"/>
        </w:tabs>
        <w:spacing w:before="118" w:line="309" w:lineRule="auto"/>
        <w:ind w:left="766" w:right="38"/>
      </w:pPr>
      <w:r>
        <w:drawing>
          <wp:anchor distT="0" distB="0" distL="0" distR="0" simplePos="0" relativeHeight="251674624" behindDoc="1" locked="0" layoutInCell="1" allowOverlap="1">
            <wp:simplePos x="0" y="0"/>
            <wp:positionH relativeFrom="page">
              <wp:posOffset>2082800</wp:posOffset>
            </wp:positionH>
            <wp:positionV relativeFrom="paragraph">
              <wp:posOffset>-8890</wp:posOffset>
            </wp:positionV>
            <wp:extent cx="7188200" cy="1346200"/>
            <wp:effectExtent l="0" t="0" r="0" b="0"/>
            <wp:wrapNone/>
            <wp:docPr id="3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7.png"/>
                    <pic:cNvPicPr/>
                  </pic:nvPicPr>
                  <pic:blipFill>
                    <a:blip xmlns:r="http://schemas.openxmlformats.org/officeDocument/2006/relationships" r:embed="rId29" cstate="print"/>
                    <a:stretch>
                      <a:fillRect/>
                    </a:stretch>
                  </pic:blipFill>
                  <pic:spPr>
                    <a:xfrm>
                      <a:off x="0" y="0"/>
                      <a:ext cx="7188200" cy="1346200"/>
                    </a:xfrm>
                    <a:prstGeom prst="rect">
                      <a:avLst/>
                    </a:prstGeom>
                  </pic:spPr>
                </pic:pic>
              </a:graphicData>
            </a:graphic>
          </wp:anchor>
        </w:drawing>
      </w:r>
      <w:r>
        <w:t>含</w:t>
        <w:tab/>
        <w:t>义 计算方</w:t>
      </w:r>
      <w:r>
        <w:rPr>
          <w:spacing w:val="-17"/>
        </w:rPr>
        <w:t>法</w:t>
      </w:r>
      <w:r>
        <w:t>权数确</w:t>
      </w:r>
      <w:r>
        <w:rPr>
          <w:spacing w:val="-17"/>
        </w:rPr>
        <w:t>定</w:t>
      </w:r>
      <w:r>
        <w:t>应用</w:t>
      </w:r>
    </w:p>
    <w:p>
      <w:pPr>
        <w:pStyle w:val="BodyText"/>
        <w:spacing w:before="118" w:line="309" w:lineRule="auto"/>
        <w:ind w:left="766" w:right="6249"/>
      </w:pPr>
      <w:r>
        <w:br w:type="column"/>
      </w:r>
      <w:r>
        <w:t>是企业追加筹资的成本。加权平均法</w:t>
      </w:r>
    </w:p>
    <w:p>
      <w:pPr>
        <w:pStyle w:val="BodyText"/>
        <w:spacing w:before="1"/>
        <w:ind w:left="766"/>
      </w:pPr>
      <w:r>
        <w:t>目标价值权数</w:t>
      </w:r>
    </w:p>
    <w:p>
      <w:pPr>
        <w:pStyle w:val="BodyText"/>
        <w:spacing w:before="114"/>
        <w:ind w:left="766"/>
      </w:pPr>
      <w:r>
        <w:t>是企业进行追加筹资的决策依据。</w:t>
      </w:r>
    </w:p>
    <w:p>
      <w:pPr>
        <w:spacing w:after="0"/>
        <w:sectPr>
          <w:type w:val="continuous"/>
          <w:pgSz w:w="17860" w:h="25260"/>
          <w:pgMar w:top="1860" w:right="2380" w:bottom="280" w:left="2560" w:header="708" w:footer="708"/>
          <w:pgNumType w:start="13"/>
          <w:cols w:num="2" w:space="708" w:equalWidth="0">
            <w:col w:w="2075" w:space="342"/>
            <w:col w:w="10503" w:space="0"/>
          </w:cols>
        </w:sectPr>
      </w:pPr>
    </w:p>
    <w:p>
      <w:pPr>
        <w:pStyle w:val="BodyText"/>
        <w:spacing w:before="49" w:line="283" w:lineRule="auto"/>
        <w:ind w:left="140" w:right="149" w:firstLine="572"/>
        <w:jc w:val="both"/>
      </w:pPr>
      <w:r>
        <w:rPr>
          <w:spacing w:val="-7"/>
        </w:rPr>
        <w:t xml:space="preserve">【例 </w:t>
      </w:r>
      <w:r>
        <w:t>5－12</w:t>
      </w:r>
      <w:r>
        <w:rPr>
          <w:spacing w:val="-15"/>
        </w:rPr>
        <w:t xml:space="preserve">】某公司设定的目标资本结构为：银行借款 </w:t>
      </w:r>
      <w:r>
        <w:t>20%</w:t>
      </w:r>
      <w:r>
        <w:rPr>
          <w:spacing w:val="-16"/>
        </w:rPr>
        <w:t xml:space="preserve">、公司债券 </w:t>
      </w:r>
      <w:r>
        <w:t>15</w:t>
      </w:r>
      <w:r>
        <w:rPr>
          <w:spacing w:val="-14"/>
        </w:rPr>
        <w:t xml:space="preserve">%、普通股 </w:t>
      </w:r>
      <w:r>
        <w:t>65%。</w:t>
      </w:r>
      <w:r>
        <w:rPr>
          <w:spacing w:val="4"/>
        </w:rPr>
        <w:t xml:space="preserve">现拟追加筹资 </w:t>
      </w:r>
      <w:r>
        <w:t>300</w:t>
      </w:r>
      <w:r>
        <w:rPr>
          <w:spacing w:val="-2"/>
        </w:rPr>
        <w:t xml:space="preserve"> 万元，按此资本结构来筹资。个别资本成本率预计分别为：银行借款</w:t>
      </w:r>
      <w:r>
        <w:rPr>
          <w:spacing w:val="-6"/>
        </w:rPr>
        <w:t xml:space="preserve">7%， </w:t>
      </w:r>
      <w:r>
        <w:rPr>
          <w:spacing w:val="-15"/>
        </w:rPr>
        <w:t xml:space="preserve">公司债券 </w:t>
      </w:r>
      <w:r>
        <w:t>12</w:t>
      </w:r>
      <w:r>
        <w:rPr>
          <w:spacing w:val="-10"/>
        </w:rPr>
        <w:t xml:space="preserve">%，普通股权益 </w:t>
      </w:r>
      <w:r>
        <w:t>15</w:t>
      </w:r>
      <w:r>
        <w:rPr>
          <w:spacing w:val="-8"/>
        </w:rPr>
        <w:t xml:space="preserve">%。要求计算追加筹资 </w:t>
      </w:r>
      <w:r>
        <w:t>300</w:t>
      </w:r>
      <w:r>
        <w:rPr>
          <w:spacing w:val="-9"/>
        </w:rPr>
        <w:t xml:space="preserve"> 万元的边际资本成本。</w:t>
      </w:r>
    </w:p>
    <w:p>
      <w:pPr>
        <w:pStyle w:val="BodyText"/>
        <w:spacing w:line="396" w:lineRule="exact"/>
        <w:ind w:left="774"/>
      </w:pPr>
      <w:r>
        <w:drawing>
          <wp:anchor distT="0" distB="0" distL="0" distR="0" simplePos="0" relativeHeight="251679744" behindDoc="1" locked="0" layoutInCell="1" allowOverlap="1">
            <wp:simplePos x="0" y="0"/>
            <wp:positionH relativeFrom="page">
              <wp:posOffset>2082800</wp:posOffset>
            </wp:positionH>
            <wp:positionV relativeFrom="paragraph">
              <wp:posOffset>251043</wp:posOffset>
            </wp:positionV>
            <wp:extent cx="7193984" cy="1608867"/>
            <wp:effectExtent l="0" t="0" r="0" b="0"/>
            <wp:wrapNone/>
            <wp:docPr id="3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8.png"/>
                    <pic:cNvPicPr/>
                  </pic:nvPicPr>
                  <pic:blipFill>
                    <a:blip xmlns:r="http://schemas.openxmlformats.org/officeDocument/2006/relationships" r:embed="rId30" cstate="print"/>
                    <a:stretch>
                      <a:fillRect/>
                    </a:stretch>
                  </pic:blipFill>
                  <pic:spPr>
                    <a:xfrm>
                      <a:off x="0" y="0"/>
                      <a:ext cx="7193984" cy="1608867"/>
                    </a:xfrm>
                    <a:prstGeom prst="rect">
                      <a:avLst/>
                    </a:prstGeom>
                  </pic:spPr>
                </pic:pic>
              </a:graphicData>
            </a:graphic>
          </wp:anchor>
        </w:drawing>
      </w:r>
      <w:r>
        <w:t>边际资本成本计算表</w:t>
      </w:r>
    </w:p>
    <w:p>
      <w:pPr>
        <w:pStyle w:val="BodyText"/>
        <w:spacing w:before="11"/>
        <w:rPr>
          <w:sz w:val="11"/>
        </w:rPr>
      </w:pPr>
    </w:p>
    <w:tbl>
      <w:tblPr>
        <w:tblStyle w:val="TableNormal1"/>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69"/>
        <w:gridCol w:w="2428"/>
        <w:gridCol w:w="2133"/>
        <w:gridCol w:w="2471"/>
        <w:gridCol w:w="2247"/>
      </w:tblGrid>
      <w:tr>
        <w:tblPrEx>
          <w:tblW w:w="0" w:type="auto"/>
          <w:jc w:val="left"/>
          <w:tblInd w:w="9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5"/>
          <w:jc w:val="left"/>
        </w:trPr>
        <w:tc>
          <w:tcPr>
            <w:tcW w:w="1569" w:type="dxa"/>
          </w:tcPr>
          <w:p>
            <w:pPr>
              <w:pStyle w:val="TableParagraph"/>
              <w:spacing w:before="0" w:line="359" w:lineRule="exact"/>
              <w:ind w:left="45" w:right="244"/>
              <w:rPr>
                <w:sz w:val="31"/>
              </w:rPr>
            </w:pPr>
            <w:r>
              <w:rPr>
                <w:sz w:val="31"/>
              </w:rPr>
              <w:t>资本种类</w:t>
            </w:r>
          </w:p>
        </w:tc>
        <w:tc>
          <w:tcPr>
            <w:tcW w:w="2428" w:type="dxa"/>
          </w:tcPr>
          <w:p>
            <w:pPr>
              <w:pStyle w:val="TableParagraph"/>
              <w:spacing w:before="0" w:line="359" w:lineRule="exact"/>
              <w:ind w:left="254" w:right="274"/>
              <w:rPr>
                <w:sz w:val="31"/>
              </w:rPr>
            </w:pPr>
            <w:r>
              <w:rPr>
                <w:sz w:val="31"/>
              </w:rPr>
              <w:t>目标资本结构</w:t>
            </w:r>
          </w:p>
        </w:tc>
        <w:tc>
          <w:tcPr>
            <w:tcW w:w="2133" w:type="dxa"/>
          </w:tcPr>
          <w:p>
            <w:pPr>
              <w:pStyle w:val="TableParagraph"/>
              <w:spacing w:before="0" w:line="359" w:lineRule="exact"/>
              <w:ind w:left="273" w:right="269"/>
              <w:rPr>
                <w:sz w:val="31"/>
              </w:rPr>
            </w:pPr>
            <w:r>
              <w:rPr>
                <w:sz w:val="31"/>
              </w:rPr>
              <w:t>追加筹资额</w:t>
            </w:r>
          </w:p>
        </w:tc>
        <w:tc>
          <w:tcPr>
            <w:tcW w:w="2471" w:type="dxa"/>
          </w:tcPr>
          <w:p>
            <w:pPr>
              <w:pStyle w:val="TableParagraph"/>
              <w:spacing w:before="0" w:line="359" w:lineRule="exact"/>
              <w:ind w:left="277" w:right="294"/>
              <w:rPr>
                <w:sz w:val="31"/>
              </w:rPr>
            </w:pPr>
            <w:r>
              <w:rPr>
                <w:sz w:val="31"/>
              </w:rPr>
              <w:t>个别资本成本</w:t>
            </w:r>
          </w:p>
        </w:tc>
        <w:tc>
          <w:tcPr>
            <w:tcW w:w="2247" w:type="dxa"/>
          </w:tcPr>
          <w:p>
            <w:pPr>
              <w:pStyle w:val="TableParagraph"/>
              <w:spacing w:before="0" w:line="359" w:lineRule="exact"/>
              <w:ind w:left="299" w:right="47"/>
              <w:rPr>
                <w:sz w:val="31"/>
              </w:rPr>
            </w:pPr>
            <w:r>
              <w:rPr>
                <w:sz w:val="31"/>
              </w:rPr>
              <w:t>边际资本成本</w:t>
            </w:r>
          </w:p>
        </w:tc>
      </w:tr>
      <w:tr>
        <w:tblPrEx>
          <w:tblW w:w="0" w:type="auto"/>
          <w:jc w:val="left"/>
          <w:tblInd w:w="911" w:type="dxa"/>
          <w:tblLayout w:type="fixed"/>
          <w:tblCellMar>
            <w:top w:w="0" w:type="dxa"/>
            <w:left w:w="0" w:type="dxa"/>
            <w:bottom w:w="0" w:type="dxa"/>
            <w:right w:w="0" w:type="dxa"/>
          </w:tblCellMar>
          <w:tblLook w:val="01E0"/>
        </w:tblPrEx>
        <w:trPr>
          <w:trHeight w:val="491"/>
          <w:jc w:val="left"/>
        </w:trPr>
        <w:tc>
          <w:tcPr>
            <w:tcW w:w="1569" w:type="dxa"/>
          </w:tcPr>
          <w:p>
            <w:pPr>
              <w:pStyle w:val="TableParagraph"/>
              <w:spacing w:before="61"/>
              <w:ind w:left="45" w:right="244"/>
              <w:rPr>
                <w:sz w:val="31"/>
              </w:rPr>
            </w:pPr>
            <w:r>
              <w:rPr>
                <w:sz w:val="31"/>
              </w:rPr>
              <w:t>银行借款</w:t>
            </w:r>
          </w:p>
        </w:tc>
        <w:tc>
          <w:tcPr>
            <w:tcW w:w="2428" w:type="dxa"/>
          </w:tcPr>
          <w:p>
            <w:pPr>
              <w:pStyle w:val="TableParagraph"/>
              <w:spacing w:before="61"/>
              <w:ind w:left="248" w:right="274"/>
              <w:rPr>
                <w:sz w:val="31"/>
              </w:rPr>
            </w:pPr>
            <w:r>
              <w:rPr>
                <w:sz w:val="31"/>
              </w:rPr>
              <w:t>20%</w:t>
            </w:r>
          </w:p>
        </w:tc>
        <w:tc>
          <w:tcPr>
            <w:tcW w:w="2133" w:type="dxa"/>
          </w:tcPr>
          <w:p>
            <w:pPr>
              <w:pStyle w:val="TableParagraph"/>
              <w:spacing w:before="61"/>
              <w:ind w:left="273" w:right="269"/>
              <w:rPr>
                <w:sz w:val="31"/>
              </w:rPr>
            </w:pPr>
            <w:r>
              <w:rPr>
                <w:sz w:val="31"/>
              </w:rPr>
              <w:t>60 万元</w:t>
            </w:r>
          </w:p>
        </w:tc>
        <w:tc>
          <w:tcPr>
            <w:tcW w:w="2471" w:type="dxa"/>
          </w:tcPr>
          <w:p>
            <w:pPr>
              <w:pStyle w:val="TableParagraph"/>
              <w:spacing w:before="61"/>
              <w:ind w:left="270" w:right="294"/>
              <w:rPr>
                <w:sz w:val="31"/>
              </w:rPr>
            </w:pPr>
            <w:r>
              <w:rPr>
                <w:sz w:val="31"/>
              </w:rPr>
              <w:t>7%</w:t>
            </w:r>
          </w:p>
        </w:tc>
        <w:tc>
          <w:tcPr>
            <w:tcW w:w="2247" w:type="dxa"/>
          </w:tcPr>
          <w:p>
            <w:pPr>
              <w:pStyle w:val="TableParagraph"/>
              <w:spacing w:before="61"/>
              <w:ind w:left="292" w:right="47"/>
              <w:rPr>
                <w:sz w:val="31"/>
              </w:rPr>
            </w:pPr>
            <w:r>
              <w:rPr>
                <w:sz w:val="31"/>
              </w:rPr>
              <w:t>1.4%</w:t>
            </w:r>
          </w:p>
        </w:tc>
      </w:tr>
      <w:tr>
        <w:tblPrEx>
          <w:tblW w:w="0" w:type="auto"/>
          <w:jc w:val="left"/>
          <w:tblInd w:w="911" w:type="dxa"/>
          <w:tblLayout w:type="fixed"/>
          <w:tblCellMar>
            <w:top w:w="0" w:type="dxa"/>
            <w:left w:w="0" w:type="dxa"/>
            <w:bottom w:w="0" w:type="dxa"/>
            <w:right w:w="0" w:type="dxa"/>
          </w:tblCellMar>
          <w:tblLook w:val="01E0"/>
        </w:tblPrEx>
        <w:trPr>
          <w:trHeight w:val="468"/>
          <w:jc w:val="left"/>
        </w:trPr>
        <w:tc>
          <w:tcPr>
            <w:tcW w:w="1569" w:type="dxa"/>
          </w:tcPr>
          <w:p>
            <w:pPr>
              <w:pStyle w:val="TableParagraph"/>
              <w:ind w:left="45" w:right="244"/>
              <w:rPr>
                <w:sz w:val="31"/>
              </w:rPr>
            </w:pPr>
            <w:r>
              <w:rPr>
                <w:sz w:val="31"/>
              </w:rPr>
              <w:t>公司债券</w:t>
            </w:r>
          </w:p>
        </w:tc>
        <w:tc>
          <w:tcPr>
            <w:tcW w:w="2428" w:type="dxa"/>
          </w:tcPr>
          <w:p>
            <w:pPr>
              <w:pStyle w:val="TableParagraph"/>
              <w:ind w:left="248" w:right="274"/>
              <w:rPr>
                <w:sz w:val="31"/>
              </w:rPr>
            </w:pPr>
            <w:r>
              <w:rPr>
                <w:sz w:val="31"/>
              </w:rPr>
              <w:t>15%</w:t>
            </w:r>
          </w:p>
        </w:tc>
        <w:tc>
          <w:tcPr>
            <w:tcW w:w="2133" w:type="dxa"/>
          </w:tcPr>
          <w:p>
            <w:pPr>
              <w:pStyle w:val="TableParagraph"/>
              <w:ind w:left="273" w:right="269"/>
              <w:rPr>
                <w:sz w:val="31"/>
              </w:rPr>
            </w:pPr>
            <w:r>
              <w:rPr>
                <w:sz w:val="31"/>
              </w:rPr>
              <w:t>45 万元</w:t>
            </w:r>
          </w:p>
        </w:tc>
        <w:tc>
          <w:tcPr>
            <w:tcW w:w="2471" w:type="dxa"/>
          </w:tcPr>
          <w:p>
            <w:pPr>
              <w:pStyle w:val="TableParagraph"/>
              <w:ind w:left="270" w:right="294"/>
              <w:rPr>
                <w:sz w:val="31"/>
              </w:rPr>
            </w:pPr>
            <w:r>
              <w:rPr>
                <w:sz w:val="31"/>
              </w:rPr>
              <w:t>7%</w:t>
            </w:r>
          </w:p>
        </w:tc>
        <w:tc>
          <w:tcPr>
            <w:tcW w:w="2247" w:type="dxa"/>
          </w:tcPr>
          <w:p>
            <w:pPr>
              <w:pStyle w:val="TableParagraph"/>
              <w:ind w:left="292" w:right="47"/>
              <w:rPr>
                <w:sz w:val="31"/>
              </w:rPr>
            </w:pPr>
            <w:r>
              <w:rPr>
                <w:sz w:val="31"/>
              </w:rPr>
              <w:t>1.4%</w:t>
            </w:r>
          </w:p>
        </w:tc>
      </w:tr>
      <w:tr>
        <w:tblPrEx>
          <w:tblW w:w="0" w:type="auto"/>
          <w:jc w:val="left"/>
          <w:tblInd w:w="911" w:type="dxa"/>
          <w:tblLayout w:type="fixed"/>
          <w:tblCellMar>
            <w:top w:w="0" w:type="dxa"/>
            <w:left w:w="0" w:type="dxa"/>
            <w:bottom w:w="0" w:type="dxa"/>
            <w:right w:w="0" w:type="dxa"/>
          </w:tblCellMar>
          <w:tblLook w:val="01E0"/>
        </w:tblPrEx>
        <w:trPr>
          <w:trHeight w:val="489"/>
          <w:jc w:val="left"/>
        </w:trPr>
        <w:tc>
          <w:tcPr>
            <w:tcW w:w="1569" w:type="dxa"/>
          </w:tcPr>
          <w:p>
            <w:pPr>
              <w:pStyle w:val="TableParagraph"/>
              <w:ind w:left="45" w:right="244"/>
              <w:rPr>
                <w:sz w:val="31"/>
              </w:rPr>
            </w:pPr>
            <w:r>
              <w:rPr>
                <w:sz w:val="31"/>
              </w:rPr>
              <w:t>普通股</w:t>
            </w:r>
          </w:p>
        </w:tc>
        <w:tc>
          <w:tcPr>
            <w:tcW w:w="2428" w:type="dxa"/>
          </w:tcPr>
          <w:p>
            <w:pPr>
              <w:pStyle w:val="TableParagraph"/>
              <w:ind w:left="248" w:right="274"/>
              <w:rPr>
                <w:sz w:val="31"/>
              </w:rPr>
            </w:pPr>
            <w:r>
              <w:rPr>
                <w:sz w:val="31"/>
              </w:rPr>
              <w:t>65%</w:t>
            </w:r>
          </w:p>
        </w:tc>
        <w:tc>
          <w:tcPr>
            <w:tcW w:w="2133" w:type="dxa"/>
          </w:tcPr>
          <w:p>
            <w:pPr>
              <w:pStyle w:val="TableParagraph"/>
              <w:ind w:left="273" w:right="269"/>
              <w:rPr>
                <w:sz w:val="31"/>
              </w:rPr>
            </w:pPr>
            <w:r>
              <w:rPr>
                <w:sz w:val="31"/>
              </w:rPr>
              <w:t>195 万元</w:t>
            </w:r>
          </w:p>
        </w:tc>
        <w:tc>
          <w:tcPr>
            <w:tcW w:w="2471" w:type="dxa"/>
          </w:tcPr>
          <w:p>
            <w:pPr>
              <w:pStyle w:val="TableParagraph"/>
              <w:ind w:left="270" w:right="294"/>
              <w:rPr>
                <w:sz w:val="31"/>
              </w:rPr>
            </w:pPr>
            <w:r>
              <w:rPr>
                <w:sz w:val="31"/>
              </w:rPr>
              <w:t>15%</w:t>
            </w:r>
          </w:p>
        </w:tc>
        <w:tc>
          <w:tcPr>
            <w:tcW w:w="2247" w:type="dxa"/>
          </w:tcPr>
          <w:p>
            <w:pPr>
              <w:pStyle w:val="TableParagraph"/>
              <w:ind w:left="292" w:right="47"/>
              <w:rPr>
                <w:sz w:val="31"/>
              </w:rPr>
            </w:pPr>
            <w:r>
              <w:rPr>
                <w:sz w:val="31"/>
              </w:rPr>
              <w:t>9.75%</w:t>
            </w:r>
          </w:p>
        </w:tc>
      </w:tr>
      <w:tr>
        <w:tblPrEx>
          <w:tblW w:w="0" w:type="auto"/>
          <w:jc w:val="left"/>
          <w:tblInd w:w="911" w:type="dxa"/>
          <w:tblLayout w:type="fixed"/>
          <w:tblCellMar>
            <w:top w:w="0" w:type="dxa"/>
            <w:left w:w="0" w:type="dxa"/>
            <w:bottom w:w="0" w:type="dxa"/>
            <w:right w:w="0" w:type="dxa"/>
          </w:tblCellMar>
          <w:tblLook w:val="01E0"/>
        </w:tblPrEx>
        <w:trPr>
          <w:trHeight w:val="413"/>
          <w:jc w:val="left"/>
        </w:trPr>
        <w:tc>
          <w:tcPr>
            <w:tcW w:w="1569" w:type="dxa"/>
          </w:tcPr>
          <w:p>
            <w:pPr>
              <w:pStyle w:val="TableParagraph"/>
              <w:spacing w:before="59" w:line="335" w:lineRule="exact"/>
              <w:ind w:left="45" w:right="244"/>
              <w:rPr>
                <w:sz w:val="31"/>
              </w:rPr>
            </w:pPr>
            <w:r>
              <w:rPr>
                <w:sz w:val="31"/>
              </w:rPr>
              <w:t>合计</w:t>
            </w:r>
          </w:p>
        </w:tc>
        <w:tc>
          <w:tcPr>
            <w:tcW w:w="2428" w:type="dxa"/>
          </w:tcPr>
          <w:p>
            <w:pPr>
              <w:pStyle w:val="TableParagraph"/>
              <w:spacing w:before="59" w:line="335" w:lineRule="exact"/>
              <w:ind w:left="248" w:right="274"/>
              <w:rPr>
                <w:sz w:val="31"/>
              </w:rPr>
            </w:pPr>
            <w:r>
              <w:rPr>
                <w:sz w:val="31"/>
              </w:rPr>
              <w:t>100%</w:t>
            </w:r>
          </w:p>
        </w:tc>
        <w:tc>
          <w:tcPr>
            <w:tcW w:w="2133" w:type="dxa"/>
          </w:tcPr>
          <w:p>
            <w:pPr>
              <w:pStyle w:val="TableParagraph"/>
              <w:spacing w:before="59" w:line="335" w:lineRule="exact"/>
              <w:ind w:left="273" w:right="269"/>
              <w:rPr>
                <w:sz w:val="31"/>
              </w:rPr>
            </w:pPr>
            <w:r>
              <w:rPr>
                <w:sz w:val="31"/>
              </w:rPr>
              <w:t>300 万元</w:t>
            </w:r>
          </w:p>
        </w:tc>
        <w:tc>
          <w:tcPr>
            <w:tcW w:w="2471" w:type="dxa"/>
          </w:tcPr>
          <w:p>
            <w:pPr>
              <w:pStyle w:val="TableParagraph"/>
              <w:spacing w:before="59" w:line="335" w:lineRule="exact"/>
              <w:ind w:right="24"/>
              <w:rPr>
                <w:sz w:val="31"/>
              </w:rPr>
            </w:pPr>
            <w:r>
              <w:rPr>
                <w:w w:val="102"/>
                <w:sz w:val="31"/>
              </w:rPr>
              <w:t>—</w:t>
            </w:r>
          </w:p>
        </w:tc>
        <w:tc>
          <w:tcPr>
            <w:tcW w:w="2247" w:type="dxa"/>
          </w:tcPr>
          <w:p>
            <w:pPr>
              <w:pStyle w:val="TableParagraph"/>
              <w:spacing w:before="59" w:line="335" w:lineRule="exact"/>
              <w:ind w:left="292" w:right="47"/>
              <w:rPr>
                <w:sz w:val="31"/>
              </w:rPr>
            </w:pPr>
            <w:r>
              <w:rPr>
                <w:sz w:val="31"/>
              </w:rPr>
              <w:t>12.95%</w:t>
            </w:r>
          </w:p>
        </w:tc>
      </w:tr>
    </w:tbl>
    <w:p>
      <w:pPr>
        <w:pStyle w:val="BodyText"/>
        <w:spacing w:before="160"/>
        <w:ind w:left="738"/>
      </w:pPr>
      <w:r>
        <w:t>【例·计算题】某上市公司计划建造一项固定资产，寿命期为 5 年，需要筹集资金净额</w:t>
      </w:r>
    </w:p>
    <w:p>
      <w:pPr>
        <w:pStyle w:val="BodyText"/>
        <w:spacing w:before="71"/>
        <w:ind w:left="140"/>
      </w:pPr>
      <w:r>
        <w:t>600 万元。有以下资料：</w:t>
      </w:r>
    </w:p>
    <w:p>
      <w:pPr>
        <w:pStyle w:val="BodyText"/>
        <w:spacing w:before="71"/>
        <w:ind w:left="774"/>
      </w:pPr>
      <w:r>
        <w:rPr>
          <w:spacing w:val="3"/>
        </w:rPr>
        <w:t>资料一：目前市场平均收益率为</w:t>
      </w:r>
      <w:r>
        <w:t>10</w:t>
      </w:r>
      <w:r>
        <w:rPr>
          <w:spacing w:val="-8"/>
        </w:rPr>
        <w:t xml:space="preserve">%，无风险收益率为 </w:t>
      </w:r>
      <w:r>
        <w:t>4%，</w:t>
      </w:r>
      <w:r>
        <w:rPr>
          <w:rFonts w:ascii="幼圆" w:eastAsia="幼圆" w:hAnsi="幼圆" w:hint="eastAsia"/>
        </w:rPr>
        <w:t>β</w:t>
      </w:r>
      <w:r>
        <w:rPr>
          <w:rFonts w:ascii="幼圆" w:eastAsia="幼圆" w:hAnsi="幼圆" w:hint="eastAsia"/>
          <w:spacing w:val="-68"/>
        </w:rPr>
        <w:t xml:space="preserve"> </w:t>
      </w:r>
      <w:r>
        <w:rPr>
          <w:spacing w:val="-20"/>
        </w:rPr>
        <w:t xml:space="preserve">系数为 </w:t>
      </w:r>
      <w:r>
        <w:t>0.4。</w:t>
      </w:r>
    </w:p>
    <w:p>
      <w:pPr>
        <w:pStyle w:val="BodyText"/>
        <w:spacing w:before="71" w:line="283" w:lineRule="auto"/>
        <w:ind w:left="140" w:right="308" w:firstLine="633"/>
      </w:pPr>
      <w:r>
        <w:t>资料二：如果向银行借款，则手续费率为1%，年利率为 5%，每年计息一次，到期一次还本。</w:t>
      </w:r>
    </w:p>
    <w:p>
      <w:pPr>
        <w:pStyle w:val="BodyText"/>
        <w:spacing w:line="283" w:lineRule="auto"/>
        <w:ind w:left="140" w:right="146" w:firstLine="633"/>
      </w:pPr>
      <w:r>
        <w:rPr>
          <w:spacing w:val="-14"/>
        </w:rPr>
        <w:t xml:space="preserve">资料三：如果发行债券，债券面值 </w:t>
      </w:r>
      <w:r>
        <w:t>1000</w:t>
      </w:r>
      <w:r>
        <w:rPr>
          <w:spacing w:val="-20"/>
        </w:rPr>
        <w:t xml:space="preserve"> 元、期限 </w:t>
      </w:r>
      <w:r>
        <w:t>5</w:t>
      </w:r>
      <w:r>
        <w:rPr>
          <w:spacing w:val="-14"/>
        </w:rPr>
        <w:t xml:space="preserve"> 年、票面利率为 </w:t>
      </w:r>
      <w:r>
        <w:rPr>
          <w:spacing w:val="-17"/>
        </w:rPr>
        <w:t>9</w:t>
      </w:r>
      <w:r>
        <w:rPr>
          <w:spacing w:val="-7"/>
        </w:rPr>
        <w:t xml:space="preserve">%，每年计息一次， </w:t>
      </w:r>
      <w:r>
        <w:rPr>
          <w:spacing w:val="-15"/>
        </w:rPr>
        <w:t xml:space="preserve">发行价格为 </w:t>
      </w:r>
      <w:r>
        <w:t>1100</w:t>
      </w:r>
      <w:r>
        <w:rPr>
          <w:spacing w:val="-20"/>
        </w:rPr>
        <w:t xml:space="preserve"> 元，发行费率为 </w:t>
      </w:r>
      <w:r>
        <w:t>5%。</w:t>
      </w:r>
    </w:p>
    <w:p>
      <w:pPr>
        <w:pStyle w:val="BodyText"/>
        <w:spacing w:line="283" w:lineRule="auto"/>
        <w:ind w:left="774" w:right="7767"/>
      </w:pPr>
      <w:r>
        <w:t>假定：公司所得税税率为 25%。要求：</w:t>
      </w:r>
    </w:p>
    <w:p>
      <w:pPr>
        <w:pStyle w:val="ListParagraph"/>
        <w:numPr>
          <w:ilvl w:val="0"/>
          <w:numId w:val="1"/>
        </w:numPr>
        <w:tabs>
          <w:tab w:val="left" w:pos="1564"/>
        </w:tabs>
        <w:spacing w:before="0" w:after="0" w:line="396" w:lineRule="exact"/>
        <w:ind w:left="1563" w:right="0" w:hanging="790"/>
        <w:jc w:val="left"/>
        <w:rPr>
          <w:sz w:val="31"/>
        </w:rPr>
      </w:pPr>
      <w:r>
        <w:drawing>
          <wp:anchor distT="0" distB="0" distL="0" distR="0" simplePos="0" relativeHeight="251677696" behindDoc="0" locked="0" layoutInCell="1" allowOverlap="1">
            <wp:simplePos x="0" y="0"/>
            <wp:positionH relativeFrom="page">
              <wp:posOffset>2114550</wp:posOffset>
            </wp:positionH>
            <wp:positionV relativeFrom="paragraph">
              <wp:posOffset>288948</wp:posOffset>
            </wp:positionV>
            <wp:extent cx="200913" cy="172211"/>
            <wp:effectExtent l="0" t="0" r="0" b="0"/>
            <wp:wrapNone/>
            <wp:docPr id="4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png"/>
                    <pic:cNvPicPr/>
                  </pic:nvPicPr>
                  <pic:blipFill>
                    <a:blip xmlns:r="http://schemas.openxmlformats.org/officeDocument/2006/relationships" r:embed="rId18" cstate="print"/>
                    <a:stretch>
                      <a:fillRect/>
                    </a:stretch>
                  </pic:blipFill>
                  <pic:spPr>
                    <a:xfrm>
                      <a:off x="0" y="0"/>
                      <a:ext cx="200913" cy="172211"/>
                    </a:xfrm>
                    <a:prstGeom prst="rect">
                      <a:avLst/>
                    </a:prstGeom>
                  </pic:spPr>
                </pic:pic>
              </a:graphicData>
            </a:graphic>
          </wp:anchor>
        </w:drawing>
      </w:r>
      <w:r>
        <w:rPr>
          <w:sz w:val="31"/>
        </w:rPr>
        <w:t>根据资料一利用资本资产定价模型计算普通股筹资成本；</w:t>
      </w:r>
    </w:p>
    <w:p>
      <w:pPr>
        <w:spacing w:before="127"/>
        <w:ind w:left="1087" w:right="0" w:firstLine="0"/>
        <w:jc w:val="left"/>
        <w:rPr>
          <w:sz w:val="27"/>
        </w:rPr>
      </w:pPr>
      <w:r>
        <w:rPr>
          <w:sz w:val="27"/>
        </w:rPr>
        <w:t>[答疑编号 5725050502]</w:t>
      </w:r>
    </w:p>
    <w:p>
      <w:pPr>
        <w:pStyle w:val="BodyText"/>
        <w:rPr>
          <w:sz w:val="26"/>
        </w:rPr>
      </w:pPr>
    </w:p>
    <w:p>
      <w:pPr>
        <w:pStyle w:val="BodyText"/>
        <w:spacing w:before="198"/>
        <w:ind w:left="817"/>
      </w:pPr>
      <w:r>
        <w:t>『正确答案』A 公司普通股筹资成本＝4%＋0.4×（10%－4%）＝6.4%</w:t>
      </w:r>
    </w:p>
    <w:p>
      <w:pPr>
        <w:pStyle w:val="BodyText"/>
        <w:spacing w:before="2"/>
        <w:rPr>
          <w:sz w:val="42"/>
        </w:rPr>
      </w:pPr>
    </w:p>
    <w:p>
      <w:pPr>
        <w:pStyle w:val="ListParagraph"/>
        <w:numPr>
          <w:ilvl w:val="0"/>
          <w:numId w:val="1"/>
        </w:numPr>
        <w:tabs>
          <w:tab w:val="left" w:pos="1564"/>
        </w:tabs>
        <w:spacing w:before="0" w:after="0" w:line="240" w:lineRule="auto"/>
        <w:ind w:left="1563" w:right="0" w:hanging="790"/>
        <w:jc w:val="left"/>
        <w:rPr>
          <w:sz w:val="31"/>
        </w:rPr>
      </w:pPr>
      <w:r>
        <w:drawing>
          <wp:anchor distT="0" distB="0" distL="0" distR="0" simplePos="0" relativeHeight="251676672" behindDoc="0" locked="0" layoutInCell="1" allowOverlap="1">
            <wp:simplePos x="0" y="0"/>
            <wp:positionH relativeFrom="page">
              <wp:posOffset>2114550</wp:posOffset>
            </wp:positionH>
            <wp:positionV relativeFrom="paragraph">
              <wp:posOffset>289432</wp:posOffset>
            </wp:positionV>
            <wp:extent cx="200913" cy="172211"/>
            <wp:effectExtent l="0" t="0" r="0" b="0"/>
            <wp:wrapNone/>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pic:nvPicPr>
                  <pic:blipFill>
                    <a:blip xmlns:r="http://schemas.openxmlformats.org/officeDocument/2006/relationships" r:embed="rId18" cstate="print"/>
                    <a:stretch>
                      <a:fillRect/>
                    </a:stretch>
                  </pic:blipFill>
                  <pic:spPr>
                    <a:xfrm>
                      <a:off x="0" y="0"/>
                      <a:ext cx="200913" cy="172211"/>
                    </a:xfrm>
                    <a:prstGeom prst="rect">
                      <a:avLst/>
                    </a:prstGeom>
                  </pic:spPr>
                </pic:pic>
              </a:graphicData>
            </a:graphic>
          </wp:anchor>
        </w:drawing>
      </w:r>
      <w:r>
        <w:rPr>
          <w:sz w:val="31"/>
        </w:rPr>
        <w:t>根据资料二计算长期借款筹资成本；（应用一般模式）</w:t>
      </w:r>
    </w:p>
    <w:p>
      <w:pPr>
        <w:spacing w:before="129"/>
        <w:ind w:left="1087" w:right="0" w:firstLine="0"/>
        <w:jc w:val="left"/>
        <w:rPr>
          <w:sz w:val="27"/>
        </w:rPr>
      </w:pPr>
      <w:r>
        <w:rPr>
          <w:sz w:val="27"/>
        </w:rPr>
        <w:t>[答疑编号 5725050503]</w:t>
      </w:r>
    </w:p>
    <w:p>
      <w:pPr>
        <w:pStyle w:val="BodyText"/>
        <w:rPr>
          <w:sz w:val="26"/>
        </w:rPr>
      </w:pPr>
    </w:p>
    <w:p>
      <w:pPr>
        <w:pStyle w:val="BodyText"/>
        <w:spacing w:before="198"/>
        <w:ind w:left="817"/>
      </w:pPr>
      <w:r>
        <w:t>『正确答案』长期借款筹资成本＝[5%×（1－25%）/（1－1%）]×100%</w:t>
      </w:r>
    </w:p>
    <w:p>
      <w:pPr>
        <w:pStyle w:val="BodyText"/>
        <w:spacing w:before="71"/>
        <w:ind w:left="817"/>
      </w:pPr>
      <w:r>
        <w:t>＝3.79%</w:t>
      </w:r>
    </w:p>
    <w:p>
      <w:pPr>
        <w:pStyle w:val="BodyText"/>
        <w:spacing w:before="1"/>
        <w:rPr>
          <w:sz w:val="42"/>
        </w:rPr>
      </w:pPr>
    </w:p>
    <w:p>
      <w:pPr>
        <w:pStyle w:val="ListParagraph"/>
        <w:numPr>
          <w:ilvl w:val="0"/>
          <w:numId w:val="1"/>
        </w:numPr>
        <w:tabs>
          <w:tab w:val="left" w:pos="1564"/>
        </w:tabs>
        <w:spacing w:before="0" w:after="0" w:line="240" w:lineRule="auto"/>
        <w:ind w:left="1563" w:right="0" w:hanging="790"/>
        <w:jc w:val="left"/>
        <w:rPr>
          <w:sz w:val="31"/>
        </w:rPr>
      </w:pPr>
      <w:r>
        <w:drawing>
          <wp:anchor distT="0" distB="0" distL="0" distR="0" simplePos="0" relativeHeight="251678720" behindDoc="0" locked="0" layoutInCell="1" allowOverlap="1">
            <wp:simplePos x="0" y="0"/>
            <wp:positionH relativeFrom="page">
              <wp:posOffset>2114550</wp:posOffset>
            </wp:positionH>
            <wp:positionV relativeFrom="paragraph">
              <wp:posOffset>289433</wp:posOffset>
            </wp:positionV>
            <wp:extent cx="200913" cy="172212"/>
            <wp:effectExtent l="0" t="0" r="0" b="0"/>
            <wp:wrapNone/>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pic:nvPicPr>
                  <pic:blipFill>
                    <a:blip xmlns:r="http://schemas.openxmlformats.org/officeDocument/2006/relationships" r:embed="rId18" cstate="print"/>
                    <a:stretch>
                      <a:fillRect/>
                    </a:stretch>
                  </pic:blipFill>
                  <pic:spPr>
                    <a:xfrm>
                      <a:off x="0" y="0"/>
                      <a:ext cx="200913" cy="172212"/>
                    </a:xfrm>
                    <a:prstGeom prst="rect">
                      <a:avLst/>
                    </a:prstGeom>
                  </pic:spPr>
                </pic:pic>
              </a:graphicData>
            </a:graphic>
          </wp:anchor>
        </w:drawing>
      </w:r>
      <w:r>
        <w:rPr>
          <w:sz w:val="31"/>
        </w:rPr>
        <w:t>根据资料三计算债券筹资成本。（应用折现模式）</w:t>
      </w:r>
    </w:p>
    <w:p>
      <w:pPr>
        <w:spacing w:before="129"/>
        <w:ind w:left="1087" w:right="0" w:firstLine="0"/>
        <w:jc w:val="left"/>
        <w:rPr>
          <w:sz w:val="27"/>
        </w:rPr>
      </w:pPr>
      <w:r>
        <w:rPr>
          <w:sz w:val="27"/>
        </w:rPr>
        <w:t>[答疑编号 5725050504]</w:t>
      </w:r>
    </w:p>
    <w:p>
      <w:pPr>
        <w:pStyle w:val="BodyText"/>
        <w:rPr>
          <w:sz w:val="26"/>
        </w:rPr>
      </w:pPr>
    </w:p>
    <w:p>
      <w:pPr>
        <w:pStyle w:val="BodyText"/>
        <w:spacing w:before="199"/>
        <w:ind w:left="817"/>
      </w:pPr>
      <w:r>
        <w:drawing>
          <wp:anchor distT="0" distB="0" distL="0" distR="0" simplePos="0" relativeHeight="251675648" behindDoc="0" locked="0" layoutInCell="1" allowOverlap="1">
            <wp:simplePos x="0" y="0"/>
            <wp:positionH relativeFrom="page">
              <wp:posOffset>2544064</wp:posOffset>
            </wp:positionH>
            <wp:positionV relativeFrom="paragraph">
              <wp:posOffset>448182</wp:posOffset>
            </wp:positionV>
            <wp:extent cx="4557771" cy="1943100"/>
            <wp:effectExtent l="0" t="0" r="0" b="0"/>
            <wp:wrapTopAndBottom/>
            <wp:docPr id="4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9.png"/>
                    <pic:cNvPicPr/>
                  </pic:nvPicPr>
                  <pic:blipFill>
                    <a:blip xmlns:r="http://schemas.openxmlformats.org/officeDocument/2006/relationships" r:embed="rId31" cstate="print"/>
                    <a:stretch>
                      <a:fillRect/>
                    </a:stretch>
                  </pic:blipFill>
                  <pic:spPr>
                    <a:xfrm>
                      <a:off x="0" y="0"/>
                      <a:ext cx="4557771" cy="1943100"/>
                    </a:xfrm>
                    <a:prstGeom prst="rect">
                      <a:avLst/>
                    </a:prstGeom>
                  </pic:spPr>
                </pic:pic>
              </a:graphicData>
            </a:graphic>
          </wp:anchor>
        </w:drawing>
      </w:r>
      <w:r>
        <w:t>『正确答案』</w:t>
      </w:r>
    </w:p>
    <w:p>
      <w:pPr>
        <w:pStyle w:val="BodyText"/>
        <w:spacing w:before="149"/>
        <w:ind w:left="1451"/>
      </w:pPr>
      <w:r>
        <w:t>1000</w:t>
      </w:r>
      <w:r>
        <w:rPr>
          <w:spacing w:val="-78"/>
        </w:rPr>
        <w:t xml:space="preserve"> </w:t>
      </w:r>
      <w:r>
        <w:t>×</w:t>
      </w:r>
      <w:r>
        <w:rPr>
          <w:spacing w:val="-71"/>
        </w:rPr>
        <w:t xml:space="preserve"> </w:t>
      </w:r>
      <w:r>
        <w:t>9%</w:t>
      </w:r>
      <w:r>
        <w:rPr>
          <w:spacing w:val="-74"/>
        </w:rPr>
        <w:t xml:space="preserve"> </w:t>
      </w:r>
      <w:r>
        <w:t>×</w:t>
      </w:r>
      <w:r>
        <w:rPr>
          <w:spacing w:val="-90"/>
        </w:rPr>
        <w:t xml:space="preserve"> </w:t>
      </w:r>
      <w:r>
        <w:t>（1－25%）</w:t>
      </w:r>
      <w:r>
        <w:rPr>
          <w:spacing w:val="-90"/>
        </w:rPr>
        <w:t xml:space="preserve"> </w:t>
      </w:r>
      <w:r>
        <w:rPr>
          <w:spacing w:val="-14"/>
        </w:rPr>
        <w:t>×（P/A,K,5）+1000</w:t>
      </w:r>
      <w:r>
        <w:rPr>
          <w:spacing w:val="-78"/>
        </w:rPr>
        <w:t xml:space="preserve"> </w:t>
      </w:r>
      <w:r>
        <w:rPr>
          <w:spacing w:val="-11"/>
        </w:rPr>
        <w:t xml:space="preserve">×（P/F,K,5＝ </w:t>
      </w:r>
      <w:r>
        <w:t>1100×</w:t>
      </w:r>
    </w:p>
    <w:p>
      <w:pPr>
        <w:pStyle w:val="BodyText"/>
        <w:spacing w:before="71"/>
        <w:ind w:left="817"/>
      </w:pPr>
      <w:r>
        <w:t>（ 1－5% ）=1045</w:t>
      </w:r>
    </w:p>
    <w:p>
      <w:pPr>
        <w:pStyle w:val="BodyText"/>
        <w:spacing w:before="70"/>
        <w:ind w:left="1451"/>
      </w:pPr>
      <w:r>
        <w:t>用插值法计算，得：K</w:t>
      </w:r>
      <w:r>
        <w:rPr>
          <w:position w:val="-13"/>
          <w:sz w:val="29"/>
        </w:rPr>
        <w:t>b</w:t>
      </w:r>
      <w:r>
        <w:t>＝5.70%</w:t>
      </w:r>
    </w:p>
    <w:p>
      <w:pPr>
        <w:spacing w:after="0"/>
        <w:sectPr>
          <w:pgSz w:w="17860" w:h="25260"/>
          <w:pgMar w:top="1860" w:right="2380" w:bottom="280" w:left="2560" w:header="708" w:footer="708"/>
          <w:pgNumType w:start="14"/>
          <w:cols w:space="708"/>
        </w:sectPr>
      </w:pPr>
    </w:p>
    <w:p>
      <w:pPr>
        <w:pStyle w:val="ListParagraph"/>
        <w:numPr>
          <w:ilvl w:val="0"/>
          <w:numId w:val="1"/>
        </w:numPr>
        <w:tabs>
          <w:tab w:val="left" w:pos="1553"/>
        </w:tabs>
        <w:spacing w:before="38" w:after="0" w:line="283" w:lineRule="auto"/>
        <w:ind w:left="140" w:right="103" w:firstLine="622"/>
        <w:jc w:val="left"/>
        <w:rPr>
          <w:sz w:val="31"/>
        </w:rPr>
      </w:pPr>
      <w:r>
        <w:drawing>
          <wp:anchor distT="0" distB="0" distL="0" distR="0" simplePos="0" relativeHeight="251681792" behindDoc="0" locked="0" layoutInCell="1" allowOverlap="1">
            <wp:simplePos x="0" y="0"/>
            <wp:positionH relativeFrom="page">
              <wp:posOffset>2114550</wp:posOffset>
            </wp:positionH>
            <wp:positionV relativeFrom="paragraph">
              <wp:posOffset>611758</wp:posOffset>
            </wp:positionV>
            <wp:extent cx="200913" cy="172211"/>
            <wp:effectExtent l="0" t="0" r="0" b="0"/>
            <wp:wrapNone/>
            <wp:docPr id="4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3.png"/>
                    <pic:cNvPicPr/>
                  </pic:nvPicPr>
                  <pic:blipFill>
                    <a:blip xmlns:r="http://schemas.openxmlformats.org/officeDocument/2006/relationships" r:embed="rId18" cstate="print"/>
                    <a:stretch>
                      <a:fillRect/>
                    </a:stretch>
                  </pic:blipFill>
                  <pic:spPr>
                    <a:xfrm>
                      <a:off x="0" y="0"/>
                      <a:ext cx="200913" cy="172211"/>
                    </a:xfrm>
                    <a:prstGeom prst="rect">
                      <a:avLst/>
                    </a:prstGeom>
                  </pic:spPr>
                </pic:pic>
              </a:graphicData>
            </a:graphic>
          </wp:anchor>
        </w:drawing>
      </w:r>
      <w:r>
        <w:rPr>
          <w:spacing w:val="1"/>
          <w:sz w:val="31"/>
        </w:rPr>
        <w:t>假定公司目前的资本结构为：普通股</w:t>
      </w:r>
      <w:r>
        <w:rPr>
          <w:sz w:val="31"/>
        </w:rPr>
        <w:t>40</w:t>
      </w:r>
      <w:r>
        <w:rPr>
          <w:spacing w:val="-6"/>
          <w:sz w:val="31"/>
        </w:rPr>
        <w:t xml:space="preserve">%、长期借款 </w:t>
      </w:r>
      <w:r>
        <w:rPr>
          <w:sz w:val="31"/>
        </w:rPr>
        <w:t>30</w:t>
      </w:r>
      <w:r>
        <w:rPr>
          <w:spacing w:val="-6"/>
          <w:sz w:val="31"/>
        </w:rPr>
        <w:t xml:space="preserve">%、公司债券 </w:t>
      </w:r>
      <w:r>
        <w:rPr>
          <w:sz w:val="31"/>
        </w:rPr>
        <w:t>30%，目标资本</w:t>
      </w:r>
      <w:r>
        <w:rPr>
          <w:spacing w:val="15"/>
          <w:sz w:val="31"/>
        </w:rPr>
        <w:t xml:space="preserve">结构为普通股 </w:t>
      </w:r>
      <w:r>
        <w:rPr>
          <w:sz w:val="31"/>
        </w:rPr>
        <w:t>50</w:t>
      </w:r>
      <w:r>
        <w:rPr>
          <w:spacing w:val="8"/>
          <w:sz w:val="31"/>
        </w:rPr>
        <w:t>%、长期借款</w:t>
      </w:r>
      <w:r>
        <w:rPr>
          <w:sz w:val="31"/>
        </w:rPr>
        <w:t>20</w:t>
      </w:r>
      <w:r>
        <w:rPr>
          <w:spacing w:val="8"/>
          <w:sz w:val="31"/>
        </w:rPr>
        <w:t>%、公司债券</w:t>
      </w:r>
      <w:r>
        <w:rPr>
          <w:sz w:val="31"/>
        </w:rPr>
        <w:t>30</w:t>
      </w:r>
      <w:r>
        <w:rPr>
          <w:spacing w:val="-1"/>
          <w:sz w:val="31"/>
        </w:rPr>
        <w:t>%，根据以上结果计算公司边际资本成本。</w:t>
      </w:r>
    </w:p>
    <w:p>
      <w:pPr>
        <w:spacing w:before="57"/>
        <w:ind w:left="1087" w:right="0" w:firstLine="0"/>
        <w:jc w:val="left"/>
        <w:rPr>
          <w:sz w:val="27"/>
        </w:rPr>
      </w:pPr>
      <w:r>
        <w:rPr>
          <w:sz w:val="27"/>
        </w:rPr>
        <w:t>[答疑编号 5725050505]</w:t>
      </w:r>
    </w:p>
    <w:p>
      <w:pPr>
        <w:pStyle w:val="BodyText"/>
        <w:rPr>
          <w:sz w:val="26"/>
        </w:rPr>
      </w:pPr>
    </w:p>
    <w:p>
      <w:pPr>
        <w:pStyle w:val="BodyText"/>
        <w:spacing w:before="198"/>
        <w:ind w:left="817"/>
      </w:pPr>
      <w:r>
        <w:t>『正确答案』边际资本成本＝6.4%×50%＋3.79%×20%＋5.7%×30%＝</w:t>
      </w:r>
    </w:p>
    <w:p>
      <w:pPr>
        <w:pStyle w:val="BodyText"/>
        <w:spacing w:before="71"/>
        <w:ind w:left="817"/>
      </w:pPr>
      <w:r>
        <w:t>5.67%</w:t>
      </w:r>
    </w:p>
    <w:p>
      <w:pPr>
        <w:pStyle w:val="BodyText"/>
        <w:spacing w:before="1"/>
        <w:rPr>
          <w:sz w:val="42"/>
        </w:rPr>
      </w:pPr>
    </w:p>
    <w:p>
      <w:pPr>
        <w:pStyle w:val="BodyText"/>
        <w:ind w:left="774"/>
      </w:pPr>
      <w:r>
        <w:t>【总结】</w:t>
      </w:r>
    </w:p>
    <w:p>
      <w:pPr>
        <w:pStyle w:val="ListParagraph"/>
        <w:numPr>
          <w:ilvl w:val="0"/>
          <w:numId w:val="17"/>
        </w:numPr>
        <w:tabs>
          <w:tab w:val="left" w:pos="1564"/>
        </w:tabs>
        <w:spacing w:before="71" w:after="0" w:line="240" w:lineRule="auto"/>
        <w:ind w:left="1563" w:right="0" w:hanging="790"/>
        <w:jc w:val="left"/>
        <w:rPr>
          <w:sz w:val="31"/>
        </w:rPr>
      </w:pPr>
      <w:r>
        <w:rPr>
          <w:sz w:val="31"/>
        </w:rPr>
        <w:t>注意计算资本成本要求应用的模式。</w:t>
      </w:r>
    </w:p>
    <w:p>
      <w:pPr>
        <w:pStyle w:val="ListParagraph"/>
        <w:numPr>
          <w:ilvl w:val="0"/>
          <w:numId w:val="17"/>
        </w:numPr>
        <w:tabs>
          <w:tab w:val="left" w:pos="1564"/>
        </w:tabs>
        <w:spacing w:before="70" w:after="0" w:line="240" w:lineRule="auto"/>
        <w:ind w:left="1563" w:right="0" w:hanging="790"/>
        <w:jc w:val="left"/>
        <w:rPr>
          <w:sz w:val="31"/>
        </w:rPr>
      </w:pPr>
      <w:r>
        <w:rPr>
          <w:sz w:val="31"/>
        </w:rPr>
        <w:t>采用试算法时，需要注意现值与折现率是成反比的。</w:t>
      </w:r>
    </w:p>
    <w:p>
      <w:pPr>
        <w:pStyle w:val="ListParagraph"/>
        <w:numPr>
          <w:ilvl w:val="0"/>
          <w:numId w:val="17"/>
        </w:numPr>
        <w:tabs>
          <w:tab w:val="left" w:pos="1564"/>
        </w:tabs>
        <w:spacing w:before="71" w:after="0" w:line="240" w:lineRule="auto"/>
        <w:ind w:left="1563" w:right="0" w:hanging="790"/>
        <w:jc w:val="left"/>
        <w:rPr>
          <w:sz w:val="31"/>
        </w:rPr>
      </w:pPr>
      <w:r>
        <w:rPr>
          <w:sz w:val="31"/>
        </w:rPr>
        <w:t>注意边际资本成本的计算要采用目标价值权数。</w:t>
      </w:r>
    </w:p>
    <w:p>
      <w:pPr>
        <w:pStyle w:val="BodyText"/>
        <w:spacing w:before="2"/>
        <w:rPr>
          <w:sz w:val="42"/>
        </w:rPr>
      </w:pPr>
    </w:p>
    <w:p>
      <w:pPr>
        <w:pStyle w:val="BodyText"/>
        <w:ind w:left="770"/>
      </w:pPr>
      <w:r>
        <w:drawing>
          <wp:anchor distT="0" distB="0" distL="0" distR="0" simplePos="0" relativeHeight="251680768" behindDoc="0" locked="0" layoutInCell="1" allowOverlap="1">
            <wp:simplePos x="0" y="0"/>
            <wp:positionH relativeFrom="page">
              <wp:posOffset>2114550</wp:posOffset>
            </wp:positionH>
            <wp:positionV relativeFrom="paragraph">
              <wp:posOffset>310768</wp:posOffset>
            </wp:positionV>
            <wp:extent cx="4600568" cy="2857500"/>
            <wp:effectExtent l="0" t="0" r="0" b="0"/>
            <wp:wrapTopAndBottom/>
            <wp:docPr id="51"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0.jpeg"/>
                    <pic:cNvPicPr/>
                  </pic:nvPicPr>
                  <pic:blipFill>
                    <a:blip xmlns:r="http://schemas.openxmlformats.org/officeDocument/2006/relationships" r:embed="rId32" cstate="print"/>
                    <a:stretch>
                      <a:fillRect/>
                    </a:stretch>
                  </pic:blipFill>
                  <pic:spPr>
                    <a:xfrm>
                      <a:off x="0" y="0"/>
                      <a:ext cx="4600568" cy="2857500"/>
                    </a:xfrm>
                    <a:prstGeom prst="rect">
                      <a:avLst/>
                    </a:prstGeom>
                  </pic:spPr>
                </pic:pic>
              </a:graphicData>
            </a:graphic>
          </wp:anchor>
        </w:drawing>
      </w:r>
      <w:r>
        <w:t>二、财务杠杆（杠杆效应）</w:t>
      </w:r>
    </w:p>
    <w:p>
      <w:pPr>
        <w:pStyle w:val="BodyText"/>
        <w:spacing w:before="130"/>
        <w:ind w:left="774"/>
      </w:pPr>
      <w:r>
        <w:t>当某一财务变量以较小幅度变动时，另一相关财务变量会以较大幅度变动的现象</w:t>
      </w:r>
    </w:p>
    <w:p>
      <w:pPr>
        <w:pStyle w:val="BodyText"/>
        <w:spacing w:before="71" w:line="283" w:lineRule="auto"/>
        <w:ind w:left="140" w:right="292" w:firstLine="633"/>
        <w:jc w:val="both"/>
      </w:pPr>
      <w:r>
        <w:rPr>
          <w:spacing w:val="-14"/>
        </w:rPr>
        <w:t>财务管理中的杠杆效应，是指由于特定固定支出或费用，当某一财务变量以较小幅度变动时，另一相关财务变量会以较大幅度变动的现象。它包括经营杠杆、财务杠杆和总杠杆三</w:t>
      </w:r>
      <w:r>
        <w:t>种形式。</w:t>
      </w:r>
    </w:p>
    <w:p>
      <w:pPr>
        <w:pStyle w:val="BodyText"/>
        <w:spacing w:line="395" w:lineRule="exact"/>
        <w:ind w:left="774"/>
      </w:pPr>
      <w:r>
        <w:t>（一）经营杠杆效应</w:t>
      </w:r>
    </w:p>
    <w:p>
      <w:pPr>
        <w:pStyle w:val="BodyText"/>
        <w:spacing w:before="71"/>
        <w:ind w:left="774"/>
      </w:pPr>
      <w:r>
        <w:t>【补充知识】</w:t>
      </w:r>
    </w:p>
    <w:p>
      <w:pPr>
        <w:pStyle w:val="BodyText"/>
        <w:spacing w:before="70"/>
        <w:ind w:left="774"/>
      </w:pPr>
      <w:r>
        <w:t>单位边际贡献=单价-单位变动成本=P-Vc</w:t>
      </w:r>
    </w:p>
    <w:p>
      <w:pPr>
        <w:pStyle w:val="BodyText"/>
        <w:spacing w:before="71" w:line="283" w:lineRule="auto"/>
        <w:ind w:left="774" w:right="4662"/>
      </w:pPr>
      <w:r>
        <w:rPr>
          <w:spacing w:val="11"/>
        </w:rPr>
        <w:t>边际贡献总额</w:t>
      </w:r>
      <w:r>
        <w:t>M</w:t>
      </w:r>
      <w:r>
        <w:rPr>
          <w:spacing w:val="-4"/>
        </w:rPr>
        <w:t>=销售收入-变动成本总额=（P-Vc）×Q 边际贡献率=边际贡献</w:t>
      </w:r>
      <w:r>
        <w:t>/</w:t>
      </w:r>
      <w:r>
        <w:rPr>
          <w:spacing w:val="-3"/>
        </w:rPr>
        <w:t>销售收入=单位边际贡献</w:t>
      </w:r>
      <w:r>
        <w:rPr>
          <w:spacing w:val="-4"/>
        </w:rPr>
        <w:t>/</w:t>
      </w:r>
      <w:r>
        <w:t xml:space="preserve">单价 </w:t>
      </w:r>
      <w:r>
        <w:rPr>
          <w:spacing w:val="-4"/>
        </w:rPr>
        <w:t>变动成本率=变动成本</w:t>
      </w:r>
      <w:r>
        <w:t>/</w:t>
      </w:r>
      <w:r>
        <w:rPr>
          <w:spacing w:val="-3"/>
        </w:rPr>
        <w:t>销售收入=单位变动成本</w:t>
      </w:r>
      <w:r>
        <w:rPr>
          <w:spacing w:val="-4"/>
        </w:rPr>
        <w:t>/</w:t>
      </w:r>
      <w:r>
        <w:t xml:space="preserve">单价 </w:t>
      </w:r>
      <w:r>
        <w:rPr>
          <w:spacing w:val="-4"/>
        </w:rPr>
        <w:t>边际贡献率+变动成本率</w:t>
      </w:r>
      <w:r>
        <w:t>=1</w:t>
      </w:r>
    </w:p>
    <w:p>
      <w:pPr>
        <w:pStyle w:val="BodyText"/>
        <w:spacing w:line="395" w:lineRule="exact"/>
        <w:ind w:left="774"/>
      </w:pPr>
      <w:r>
        <w:t>息税前利润=收入-变动成本-固定成本=边际贡献-固定成本</w:t>
      </w:r>
    </w:p>
    <w:p>
      <w:pPr>
        <w:pStyle w:val="BodyText"/>
        <w:spacing w:before="71"/>
        <w:ind w:left="774"/>
      </w:pPr>
      <w:r>
        <w:t>EBIT=（P-Vc）×Q-F</w:t>
      </w:r>
    </w:p>
    <w:p>
      <w:pPr>
        <w:pStyle w:val="BodyText"/>
        <w:spacing w:before="71" w:line="283" w:lineRule="auto"/>
        <w:ind w:left="774" w:right="7570"/>
      </w:pPr>
      <w:r>
        <w:rPr>
          <w:spacing w:val="-2"/>
        </w:rPr>
        <w:t>盈亏临界点销售量</w:t>
      </w:r>
      <w:r>
        <w:t xml:space="preserve">=F/（P-Vc） </w:t>
      </w:r>
      <w:r>
        <w:rPr>
          <w:spacing w:val="-2"/>
        </w:rPr>
        <w:t>盈亏临界点销售额</w:t>
      </w:r>
      <w:r>
        <w:rPr>
          <w:spacing w:val="-3"/>
        </w:rPr>
        <w:t>=F/</w:t>
      </w:r>
      <w:r>
        <w:rPr>
          <w:spacing w:val="-4"/>
        </w:rPr>
        <w:t>边际贡献率</w:t>
      </w:r>
      <w:r>
        <w:t>1.经营杠杆</w:t>
      </w:r>
    </w:p>
    <w:p>
      <w:pPr>
        <w:pStyle w:val="BodyText"/>
        <w:spacing w:line="283" w:lineRule="auto"/>
        <w:ind w:left="140" w:right="318" w:firstLine="633"/>
      </w:pPr>
      <w:r>
        <w:t>【思考】在息税前利润大于 0、其他因素不变的情况下，销售量增加10%，则息税前利润增加幅度是大于、小于还是等于 10%？</w:t>
      </w:r>
    </w:p>
    <w:p>
      <w:pPr>
        <w:pStyle w:val="BodyText"/>
        <w:spacing w:line="283" w:lineRule="auto"/>
        <w:ind w:left="774" w:right="10242"/>
      </w:pPr>
      <w:r>
        <w:t>『正确答案』大于 10%</w:t>
      </w:r>
    </w:p>
    <w:p>
      <w:pPr>
        <w:spacing w:after="0" w:line="283" w:lineRule="auto"/>
        <w:sectPr>
          <w:pgSz w:w="17860" w:h="25260"/>
          <w:pgMar w:top="2340" w:right="2380" w:bottom="280" w:left="2560" w:header="708" w:footer="708"/>
          <w:pgNumType w:start="15"/>
          <w:cols w:space="708"/>
        </w:sectPr>
      </w:pPr>
    </w:p>
    <w:p>
      <w:pPr>
        <w:pStyle w:val="BodyText"/>
        <w:spacing w:before="49"/>
        <w:ind w:left="774"/>
      </w:pPr>
      <w:r>
        <w:t>【分析】EBIT＝（P－Vc）Q－F＝M－F</w:t>
      </w:r>
    </w:p>
    <w:p>
      <w:pPr>
        <w:pStyle w:val="BodyText"/>
        <w:spacing w:before="72" w:line="283" w:lineRule="auto"/>
        <w:ind w:left="140" w:right="255" w:firstLine="633"/>
      </w:pPr>
      <w:r>
        <w:rPr>
          <w:spacing w:val="-15"/>
        </w:rPr>
        <w:t>经营杠杆：由于固定经营成本的存在而导致息税前利润变动率大于业务量变动率的杠杆</w:t>
      </w:r>
      <w:r>
        <w:t>效应。</w:t>
      </w:r>
    </w:p>
    <w:p>
      <w:pPr>
        <w:pStyle w:val="ListParagraph"/>
        <w:numPr>
          <w:ilvl w:val="0"/>
          <w:numId w:val="25"/>
        </w:numPr>
        <w:tabs>
          <w:tab w:val="left" w:pos="1092"/>
        </w:tabs>
        <w:spacing w:before="0" w:after="0" w:line="396" w:lineRule="exact"/>
        <w:ind w:left="1092" w:right="0" w:hanging="318"/>
        <w:jc w:val="left"/>
        <w:rPr>
          <w:sz w:val="31"/>
        </w:rPr>
      </w:pPr>
      <w:r>
        <w:rPr>
          <w:sz w:val="31"/>
        </w:rPr>
        <w:t>经营杠杆系数</w:t>
      </w:r>
    </w:p>
    <w:p>
      <w:pPr>
        <w:pStyle w:val="ListParagraph"/>
        <w:numPr>
          <w:ilvl w:val="0"/>
          <w:numId w:val="15"/>
        </w:numPr>
        <w:tabs>
          <w:tab w:val="left" w:pos="1564"/>
        </w:tabs>
        <w:spacing w:before="70" w:after="0" w:line="240" w:lineRule="auto"/>
        <w:ind w:left="1563" w:right="0" w:hanging="790"/>
        <w:jc w:val="left"/>
        <w:rPr>
          <w:sz w:val="31"/>
        </w:rPr>
      </w:pPr>
      <w:r>
        <w:rPr>
          <w:sz w:val="31"/>
        </w:rPr>
        <w:t>DOL</w:t>
      </w:r>
      <w:r>
        <w:rPr>
          <w:spacing w:val="-13"/>
          <w:sz w:val="31"/>
        </w:rPr>
        <w:t xml:space="preserve"> 的定义公式：</w:t>
      </w:r>
    </w:p>
    <w:p>
      <w:pPr>
        <w:pStyle w:val="BodyText"/>
        <w:spacing w:before="71" w:after="22"/>
        <w:ind w:left="774"/>
      </w:pPr>
      <w:r>
        <w:t>经营杠杆系数＝息税前利润变动率/产销变动率</w:t>
      </w:r>
    </w:p>
    <w:p>
      <w:pPr>
        <w:pStyle w:val="BodyText"/>
        <w:ind w:left="770"/>
        <w:rPr>
          <w:sz w:val="20"/>
        </w:rPr>
      </w:pPr>
      <w:r>
        <w:rPr>
          <w:sz w:val="20"/>
        </w:rPr>
        <w:drawing>
          <wp:inline distT="0" distB="0" distL="0" distR="0">
            <wp:extent cx="2057400" cy="571500"/>
            <wp:effectExtent l="0" t="0" r="0" b="0"/>
            <wp:docPr id="5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1.png"/>
                    <pic:cNvPicPr/>
                  </pic:nvPicPr>
                  <pic:blipFill>
                    <a:blip xmlns:r="http://schemas.openxmlformats.org/officeDocument/2006/relationships" r:embed="rId33" cstate="print"/>
                    <a:stretch>
                      <a:fillRect/>
                    </a:stretch>
                  </pic:blipFill>
                  <pic:spPr>
                    <a:xfrm>
                      <a:off x="0" y="0"/>
                      <a:ext cx="2057400" cy="571500"/>
                    </a:xfrm>
                    <a:prstGeom prst="rect">
                      <a:avLst/>
                    </a:prstGeom>
                  </pic:spPr>
                </pic:pic>
              </a:graphicData>
            </a:graphic>
          </wp:inline>
        </w:drawing>
      </w:r>
    </w:p>
    <w:p>
      <w:pPr>
        <w:pStyle w:val="ListParagraph"/>
        <w:numPr>
          <w:ilvl w:val="0"/>
          <w:numId w:val="15"/>
        </w:numPr>
        <w:tabs>
          <w:tab w:val="left" w:pos="1564"/>
        </w:tabs>
        <w:spacing w:before="85" w:after="0" w:line="240" w:lineRule="auto"/>
        <w:ind w:left="1563" w:right="0" w:hanging="790"/>
        <w:jc w:val="left"/>
        <w:rPr>
          <w:sz w:val="31"/>
        </w:rPr>
      </w:pPr>
      <w:r>
        <w:rPr>
          <w:sz w:val="31"/>
        </w:rPr>
        <w:t>简化公式：</w:t>
      </w:r>
    </w:p>
    <w:p>
      <w:pPr>
        <w:pStyle w:val="BodyText"/>
        <w:spacing w:before="71"/>
        <w:ind w:left="774"/>
      </w:pPr>
      <w:r>
        <w:t>报告期经营杠杆系数＝基期边际贡献/基期息税前利润</w:t>
      </w:r>
    </w:p>
    <w:p>
      <w:pPr>
        <w:pStyle w:val="BodyText"/>
        <w:spacing w:before="71"/>
        <w:ind w:left="774"/>
      </w:pPr>
      <w:r>
        <w:t>DOL＝M/EBIT＝M/（M－F）＝基期边际贡献/基期息税前利润</w:t>
      </w:r>
    </w:p>
    <w:p>
      <w:pPr>
        <w:pStyle w:val="BodyText"/>
        <w:spacing w:before="71"/>
        <w:ind w:left="774"/>
      </w:pPr>
      <w:r>
        <w:t>【提示】经营杠杆系数简化公式推导</w:t>
      </w:r>
    </w:p>
    <w:p>
      <w:pPr>
        <w:pStyle w:val="BodyText"/>
        <w:spacing w:before="72"/>
        <w:ind w:left="774"/>
      </w:pPr>
      <w:r>
        <w:rPr>
          <w:spacing w:val="6"/>
        </w:rPr>
        <w:t>假设基期的息税前利润</w:t>
      </w:r>
      <w:r>
        <w:t>EBIT＝PQ－VcQ－F，</w:t>
      </w:r>
      <w:r>
        <w:rPr>
          <w:spacing w:val="13"/>
        </w:rPr>
        <w:t>产销量变动</w:t>
      </w:r>
      <w:r>
        <w:rPr>
          <w:rFonts w:ascii="Arial" w:eastAsia="Arial" w:hAnsi="Arial"/>
        </w:rPr>
        <w:t>Δ</w:t>
      </w:r>
      <w:r>
        <w:rPr>
          <w:rFonts w:ascii="Arial" w:eastAsia="Arial" w:hAnsi="Arial"/>
          <w:spacing w:val="59"/>
        </w:rPr>
        <w:t xml:space="preserve"> </w:t>
      </w:r>
      <w:r>
        <w:t>Q，导致息税前利润变动，</w:t>
      </w:r>
    </w:p>
    <w:p>
      <w:pPr>
        <w:pStyle w:val="BodyText"/>
        <w:spacing w:before="70"/>
        <w:ind w:left="140"/>
      </w:pPr>
      <w:r>
        <w:rPr>
          <w:rFonts w:ascii="Arial" w:eastAsia="Arial" w:hAnsi="Arial"/>
        </w:rPr>
        <w:t xml:space="preserve">Δ </w:t>
      </w:r>
      <w:r>
        <w:t>EBIT＝（P－Vc）×</w:t>
      </w:r>
      <w:r>
        <w:rPr>
          <w:rFonts w:ascii="Arial" w:eastAsia="Arial" w:hAnsi="Arial"/>
        </w:rPr>
        <w:t xml:space="preserve">Δ </w:t>
      </w:r>
      <w:r>
        <w:t>Q，代入经营杠杆系数公式：</w:t>
      </w:r>
    </w:p>
    <w:p>
      <w:pPr>
        <w:pStyle w:val="BodyText"/>
        <w:spacing w:before="7"/>
        <w:rPr>
          <w:sz w:val="14"/>
        </w:rPr>
      </w:pPr>
      <w:r>
        <w:drawing>
          <wp:anchor distT="0" distB="0" distL="0" distR="0" simplePos="0" relativeHeight="251682816" behindDoc="0" locked="0" layoutInCell="1" allowOverlap="1">
            <wp:simplePos x="0" y="0"/>
            <wp:positionH relativeFrom="page">
              <wp:posOffset>2114550</wp:posOffset>
            </wp:positionH>
            <wp:positionV relativeFrom="paragraph">
              <wp:posOffset>143684</wp:posOffset>
            </wp:positionV>
            <wp:extent cx="5457685" cy="1200150"/>
            <wp:effectExtent l="0" t="0" r="0" b="0"/>
            <wp:wrapTopAndBottom/>
            <wp:docPr id="5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2.png"/>
                    <pic:cNvPicPr/>
                  </pic:nvPicPr>
                  <pic:blipFill>
                    <a:blip xmlns:r="http://schemas.openxmlformats.org/officeDocument/2006/relationships" r:embed="rId34" cstate="print"/>
                    <a:stretch>
                      <a:fillRect/>
                    </a:stretch>
                  </pic:blipFill>
                  <pic:spPr>
                    <a:xfrm>
                      <a:off x="0" y="0"/>
                      <a:ext cx="5457685" cy="1200150"/>
                    </a:xfrm>
                    <a:prstGeom prst="rect">
                      <a:avLst/>
                    </a:prstGeom>
                  </pic:spPr>
                </pic:pic>
              </a:graphicData>
            </a:graphic>
          </wp:anchor>
        </w:drawing>
      </w:r>
    </w:p>
    <w:p>
      <w:pPr>
        <w:pStyle w:val="BodyText"/>
        <w:spacing w:before="11"/>
        <w:rPr>
          <w:sz w:val="15"/>
        </w:rPr>
      </w:pPr>
    </w:p>
    <w:p>
      <w:pPr>
        <w:pStyle w:val="BodyText"/>
        <w:spacing w:before="63" w:line="283" w:lineRule="auto"/>
        <w:ind w:left="140" w:right="318" w:firstLine="633"/>
        <w:jc w:val="both"/>
      </w:pPr>
      <w:r>
        <w:rPr>
          <w:spacing w:val="-1"/>
        </w:rPr>
        <w:t xml:space="preserve">【例 </w:t>
      </w:r>
      <w:r>
        <w:t>5－13</w:t>
      </w:r>
      <w:r>
        <w:rPr>
          <w:spacing w:val="3"/>
        </w:rPr>
        <w:t>】泰华公司产销某种服装，固定成本</w:t>
      </w:r>
      <w:r>
        <w:t>500</w:t>
      </w:r>
      <w:r>
        <w:rPr>
          <w:spacing w:val="-4"/>
        </w:rPr>
        <w:t xml:space="preserve"> 万元，变动成本率 </w:t>
      </w:r>
      <w:r>
        <w:t>70</w:t>
      </w:r>
      <w:r>
        <w:rPr>
          <w:spacing w:val="-3"/>
        </w:rPr>
        <w:t>%。年产销额</w:t>
      </w:r>
      <w:r>
        <w:t>5000</w:t>
      </w:r>
      <w:r>
        <w:rPr>
          <w:spacing w:val="-12"/>
        </w:rPr>
        <w:t xml:space="preserve"> 万元时，变动成本 </w:t>
      </w:r>
      <w:r>
        <w:t>3500</w:t>
      </w:r>
      <w:r>
        <w:rPr>
          <w:spacing w:val="-14"/>
        </w:rPr>
        <w:t xml:space="preserve"> 万元，固定成本 </w:t>
      </w:r>
      <w:r>
        <w:t>500</w:t>
      </w:r>
      <w:r>
        <w:rPr>
          <w:spacing w:val="-13"/>
        </w:rPr>
        <w:t xml:space="preserve"> 万元，息前税前利润 </w:t>
      </w:r>
      <w:r>
        <w:t>1000</w:t>
      </w:r>
      <w:r>
        <w:rPr>
          <w:spacing w:val="-9"/>
        </w:rPr>
        <w:t xml:space="preserve"> 万元；年产销</w:t>
      </w:r>
      <w:r>
        <w:rPr>
          <w:spacing w:val="-26"/>
        </w:rPr>
        <w:t xml:space="preserve">额 </w:t>
      </w:r>
      <w:r>
        <w:t>7000</w:t>
      </w:r>
      <w:r>
        <w:rPr>
          <w:spacing w:val="-13"/>
        </w:rPr>
        <w:t xml:space="preserve"> 万元时，变动成本为 </w:t>
      </w:r>
      <w:r>
        <w:t>4900</w:t>
      </w:r>
      <w:r>
        <w:rPr>
          <w:spacing w:val="-13"/>
        </w:rPr>
        <w:t xml:space="preserve"> 万元，固定成本仍为 </w:t>
      </w:r>
      <w:r>
        <w:t>500</w:t>
      </w:r>
      <w:r>
        <w:rPr>
          <w:spacing w:val="-12"/>
        </w:rPr>
        <w:t xml:space="preserve"> 万元，息前税前利润为 </w:t>
      </w:r>
      <w:r>
        <w:t>1600</w:t>
      </w:r>
      <w:r>
        <w:rPr>
          <w:spacing w:val="-26"/>
        </w:rPr>
        <w:t xml:space="preserve"> 万</w:t>
      </w:r>
      <w:r>
        <w:rPr>
          <w:spacing w:val="-21"/>
        </w:rPr>
        <w:t>元。可以看出，该公司产销量增长了</w:t>
      </w:r>
      <w:r>
        <w:t>40</w:t>
      </w:r>
      <w:r>
        <w:rPr>
          <w:spacing w:val="-2"/>
        </w:rPr>
        <w:t xml:space="preserve">%，息前税前利润增长了 </w:t>
      </w:r>
      <w:r>
        <w:t>60</w:t>
      </w:r>
      <w:r>
        <w:rPr>
          <w:spacing w:val="-1"/>
        </w:rPr>
        <w:t xml:space="preserve">%，产生了 </w:t>
      </w:r>
      <w:r>
        <w:t>1.5</w:t>
      </w:r>
      <w:r>
        <w:rPr>
          <w:spacing w:val="-3"/>
        </w:rPr>
        <w:t xml:space="preserve"> 倍的经营</w:t>
      </w:r>
      <w:r>
        <w:t>杠杆效应。</w:t>
      </w:r>
    </w:p>
    <w:p>
      <w:pPr>
        <w:pStyle w:val="BodyText"/>
        <w:spacing w:before="3"/>
        <w:rPr>
          <w:sz w:val="36"/>
        </w:rPr>
      </w:pPr>
    </w:p>
    <w:p>
      <w:pPr>
        <w:pStyle w:val="BodyText"/>
        <w:spacing w:before="1" w:after="12"/>
        <w:ind w:left="770"/>
      </w:pPr>
      <w:r>
        <w:t>『正确答案』</w:t>
      </w:r>
    </w:p>
    <w:p>
      <w:pPr>
        <w:pStyle w:val="BodyText"/>
        <w:ind w:left="770"/>
        <w:rPr>
          <w:sz w:val="20"/>
        </w:rPr>
      </w:pPr>
      <w:r>
        <w:rPr>
          <w:sz w:val="20"/>
        </w:rPr>
        <w:drawing>
          <wp:inline distT="0" distB="0" distL="0" distR="0">
            <wp:extent cx="3986300" cy="1171575"/>
            <wp:effectExtent l="0" t="0" r="0" b="0"/>
            <wp:docPr id="5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3.png"/>
                    <pic:cNvPicPr/>
                  </pic:nvPicPr>
                  <pic:blipFill>
                    <a:blip xmlns:r="http://schemas.openxmlformats.org/officeDocument/2006/relationships" r:embed="rId35" cstate="print"/>
                    <a:stretch>
                      <a:fillRect/>
                    </a:stretch>
                  </pic:blipFill>
                  <pic:spPr>
                    <a:xfrm>
                      <a:off x="0" y="0"/>
                      <a:ext cx="3986300" cy="1171575"/>
                    </a:xfrm>
                    <a:prstGeom prst="rect">
                      <a:avLst/>
                    </a:prstGeom>
                  </pic:spPr>
                </pic:pic>
              </a:graphicData>
            </a:graphic>
          </wp:inline>
        </w:drawing>
      </w:r>
    </w:p>
    <w:p>
      <w:pPr>
        <w:pStyle w:val="BodyText"/>
        <w:spacing w:before="2"/>
        <w:rPr>
          <w:sz w:val="43"/>
        </w:rPr>
      </w:pPr>
    </w:p>
    <w:p>
      <w:pPr>
        <w:pStyle w:val="ListParagraph"/>
        <w:numPr>
          <w:ilvl w:val="0"/>
          <w:numId w:val="25"/>
        </w:numPr>
        <w:tabs>
          <w:tab w:val="left" w:pos="1089"/>
        </w:tabs>
        <w:spacing w:before="0" w:after="0" w:line="240" w:lineRule="auto"/>
        <w:ind w:left="1088" w:right="0" w:hanging="319"/>
        <w:jc w:val="left"/>
        <w:rPr>
          <w:sz w:val="31"/>
        </w:rPr>
      </w:pPr>
      <w:r>
        <w:rPr>
          <w:sz w:val="31"/>
        </w:rPr>
        <w:t>经营杠杆与经营风险</w:t>
      </w:r>
    </w:p>
    <w:p>
      <w:pPr>
        <w:pStyle w:val="BodyText"/>
        <w:ind w:left="720"/>
        <w:rPr>
          <w:sz w:val="20"/>
        </w:rPr>
      </w:pPr>
      <w:r>
        <w:rPr>
          <w:sz w:val="20"/>
        </w:rPr>
        <w:pict>
          <v:group id="_x0000_i1050" style="width:566pt;height:174pt;mso-position-horizontal-relative:char;mso-position-vertical-relative:line" coordorigin="0,0" coordsize="11320,3480">
            <v:shape id="_x0000_s1051" type="#_x0000_t75" style="width:11320;height:3480;position:absolute" stroked="f">
              <v:imagedata r:id="rId36" o:title=""/>
            </v:shape>
            <v:shape id="_x0000_s1052" type="#_x0000_t202" style="width:11320;height:3480;position:absolute" filled="f" stroked="f">
              <v:textbox inset="0,0,0,0">
                <w:txbxContent>
                  <w:p>
                    <w:pPr>
                      <w:spacing w:before="128"/>
                      <w:ind w:left="46" w:right="0" w:firstLine="0"/>
                      <w:jc w:val="left"/>
                      <w:rPr>
                        <w:sz w:val="31"/>
                      </w:rPr>
                    </w:pPr>
                    <w:r>
                      <w:rPr>
                        <w:sz w:val="31"/>
                      </w:rPr>
                      <w:t>经营风险 是指企业生产经营上的原因而导致的资产报酬波动的风险</w:t>
                    </w:r>
                  </w:p>
                  <w:p>
                    <w:pPr>
                      <w:spacing w:before="118"/>
                      <w:ind w:left="1425" w:right="0" w:firstLine="0"/>
                      <w:jc w:val="left"/>
                      <w:rPr>
                        <w:sz w:val="31"/>
                      </w:rPr>
                    </w:pPr>
                    <w:r>
                      <w:rPr>
                        <w:sz w:val="31"/>
                      </w:rPr>
                      <w:t>经营杠杆系数越高，表明资产报酬波动程度越大，经营风险也就越大。</w:t>
                    </w:r>
                  </w:p>
                  <w:p>
                    <w:pPr>
                      <w:spacing w:before="71" w:line="316" w:lineRule="exact"/>
                      <w:ind w:left="1425" w:right="0" w:firstLine="0"/>
                      <w:jc w:val="left"/>
                      <w:rPr>
                        <w:sz w:val="31"/>
                      </w:rPr>
                    </w:pPr>
                    <w:r>
                      <w:rPr>
                        <w:sz w:val="31"/>
                      </w:rPr>
                      <w:t>【提示】经营杠杆本身并不是资产报酬不确定的根源，只是资产报酬波</w:t>
                    </w:r>
                  </w:p>
                  <w:p>
                    <w:pPr>
                      <w:spacing w:before="0" w:line="234" w:lineRule="exact"/>
                      <w:ind w:left="46" w:right="0" w:firstLine="0"/>
                      <w:jc w:val="left"/>
                      <w:rPr>
                        <w:sz w:val="31"/>
                      </w:rPr>
                    </w:pPr>
                    <w:r>
                      <w:rPr>
                        <w:sz w:val="31"/>
                      </w:rPr>
                      <w:t>关系</w:t>
                    </w:r>
                  </w:p>
                  <w:p>
                    <w:pPr>
                      <w:spacing w:before="0" w:line="316" w:lineRule="exact"/>
                      <w:ind w:left="1425" w:right="0" w:firstLine="0"/>
                      <w:jc w:val="left"/>
                      <w:rPr>
                        <w:sz w:val="31"/>
                      </w:rPr>
                    </w:pPr>
                    <w:r>
                      <w:rPr>
                        <w:sz w:val="31"/>
                      </w:rPr>
                      <w:t>动的表现。但是，经营杠杆放大了市场和生产等因素变化对利润波动的</w:t>
                    </w:r>
                  </w:p>
                  <w:p>
                    <w:pPr>
                      <w:spacing w:before="70"/>
                      <w:ind w:left="1425" w:right="0" w:firstLine="0"/>
                      <w:jc w:val="left"/>
                      <w:rPr>
                        <w:sz w:val="31"/>
                      </w:rPr>
                    </w:pPr>
                    <w:r>
                      <w:rPr>
                        <w:sz w:val="31"/>
                      </w:rPr>
                      <w:t>影响。</w:t>
                    </w:r>
                  </w:p>
                  <w:p>
                    <w:pPr>
                      <w:spacing w:before="114"/>
                      <w:ind w:left="46" w:right="0" w:firstLine="0"/>
                      <w:jc w:val="left"/>
                      <w:rPr>
                        <w:sz w:val="31"/>
                      </w:rPr>
                    </w:pPr>
                    <w:r>
                      <w:rPr>
                        <w:sz w:val="31"/>
                      </w:rPr>
                      <w:t>降低经营 提高单价和销售量</w:t>
                    </w:r>
                  </w:p>
                  <w:p>
                    <w:pPr>
                      <w:spacing w:before="71"/>
                      <w:ind w:left="46" w:right="0" w:firstLine="0"/>
                      <w:jc w:val="left"/>
                      <w:rPr>
                        <w:sz w:val="31"/>
                      </w:rPr>
                    </w:pPr>
                    <w:r>
                      <w:rPr>
                        <w:sz w:val="31"/>
                      </w:rPr>
                      <w:t>风险途径 降低固定成本和单位变动成本</w:t>
                    </w:r>
                  </w:p>
                </w:txbxContent>
              </v:textbox>
            </v:shape>
            <w10:wrap type="none"/>
          </v:group>
        </w:pict>
      </w:r>
    </w:p>
    <w:p>
      <w:pPr>
        <w:pStyle w:val="BodyText"/>
        <w:rPr>
          <w:sz w:val="20"/>
        </w:rPr>
      </w:pPr>
    </w:p>
    <w:p>
      <w:pPr>
        <w:pStyle w:val="BodyText"/>
        <w:spacing w:before="8"/>
        <w:rPr>
          <w:sz w:val="14"/>
        </w:rPr>
      </w:pPr>
    </w:p>
    <w:p>
      <w:pPr>
        <w:pStyle w:val="BodyText"/>
        <w:spacing w:before="62"/>
        <w:ind w:left="140"/>
      </w:pPr>
      <w:r>
        <w:rPr>
          <w:spacing w:val="-18"/>
        </w:rPr>
        <w:t xml:space="preserve">【例 </w:t>
      </w:r>
      <w:r>
        <w:t>5－14</w:t>
      </w:r>
      <w:r>
        <w:rPr>
          <w:spacing w:val="-24"/>
        </w:rPr>
        <w:t xml:space="preserve">】某企业生产 </w:t>
      </w:r>
      <w:r>
        <w:t>A</w:t>
      </w:r>
      <w:r>
        <w:rPr>
          <w:spacing w:val="-26"/>
        </w:rPr>
        <w:t xml:space="preserve"> 产品，固定成本 </w:t>
      </w:r>
      <w:r>
        <w:t>100</w:t>
      </w:r>
      <w:r>
        <w:rPr>
          <w:spacing w:val="-24"/>
        </w:rPr>
        <w:t xml:space="preserve"> 万元，变动成本率 </w:t>
      </w:r>
      <w:r>
        <w:rPr>
          <w:spacing w:val="-26"/>
        </w:rPr>
        <w:t>60</w:t>
      </w:r>
      <w:r>
        <w:rPr>
          <w:spacing w:val="-14"/>
        </w:rPr>
        <w:t xml:space="preserve">%，当销售额分别为 </w:t>
      </w:r>
      <w:r>
        <w:t>1000</w:t>
      </w:r>
    </w:p>
    <w:p>
      <w:pPr>
        <w:pStyle w:val="BodyText"/>
        <w:spacing w:before="71"/>
        <w:ind w:left="140"/>
      </w:pPr>
      <w:r>
        <w:drawing>
          <wp:anchor distT="0" distB="0" distL="0" distR="0" simplePos="0" relativeHeight="251683840" behindDoc="0" locked="0" layoutInCell="1" allowOverlap="1">
            <wp:simplePos x="0" y="0"/>
            <wp:positionH relativeFrom="page">
              <wp:posOffset>2114550</wp:posOffset>
            </wp:positionH>
            <wp:positionV relativeFrom="paragraph">
              <wp:posOffset>334009</wp:posOffset>
            </wp:positionV>
            <wp:extent cx="200913" cy="172212"/>
            <wp:effectExtent l="0" t="0" r="0" b="0"/>
            <wp:wrapNone/>
            <wp:docPr id="5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3.png"/>
                    <pic:cNvPicPr/>
                  </pic:nvPicPr>
                  <pic:blipFill>
                    <a:blip xmlns:r="http://schemas.openxmlformats.org/officeDocument/2006/relationships" r:embed="rId18" cstate="print"/>
                    <a:stretch>
                      <a:fillRect/>
                    </a:stretch>
                  </pic:blipFill>
                  <pic:spPr>
                    <a:xfrm>
                      <a:off x="0" y="0"/>
                      <a:ext cx="200913" cy="172212"/>
                    </a:xfrm>
                    <a:prstGeom prst="rect">
                      <a:avLst/>
                    </a:prstGeom>
                  </pic:spPr>
                </pic:pic>
              </a:graphicData>
            </a:graphic>
          </wp:anchor>
        </w:drawing>
      </w:r>
      <w:r>
        <w:t>万元，500 万元，250 万元时，经营杠杆系数分别为：</w:t>
      </w:r>
    </w:p>
    <w:p>
      <w:pPr>
        <w:spacing w:before="130"/>
        <w:ind w:left="1087" w:right="0" w:firstLine="0"/>
        <w:jc w:val="left"/>
        <w:rPr>
          <w:sz w:val="27"/>
        </w:rPr>
      </w:pPr>
      <w:r>
        <w:rPr>
          <w:sz w:val="27"/>
        </w:rPr>
        <w:t>[答疑编号 5725050508]</w:t>
      </w:r>
    </w:p>
    <w:p>
      <w:pPr>
        <w:spacing w:after="0"/>
        <w:jc w:val="left"/>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https://d.book118.com/485114212212011120</w:t>
        </w:r>
      </w:hyperlink>
    </w:p>
    <w:p>
      <w:pPr>
        <w:spacing w:after="0"/>
        <w:jc w:val="left"/>
        <w:rPr>
          <w:sz w:val="27"/>
        </w:rPr>
      </w:pPr>
    </w:p>
    <w:sectPr>
      <w:pgSz w:w="17860" w:h="25260"/>
      <w:pgMar w:top="1860" w:right="2380" w:bottom="280" w:left="256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B8639"/>
    <w:multiLevelType w:val="hybridMultilevel"/>
    <w:tmpl w:val="00000000"/>
    <w:lvl w:ilvl="0">
      <w:start w:val="1"/>
      <w:numFmt w:val="decimal"/>
      <w:lvlText w:val="%1."/>
      <w:lvlJc w:val="left"/>
      <w:pPr>
        <w:ind w:left="310" w:hanging="318"/>
        <w:jc w:val="left"/>
      </w:pPr>
      <w:rPr>
        <w:rFonts w:ascii="宋体" w:eastAsia="宋体" w:hAnsi="宋体" w:cs="宋体" w:hint="default"/>
        <w:w w:val="102"/>
        <w:sz w:val="29"/>
        <w:szCs w:val="29"/>
      </w:rPr>
    </w:lvl>
    <w:lvl w:ilvl="1">
      <w:start w:val="0"/>
      <w:numFmt w:val="bullet"/>
      <w:lvlText w:val="•"/>
      <w:lvlJc w:val="left"/>
      <w:pPr>
        <w:ind w:left="780" w:hanging="318"/>
      </w:pPr>
      <w:rPr>
        <w:rFonts w:hint="default"/>
      </w:rPr>
    </w:lvl>
    <w:lvl w:ilvl="2">
      <w:start w:val="0"/>
      <w:numFmt w:val="bullet"/>
      <w:lvlText w:val="•"/>
      <w:lvlJc w:val="left"/>
      <w:pPr>
        <w:ind w:left="1858" w:hanging="318"/>
      </w:pPr>
      <w:rPr>
        <w:rFonts w:hint="default"/>
      </w:rPr>
    </w:lvl>
    <w:lvl w:ilvl="3">
      <w:start w:val="0"/>
      <w:numFmt w:val="bullet"/>
      <w:lvlText w:val="•"/>
      <w:lvlJc w:val="left"/>
      <w:pPr>
        <w:ind w:left="2936" w:hanging="318"/>
      </w:pPr>
      <w:rPr>
        <w:rFonts w:hint="default"/>
      </w:rPr>
    </w:lvl>
    <w:lvl w:ilvl="4">
      <w:start w:val="0"/>
      <w:numFmt w:val="bullet"/>
      <w:lvlText w:val="•"/>
      <w:lvlJc w:val="left"/>
      <w:pPr>
        <w:ind w:left="4015" w:hanging="318"/>
      </w:pPr>
      <w:rPr>
        <w:rFonts w:hint="default"/>
      </w:rPr>
    </w:lvl>
    <w:lvl w:ilvl="5">
      <w:start w:val="0"/>
      <w:numFmt w:val="bullet"/>
      <w:lvlText w:val="•"/>
      <w:lvlJc w:val="left"/>
      <w:pPr>
        <w:ind w:left="5093" w:hanging="318"/>
      </w:pPr>
      <w:rPr>
        <w:rFonts w:hint="default"/>
      </w:rPr>
    </w:lvl>
    <w:lvl w:ilvl="6">
      <w:start w:val="0"/>
      <w:numFmt w:val="bullet"/>
      <w:lvlText w:val="•"/>
      <w:lvlJc w:val="left"/>
      <w:pPr>
        <w:ind w:left="6171" w:hanging="318"/>
      </w:pPr>
      <w:rPr>
        <w:rFonts w:hint="default"/>
      </w:rPr>
    </w:lvl>
    <w:lvl w:ilvl="7">
      <w:start w:val="0"/>
      <w:numFmt w:val="bullet"/>
      <w:lvlText w:val="•"/>
      <w:lvlJc w:val="left"/>
      <w:pPr>
        <w:ind w:left="7250" w:hanging="318"/>
      </w:pPr>
      <w:rPr>
        <w:rFonts w:hint="default"/>
      </w:rPr>
    </w:lvl>
    <w:lvl w:ilvl="8">
      <w:start w:val="0"/>
      <w:numFmt w:val="bullet"/>
      <w:lvlText w:val="•"/>
      <w:lvlJc w:val="left"/>
      <w:pPr>
        <w:ind w:left="8328" w:hanging="318"/>
      </w:pPr>
      <w:rPr>
        <w:rFonts w:hint="default"/>
      </w:rPr>
    </w:lvl>
  </w:abstractNum>
  <w:abstractNum w:abstractNumId="1">
    <w:nsid w:val="0CBC8868"/>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81" w:hanging="318"/>
      </w:pPr>
      <w:rPr>
        <w:rFonts w:hint="default"/>
      </w:rPr>
    </w:lvl>
    <w:lvl w:ilvl="2">
      <w:start w:val="0"/>
      <w:numFmt w:val="bullet"/>
      <w:lvlText w:val="•"/>
      <w:lvlJc w:val="left"/>
      <w:pPr>
        <w:ind w:left="3463" w:hanging="318"/>
      </w:pPr>
      <w:rPr>
        <w:rFonts w:hint="default"/>
      </w:rPr>
    </w:lvl>
    <w:lvl w:ilvl="3">
      <w:start w:val="0"/>
      <w:numFmt w:val="bullet"/>
      <w:lvlText w:val="•"/>
      <w:lvlJc w:val="left"/>
      <w:pPr>
        <w:ind w:left="4645" w:hanging="318"/>
      </w:pPr>
      <w:rPr>
        <w:rFonts w:hint="default"/>
      </w:rPr>
    </w:lvl>
    <w:lvl w:ilvl="4">
      <w:start w:val="0"/>
      <w:numFmt w:val="bullet"/>
      <w:lvlText w:val="•"/>
      <w:lvlJc w:val="left"/>
      <w:pPr>
        <w:ind w:left="5827" w:hanging="318"/>
      </w:pPr>
      <w:rPr>
        <w:rFonts w:hint="default"/>
      </w:rPr>
    </w:lvl>
    <w:lvl w:ilvl="5">
      <w:start w:val="0"/>
      <w:numFmt w:val="bullet"/>
      <w:lvlText w:val="•"/>
      <w:lvlJc w:val="left"/>
      <w:pPr>
        <w:ind w:left="7009" w:hanging="318"/>
      </w:pPr>
      <w:rPr>
        <w:rFonts w:hint="default"/>
      </w:rPr>
    </w:lvl>
    <w:lvl w:ilvl="6">
      <w:start w:val="0"/>
      <w:numFmt w:val="bullet"/>
      <w:lvlText w:val="•"/>
      <w:lvlJc w:val="left"/>
      <w:pPr>
        <w:ind w:left="8191" w:hanging="318"/>
      </w:pPr>
      <w:rPr>
        <w:rFonts w:hint="default"/>
      </w:rPr>
    </w:lvl>
    <w:lvl w:ilvl="7">
      <w:start w:val="0"/>
      <w:numFmt w:val="bullet"/>
      <w:lvlText w:val="•"/>
      <w:lvlJc w:val="left"/>
      <w:pPr>
        <w:ind w:left="9373" w:hanging="318"/>
      </w:pPr>
      <w:rPr>
        <w:rFonts w:hint="default"/>
      </w:rPr>
    </w:lvl>
    <w:lvl w:ilvl="8">
      <w:start w:val="0"/>
      <w:numFmt w:val="bullet"/>
      <w:lvlText w:val="•"/>
      <w:lvlJc w:val="left"/>
      <w:pPr>
        <w:ind w:left="10555" w:hanging="318"/>
      </w:pPr>
      <w:rPr>
        <w:rFonts w:hint="default"/>
      </w:rPr>
    </w:lvl>
  </w:abstractNum>
  <w:abstractNum w:abstractNumId="2">
    <w:nsid w:val="13FAF3D6"/>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69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67" w:hanging="790"/>
      </w:pPr>
      <w:rPr>
        <w:rFonts w:hint="default"/>
      </w:rPr>
    </w:lvl>
    <w:lvl w:ilvl="4">
      <w:start w:val="0"/>
      <w:numFmt w:val="bullet"/>
      <w:lvlText w:val="•"/>
      <w:lvlJc w:val="left"/>
      <w:pPr>
        <w:ind w:left="6103"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375" w:hanging="790"/>
      </w:pPr>
      <w:rPr>
        <w:rFonts w:hint="default"/>
      </w:rPr>
    </w:lvl>
    <w:lvl w:ilvl="7">
      <w:start w:val="0"/>
      <w:numFmt w:val="bullet"/>
      <w:lvlText w:val="•"/>
      <w:lvlJc w:val="left"/>
      <w:pPr>
        <w:ind w:left="9511" w:hanging="790"/>
      </w:pPr>
      <w:rPr>
        <w:rFonts w:hint="default"/>
      </w:rPr>
    </w:lvl>
    <w:lvl w:ilvl="8">
      <w:start w:val="0"/>
      <w:numFmt w:val="bullet"/>
      <w:lvlText w:val="•"/>
      <w:lvlJc w:val="left"/>
      <w:pPr>
        <w:ind w:left="10647" w:hanging="790"/>
      </w:pPr>
      <w:rPr>
        <w:rFonts w:hint="default"/>
      </w:rPr>
    </w:lvl>
  </w:abstractNum>
  <w:abstractNum w:abstractNumId="3">
    <w:nsid w:val="1A44C15D"/>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69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67" w:hanging="790"/>
      </w:pPr>
      <w:rPr>
        <w:rFonts w:hint="default"/>
      </w:rPr>
    </w:lvl>
    <w:lvl w:ilvl="4">
      <w:start w:val="0"/>
      <w:numFmt w:val="bullet"/>
      <w:lvlText w:val="•"/>
      <w:lvlJc w:val="left"/>
      <w:pPr>
        <w:ind w:left="6103"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375" w:hanging="790"/>
      </w:pPr>
      <w:rPr>
        <w:rFonts w:hint="default"/>
      </w:rPr>
    </w:lvl>
    <w:lvl w:ilvl="7">
      <w:start w:val="0"/>
      <w:numFmt w:val="bullet"/>
      <w:lvlText w:val="•"/>
      <w:lvlJc w:val="left"/>
      <w:pPr>
        <w:ind w:left="9511" w:hanging="790"/>
      </w:pPr>
      <w:rPr>
        <w:rFonts w:hint="default"/>
      </w:rPr>
    </w:lvl>
    <w:lvl w:ilvl="8">
      <w:start w:val="0"/>
      <w:numFmt w:val="bullet"/>
      <w:lvlText w:val="•"/>
      <w:lvlJc w:val="left"/>
      <w:pPr>
        <w:ind w:left="10647" w:hanging="790"/>
      </w:pPr>
      <w:rPr>
        <w:rFonts w:hint="default"/>
      </w:rPr>
    </w:lvl>
  </w:abstractNum>
  <w:abstractNum w:abstractNumId="4">
    <w:nsid w:val="1CE65AD3"/>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81" w:hanging="318"/>
      </w:pPr>
      <w:rPr>
        <w:rFonts w:hint="default"/>
      </w:rPr>
    </w:lvl>
    <w:lvl w:ilvl="2">
      <w:start w:val="0"/>
      <w:numFmt w:val="bullet"/>
      <w:lvlText w:val="•"/>
      <w:lvlJc w:val="left"/>
      <w:pPr>
        <w:ind w:left="3463" w:hanging="318"/>
      </w:pPr>
      <w:rPr>
        <w:rFonts w:hint="default"/>
      </w:rPr>
    </w:lvl>
    <w:lvl w:ilvl="3">
      <w:start w:val="0"/>
      <w:numFmt w:val="bullet"/>
      <w:lvlText w:val="•"/>
      <w:lvlJc w:val="left"/>
      <w:pPr>
        <w:ind w:left="4645" w:hanging="318"/>
      </w:pPr>
      <w:rPr>
        <w:rFonts w:hint="default"/>
      </w:rPr>
    </w:lvl>
    <w:lvl w:ilvl="4">
      <w:start w:val="0"/>
      <w:numFmt w:val="bullet"/>
      <w:lvlText w:val="•"/>
      <w:lvlJc w:val="left"/>
      <w:pPr>
        <w:ind w:left="5827" w:hanging="318"/>
      </w:pPr>
      <w:rPr>
        <w:rFonts w:hint="default"/>
      </w:rPr>
    </w:lvl>
    <w:lvl w:ilvl="5">
      <w:start w:val="0"/>
      <w:numFmt w:val="bullet"/>
      <w:lvlText w:val="•"/>
      <w:lvlJc w:val="left"/>
      <w:pPr>
        <w:ind w:left="7009" w:hanging="318"/>
      </w:pPr>
      <w:rPr>
        <w:rFonts w:hint="default"/>
      </w:rPr>
    </w:lvl>
    <w:lvl w:ilvl="6">
      <w:start w:val="0"/>
      <w:numFmt w:val="bullet"/>
      <w:lvlText w:val="•"/>
      <w:lvlJc w:val="left"/>
      <w:pPr>
        <w:ind w:left="8191" w:hanging="318"/>
      </w:pPr>
      <w:rPr>
        <w:rFonts w:hint="default"/>
      </w:rPr>
    </w:lvl>
    <w:lvl w:ilvl="7">
      <w:start w:val="0"/>
      <w:numFmt w:val="bullet"/>
      <w:lvlText w:val="•"/>
      <w:lvlJc w:val="left"/>
      <w:pPr>
        <w:ind w:left="9373" w:hanging="318"/>
      </w:pPr>
      <w:rPr>
        <w:rFonts w:hint="default"/>
      </w:rPr>
    </w:lvl>
    <w:lvl w:ilvl="8">
      <w:start w:val="0"/>
      <w:numFmt w:val="bullet"/>
      <w:lvlText w:val="•"/>
      <w:lvlJc w:val="left"/>
      <w:pPr>
        <w:ind w:left="10555" w:hanging="318"/>
      </w:pPr>
      <w:rPr>
        <w:rFonts w:hint="default"/>
      </w:rPr>
    </w:lvl>
  </w:abstractNum>
  <w:abstractNum w:abstractNumId="5">
    <w:nsid w:val="1EA0F5FB"/>
    <w:multiLevelType w:val="hybridMultilevel"/>
    <w:tmpl w:val="00000000"/>
    <w:lvl w:ilvl="0">
      <w:start w:val="1"/>
      <w:numFmt w:val="upperLetter"/>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81" w:hanging="318"/>
      </w:pPr>
      <w:rPr>
        <w:rFonts w:hint="default"/>
      </w:rPr>
    </w:lvl>
    <w:lvl w:ilvl="2">
      <w:start w:val="0"/>
      <w:numFmt w:val="bullet"/>
      <w:lvlText w:val="•"/>
      <w:lvlJc w:val="left"/>
      <w:pPr>
        <w:ind w:left="3463" w:hanging="318"/>
      </w:pPr>
      <w:rPr>
        <w:rFonts w:hint="default"/>
      </w:rPr>
    </w:lvl>
    <w:lvl w:ilvl="3">
      <w:start w:val="0"/>
      <w:numFmt w:val="bullet"/>
      <w:lvlText w:val="•"/>
      <w:lvlJc w:val="left"/>
      <w:pPr>
        <w:ind w:left="4645" w:hanging="318"/>
      </w:pPr>
      <w:rPr>
        <w:rFonts w:hint="default"/>
      </w:rPr>
    </w:lvl>
    <w:lvl w:ilvl="4">
      <w:start w:val="0"/>
      <w:numFmt w:val="bullet"/>
      <w:lvlText w:val="•"/>
      <w:lvlJc w:val="left"/>
      <w:pPr>
        <w:ind w:left="5827" w:hanging="318"/>
      </w:pPr>
      <w:rPr>
        <w:rFonts w:hint="default"/>
      </w:rPr>
    </w:lvl>
    <w:lvl w:ilvl="5">
      <w:start w:val="0"/>
      <w:numFmt w:val="bullet"/>
      <w:lvlText w:val="•"/>
      <w:lvlJc w:val="left"/>
      <w:pPr>
        <w:ind w:left="7009" w:hanging="318"/>
      </w:pPr>
      <w:rPr>
        <w:rFonts w:hint="default"/>
      </w:rPr>
    </w:lvl>
    <w:lvl w:ilvl="6">
      <w:start w:val="0"/>
      <w:numFmt w:val="bullet"/>
      <w:lvlText w:val="•"/>
      <w:lvlJc w:val="left"/>
      <w:pPr>
        <w:ind w:left="8191" w:hanging="318"/>
      </w:pPr>
      <w:rPr>
        <w:rFonts w:hint="default"/>
      </w:rPr>
    </w:lvl>
    <w:lvl w:ilvl="7">
      <w:start w:val="0"/>
      <w:numFmt w:val="bullet"/>
      <w:lvlText w:val="•"/>
      <w:lvlJc w:val="left"/>
      <w:pPr>
        <w:ind w:left="9373" w:hanging="318"/>
      </w:pPr>
      <w:rPr>
        <w:rFonts w:hint="default"/>
      </w:rPr>
    </w:lvl>
    <w:lvl w:ilvl="8">
      <w:start w:val="0"/>
      <w:numFmt w:val="bullet"/>
      <w:lvlText w:val="•"/>
      <w:lvlJc w:val="left"/>
      <w:pPr>
        <w:ind w:left="10555" w:hanging="318"/>
      </w:pPr>
      <w:rPr>
        <w:rFonts w:hint="default"/>
      </w:rPr>
    </w:lvl>
  </w:abstractNum>
  <w:abstractNum w:abstractNumId="6">
    <w:nsid w:val="27D03050"/>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69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67" w:hanging="790"/>
      </w:pPr>
      <w:rPr>
        <w:rFonts w:hint="default"/>
      </w:rPr>
    </w:lvl>
    <w:lvl w:ilvl="4">
      <w:start w:val="0"/>
      <w:numFmt w:val="bullet"/>
      <w:lvlText w:val="•"/>
      <w:lvlJc w:val="left"/>
      <w:pPr>
        <w:ind w:left="6103"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375" w:hanging="790"/>
      </w:pPr>
      <w:rPr>
        <w:rFonts w:hint="default"/>
      </w:rPr>
    </w:lvl>
    <w:lvl w:ilvl="7">
      <w:start w:val="0"/>
      <w:numFmt w:val="bullet"/>
      <w:lvlText w:val="•"/>
      <w:lvlJc w:val="left"/>
      <w:pPr>
        <w:ind w:left="9511" w:hanging="790"/>
      </w:pPr>
      <w:rPr>
        <w:rFonts w:hint="default"/>
      </w:rPr>
    </w:lvl>
    <w:lvl w:ilvl="8">
      <w:start w:val="0"/>
      <w:numFmt w:val="bullet"/>
      <w:lvlText w:val="•"/>
      <w:lvlJc w:val="left"/>
      <w:pPr>
        <w:ind w:left="10647" w:hanging="790"/>
      </w:pPr>
      <w:rPr>
        <w:rFonts w:hint="default"/>
      </w:rPr>
    </w:lvl>
  </w:abstractNum>
  <w:abstractNum w:abstractNumId="7">
    <w:nsid w:val="2A545DE9"/>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81" w:hanging="318"/>
      </w:pPr>
      <w:rPr>
        <w:rFonts w:hint="default"/>
      </w:rPr>
    </w:lvl>
    <w:lvl w:ilvl="2">
      <w:start w:val="0"/>
      <w:numFmt w:val="bullet"/>
      <w:lvlText w:val="•"/>
      <w:lvlJc w:val="left"/>
      <w:pPr>
        <w:ind w:left="3463" w:hanging="318"/>
      </w:pPr>
      <w:rPr>
        <w:rFonts w:hint="default"/>
      </w:rPr>
    </w:lvl>
    <w:lvl w:ilvl="3">
      <w:start w:val="0"/>
      <w:numFmt w:val="bullet"/>
      <w:lvlText w:val="•"/>
      <w:lvlJc w:val="left"/>
      <w:pPr>
        <w:ind w:left="4645" w:hanging="318"/>
      </w:pPr>
      <w:rPr>
        <w:rFonts w:hint="default"/>
      </w:rPr>
    </w:lvl>
    <w:lvl w:ilvl="4">
      <w:start w:val="0"/>
      <w:numFmt w:val="bullet"/>
      <w:lvlText w:val="•"/>
      <w:lvlJc w:val="left"/>
      <w:pPr>
        <w:ind w:left="5827" w:hanging="318"/>
      </w:pPr>
      <w:rPr>
        <w:rFonts w:hint="default"/>
      </w:rPr>
    </w:lvl>
    <w:lvl w:ilvl="5">
      <w:start w:val="0"/>
      <w:numFmt w:val="bullet"/>
      <w:lvlText w:val="•"/>
      <w:lvlJc w:val="left"/>
      <w:pPr>
        <w:ind w:left="7009" w:hanging="318"/>
      </w:pPr>
      <w:rPr>
        <w:rFonts w:hint="default"/>
      </w:rPr>
    </w:lvl>
    <w:lvl w:ilvl="6">
      <w:start w:val="0"/>
      <w:numFmt w:val="bullet"/>
      <w:lvlText w:val="•"/>
      <w:lvlJc w:val="left"/>
      <w:pPr>
        <w:ind w:left="8191" w:hanging="318"/>
      </w:pPr>
      <w:rPr>
        <w:rFonts w:hint="default"/>
      </w:rPr>
    </w:lvl>
    <w:lvl w:ilvl="7">
      <w:start w:val="0"/>
      <w:numFmt w:val="bullet"/>
      <w:lvlText w:val="•"/>
      <w:lvlJc w:val="left"/>
      <w:pPr>
        <w:ind w:left="9373" w:hanging="318"/>
      </w:pPr>
      <w:rPr>
        <w:rFonts w:hint="default"/>
      </w:rPr>
    </w:lvl>
    <w:lvl w:ilvl="8">
      <w:start w:val="0"/>
      <w:numFmt w:val="bullet"/>
      <w:lvlText w:val="•"/>
      <w:lvlJc w:val="left"/>
      <w:pPr>
        <w:ind w:left="10555" w:hanging="318"/>
      </w:pPr>
      <w:rPr>
        <w:rFonts w:hint="default"/>
      </w:rPr>
    </w:lvl>
  </w:abstractNum>
  <w:abstractNum w:abstractNumId="8">
    <w:nsid w:val="34F6D7D9"/>
    <w:multiLevelType w:val="hybridMultilevel"/>
    <w:tmpl w:val="00000000"/>
    <w:lvl w:ilvl="0">
      <w:start w:val="1"/>
      <w:numFmt w:val="decimal"/>
      <w:lvlText w:val="（%1）"/>
      <w:lvlJc w:val="left"/>
      <w:pPr>
        <w:ind w:left="818" w:hanging="794"/>
        <w:jc w:val="left"/>
      </w:pPr>
      <w:rPr>
        <w:rFonts w:ascii="宋体" w:eastAsia="宋体" w:hAnsi="宋体" w:cs="宋体" w:hint="default"/>
        <w:w w:val="102"/>
        <w:sz w:val="29"/>
        <w:szCs w:val="29"/>
      </w:rPr>
    </w:lvl>
    <w:lvl w:ilvl="1">
      <w:start w:val="1"/>
      <w:numFmt w:val="decimal"/>
      <w:lvlText w:val="%2."/>
      <w:lvlJc w:val="left"/>
      <w:pPr>
        <w:ind w:left="1092" w:hanging="318"/>
        <w:jc w:val="left"/>
      </w:pPr>
      <w:rPr>
        <w:rFonts w:ascii="宋体" w:eastAsia="宋体" w:hAnsi="宋体" w:cs="宋体" w:hint="default"/>
        <w:spacing w:val="-4"/>
        <w:w w:val="102"/>
        <w:sz w:val="29"/>
        <w:szCs w:val="29"/>
      </w:rPr>
    </w:lvl>
    <w:lvl w:ilvl="2">
      <w:start w:val="0"/>
      <w:numFmt w:val="bullet"/>
      <w:lvlText w:val="•"/>
      <w:lvlJc w:val="left"/>
      <w:pPr>
        <w:ind w:left="1971" w:hanging="318"/>
      </w:pPr>
      <w:rPr>
        <w:rFonts w:hint="default"/>
      </w:rPr>
    </w:lvl>
    <w:lvl w:ilvl="3">
      <w:start w:val="0"/>
      <w:numFmt w:val="bullet"/>
      <w:lvlText w:val="•"/>
      <w:lvlJc w:val="left"/>
      <w:pPr>
        <w:ind w:left="2843" w:hanging="318"/>
      </w:pPr>
      <w:rPr>
        <w:rFonts w:hint="default"/>
      </w:rPr>
    </w:lvl>
    <w:lvl w:ilvl="4">
      <w:start w:val="0"/>
      <w:numFmt w:val="bullet"/>
      <w:lvlText w:val="•"/>
      <w:lvlJc w:val="left"/>
      <w:pPr>
        <w:ind w:left="3714" w:hanging="318"/>
      </w:pPr>
      <w:rPr>
        <w:rFonts w:hint="default"/>
      </w:rPr>
    </w:lvl>
    <w:lvl w:ilvl="5">
      <w:start w:val="0"/>
      <w:numFmt w:val="bullet"/>
      <w:lvlText w:val="•"/>
      <w:lvlJc w:val="left"/>
      <w:pPr>
        <w:ind w:left="4586" w:hanging="318"/>
      </w:pPr>
      <w:rPr>
        <w:rFonts w:hint="default"/>
      </w:rPr>
    </w:lvl>
    <w:lvl w:ilvl="6">
      <w:start w:val="0"/>
      <w:numFmt w:val="bullet"/>
      <w:lvlText w:val="•"/>
      <w:lvlJc w:val="left"/>
      <w:pPr>
        <w:ind w:left="5458" w:hanging="318"/>
      </w:pPr>
      <w:rPr>
        <w:rFonts w:hint="default"/>
      </w:rPr>
    </w:lvl>
    <w:lvl w:ilvl="7">
      <w:start w:val="0"/>
      <w:numFmt w:val="bullet"/>
      <w:lvlText w:val="•"/>
      <w:lvlJc w:val="left"/>
      <w:pPr>
        <w:ind w:left="6329" w:hanging="318"/>
      </w:pPr>
      <w:rPr>
        <w:rFonts w:hint="default"/>
      </w:rPr>
    </w:lvl>
    <w:lvl w:ilvl="8">
      <w:start w:val="0"/>
      <w:numFmt w:val="bullet"/>
      <w:lvlText w:val="•"/>
      <w:lvlJc w:val="left"/>
      <w:pPr>
        <w:ind w:left="7201" w:hanging="318"/>
      </w:pPr>
      <w:rPr>
        <w:rFonts w:hint="default"/>
      </w:rPr>
    </w:lvl>
  </w:abstractNum>
  <w:abstractNum w:abstractNumId="9">
    <w:nsid w:val="40095CA7"/>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69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67" w:hanging="790"/>
      </w:pPr>
      <w:rPr>
        <w:rFonts w:hint="default"/>
      </w:rPr>
    </w:lvl>
    <w:lvl w:ilvl="4">
      <w:start w:val="0"/>
      <w:numFmt w:val="bullet"/>
      <w:lvlText w:val="•"/>
      <w:lvlJc w:val="left"/>
      <w:pPr>
        <w:ind w:left="6103"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375" w:hanging="790"/>
      </w:pPr>
      <w:rPr>
        <w:rFonts w:hint="default"/>
      </w:rPr>
    </w:lvl>
    <w:lvl w:ilvl="7">
      <w:start w:val="0"/>
      <w:numFmt w:val="bullet"/>
      <w:lvlText w:val="•"/>
      <w:lvlJc w:val="left"/>
      <w:pPr>
        <w:ind w:left="9511" w:hanging="790"/>
      </w:pPr>
      <w:rPr>
        <w:rFonts w:hint="default"/>
      </w:rPr>
    </w:lvl>
    <w:lvl w:ilvl="8">
      <w:start w:val="0"/>
      <w:numFmt w:val="bullet"/>
      <w:lvlText w:val="•"/>
      <w:lvlJc w:val="left"/>
      <w:pPr>
        <w:ind w:left="10647" w:hanging="790"/>
      </w:pPr>
      <w:rPr>
        <w:rFonts w:hint="default"/>
      </w:rPr>
    </w:lvl>
  </w:abstractNum>
  <w:abstractNum w:abstractNumId="10">
    <w:nsid w:val="45D397B6"/>
    <w:multiLevelType w:val="hybridMultilevel"/>
    <w:tmpl w:val="00000000"/>
    <w:lvl w:ilvl="0">
      <w:start w:val="1"/>
      <w:numFmt w:val="decimal"/>
      <w:lvlText w:val="%1."/>
      <w:lvlJc w:val="left"/>
      <w:pPr>
        <w:ind w:left="1092" w:hanging="318"/>
        <w:jc w:val="left"/>
      </w:pPr>
      <w:rPr>
        <w:rFonts w:ascii="宋体" w:eastAsia="宋体" w:hAnsi="宋体" w:cs="宋体" w:hint="default"/>
        <w:spacing w:val="-4"/>
        <w:w w:val="102"/>
        <w:sz w:val="29"/>
        <w:szCs w:val="29"/>
      </w:rPr>
    </w:lvl>
    <w:lvl w:ilvl="1">
      <w:start w:val="1"/>
      <w:numFmt w:val="upperLetter"/>
      <w:lvlText w:val="%2."/>
      <w:lvlJc w:val="left"/>
      <w:pPr>
        <w:ind w:left="1092" w:hanging="318"/>
        <w:jc w:val="left"/>
      </w:pPr>
      <w:rPr>
        <w:rFonts w:ascii="宋体" w:eastAsia="宋体" w:hAnsi="宋体" w:cs="宋体" w:hint="default"/>
        <w:spacing w:val="-4"/>
        <w:w w:val="102"/>
        <w:sz w:val="29"/>
        <w:szCs w:val="29"/>
      </w:rPr>
    </w:lvl>
    <w:lvl w:ilvl="2">
      <w:start w:val="0"/>
      <w:numFmt w:val="bullet"/>
      <w:lvlText w:val="•"/>
      <w:lvlJc w:val="left"/>
      <w:pPr>
        <w:ind w:left="3463" w:hanging="318"/>
      </w:pPr>
      <w:rPr>
        <w:rFonts w:hint="default"/>
      </w:rPr>
    </w:lvl>
    <w:lvl w:ilvl="3">
      <w:start w:val="0"/>
      <w:numFmt w:val="bullet"/>
      <w:lvlText w:val="•"/>
      <w:lvlJc w:val="left"/>
      <w:pPr>
        <w:ind w:left="4645" w:hanging="318"/>
      </w:pPr>
      <w:rPr>
        <w:rFonts w:hint="default"/>
      </w:rPr>
    </w:lvl>
    <w:lvl w:ilvl="4">
      <w:start w:val="0"/>
      <w:numFmt w:val="bullet"/>
      <w:lvlText w:val="•"/>
      <w:lvlJc w:val="left"/>
      <w:pPr>
        <w:ind w:left="5827" w:hanging="318"/>
      </w:pPr>
      <w:rPr>
        <w:rFonts w:hint="default"/>
      </w:rPr>
    </w:lvl>
    <w:lvl w:ilvl="5">
      <w:start w:val="0"/>
      <w:numFmt w:val="bullet"/>
      <w:lvlText w:val="•"/>
      <w:lvlJc w:val="left"/>
      <w:pPr>
        <w:ind w:left="7009" w:hanging="318"/>
      </w:pPr>
      <w:rPr>
        <w:rFonts w:hint="default"/>
      </w:rPr>
    </w:lvl>
    <w:lvl w:ilvl="6">
      <w:start w:val="0"/>
      <w:numFmt w:val="bullet"/>
      <w:lvlText w:val="•"/>
      <w:lvlJc w:val="left"/>
      <w:pPr>
        <w:ind w:left="8191" w:hanging="318"/>
      </w:pPr>
      <w:rPr>
        <w:rFonts w:hint="default"/>
      </w:rPr>
    </w:lvl>
    <w:lvl w:ilvl="7">
      <w:start w:val="0"/>
      <w:numFmt w:val="bullet"/>
      <w:lvlText w:val="•"/>
      <w:lvlJc w:val="left"/>
      <w:pPr>
        <w:ind w:left="9373" w:hanging="318"/>
      </w:pPr>
      <w:rPr>
        <w:rFonts w:hint="default"/>
      </w:rPr>
    </w:lvl>
    <w:lvl w:ilvl="8">
      <w:start w:val="0"/>
      <w:numFmt w:val="bullet"/>
      <w:lvlText w:val="•"/>
      <w:lvlJc w:val="left"/>
      <w:pPr>
        <w:ind w:left="10555" w:hanging="318"/>
      </w:pPr>
      <w:rPr>
        <w:rFonts w:hint="default"/>
      </w:rPr>
    </w:lvl>
  </w:abstractNum>
  <w:abstractNum w:abstractNumId="11">
    <w:nsid w:val="495FE3B2"/>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69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67" w:hanging="790"/>
      </w:pPr>
      <w:rPr>
        <w:rFonts w:hint="default"/>
      </w:rPr>
    </w:lvl>
    <w:lvl w:ilvl="4">
      <w:start w:val="0"/>
      <w:numFmt w:val="bullet"/>
      <w:lvlText w:val="•"/>
      <w:lvlJc w:val="left"/>
      <w:pPr>
        <w:ind w:left="6103"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375" w:hanging="790"/>
      </w:pPr>
      <w:rPr>
        <w:rFonts w:hint="default"/>
      </w:rPr>
    </w:lvl>
    <w:lvl w:ilvl="7">
      <w:start w:val="0"/>
      <w:numFmt w:val="bullet"/>
      <w:lvlText w:val="•"/>
      <w:lvlJc w:val="left"/>
      <w:pPr>
        <w:ind w:left="9511" w:hanging="790"/>
      </w:pPr>
      <w:rPr>
        <w:rFonts w:hint="default"/>
      </w:rPr>
    </w:lvl>
    <w:lvl w:ilvl="8">
      <w:start w:val="0"/>
      <w:numFmt w:val="bullet"/>
      <w:lvlText w:val="•"/>
      <w:lvlJc w:val="left"/>
      <w:pPr>
        <w:ind w:left="10647" w:hanging="790"/>
      </w:pPr>
      <w:rPr>
        <w:rFonts w:hint="default"/>
      </w:rPr>
    </w:lvl>
  </w:abstractNum>
  <w:abstractNum w:abstractNumId="12">
    <w:nsid w:val="4B85C049"/>
    <w:multiLevelType w:val="hybridMultilevel"/>
    <w:tmpl w:val="00000000"/>
    <w:lvl w:ilvl="0">
      <w:start w:val="1"/>
      <w:numFmt w:val="upperLetter"/>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81" w:hanging="318"/>
      </w:pPr>
      <w:rPr>
        <w:rFonts w:hint="default"/>
      </w:rPr>
    </w:lvl>
    <w:lvl w:ilvl="2">
      <w:start w:val="0"/>
      <w:numFmt w:val="bullet"/>
      <w:lvlText w:val="•"/>
      <w:lvlJc w:val="left"/>
      <w:pPr>
        <w:ind w:left="3463" w:hanging="318"/>
      </w:pPr>
      <w:rPr>
        <w:rFonts w:hint="default"/>
      </w:rPr>
    </w:lvl>
    <w:lvl w:ilvl="3">
      <w:start w:val="0"/>
      <w:numFmt w:val="bullet"/>
      <w:lvlText w:val="•"/>
      <w:lvlJc w:val="left"/>
      <w:pPr>
        <w:ind w:left="4645" w:hanging="318"/>
      </w:pPr>
      <w:rPr>
        <w:rFonts w:hint="default"/>
      </w:rPr>
    </w:lvl>
    <w:lvl w:ilvl="4">
      <w:start w:val="0"/>
      <w:numFmt w:val="bullet"/>
      <w:lvlText w:val="•"/>
      <w:lvlJc w:val="left"/>
      <w:pPr>
        <w:ind w:left="5827" w:hanging="318"/>
      </w:pPr>
      <w:rPr>
        <w:rFonts w:hint="default"/>
      </w:rPr>
    </w:lvl>
    <w:lvl w:ilvl="5">
      <w:start w:val="0"/>
      <w:numFmt w:val="bullet"/>
      <w:lvlText w:val="•"/>
      <w:lvlJc w:val="left"/>
      <w:pPr>
        <w:ind w:left="7009" w:hanging="318"/>
      </w:pPr>
      <w:rPr>
        <w:rFonts w:hint="default"/>
      </w:rPr>
    </w:lvl>
    <w:lvl w:ilvl="6">
      <w:start w:val="0"/>
      <w:numFmt w:val="bullet"/>
      <w:lvlText w:val="•"/>
      <w:lvlJc w:val="left"/>
      <w:pPr>
        <w:ind w:left="8191" w:hanging="318"/>
      </w:pPr>
      <w:rPr>
        <w:rFonts w:hint="default"/>
      </w:rPr>
    </w:lvl>
    <w:lvl w:ilvl="7">
      <w:start w:val="0"/>
      <w:numFmt w:val="bullet"/>
      <w:lvlText w:val="•"/>
      <w:lvlJc w:val="left"/>
      <w:pPr>
        <w:ind w:left="9373" w:hanging="318"/>
      </w:pPr>
      <w:rPr>
        <w:rFonts w:hint="default"/>
      </w:rPr>
    </w:lvl>
    <w:lvl w:ilvl="8">
      <w:start w:val="0"/>
      <w:numFmt w:val="bullet"/>
      <w:lvlText w:val="•"/>
      <w:lvlJc w:val="left"/>
      <w:pPr>
        <w:ind w:left="10555" w:hanging="318"/>
      </w:pPr>
      <w:rPr>
        <w:rFonts w:hint="default"/>
      </w:rPr>
    </w:lvl>
  </w:abstractNum>
  <w:abstractNum w:abstractNumId="13">
    <w:nsid w:val="4EDBFF31"/>
    <w:multiLevelType w:val="hybridMultilevel"/>
    <w:tmpl w:val="00000000"/>
    <w:lvl w:ilvl="0">
      <w:start w:val="4"/>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1560" w:hanging="790"/>
      </w:pPr>
      <w:rPr>
        <w:rFonts w:hint="default"/>
      </w:rPr>
    </w:lvl>
    <w:lvl w:ilvl="2">
      <w:start w:val="0"/>
      <w:numFmt w:val="bullet"/>
      <w:lvlText w:val="•"/>
      <w:lvlJc w:val="left"/>
      <w:pPr>
        <w:ind w:left="2822" w:hanging="790"/>
      </w:pPr>
      <w:rPr>
        <w:rFonts w:hint="default"/>
      </w:rPr>
    </w:lvl>
    <w:lvl w:ilvl="3">
      <w:start w:val="0"/>
      <w:numFmt w:val="bullet"/>
      <w:lvlText w:val="•"/>
      <w:lvlJc w:val="left"/>
      <w:pPr>
        <w:ind w:left="4084" w:hanging="790"/>
      </w:pPr>
      <w:rPr>
        <w:rFonts w:hint="default"/>
      </w:rPr>
    </w:lvl>
    <w:lvl w:ilvl="4">
      <w:start w:val="0"/>
      <w:numFmt w:val="bullet"/>
      <w:lvlText w:val="•"/>
      <w:lvlJc w:val="left"/>
      <w:pPr>
        <w:ind w:left="5346" w:hanging="790"/>
      </w:pPr>
      <w:rPr>
        <w:rFonts w:hint="default"/>
      </w:rPr>
    </w:lvl>
    <w:lvl w:ilvl="5">
      <w:start w:val="0"/>
      <w:numFmt w:val="bullet"/>
      <w:lvlText w:val="•"/>
      <w:lvlJc w:val="left"/>
      <w:pPr>
        <w:ind w:left="6608" w:hanging="790"/>
      </w:pPr>
      <w:rPr>
        <w:rFonts w:hint="default"/>
      </w:rPr>
    </w:lvl>
    <w:lvl w:ilvl="6">
      <w:start w:val="0"/>
      <w:numFmt w:val="bullet"/>
      <w:lvlText w:val="•"/>
      <w:lvlJc w:val="left"/>
      <w:pPr>
        <w:ind w:left="7870" w:hanging="790"/>
      </w:pPr>
      <w:rPr>
        <w:rFonts w:hint="default"/>
      </w:rPr>
    </w:lvl>
    <w:lvl w:ilvl="7">
      <w:start w:val="0"/>
      <w:numFmt w:val="bullet"/>
      <w:lvlText w:val="•"/>
      <w:lvlJc w:val="left"/>
      <w:pPr>
        <w:ind w:left="9133" w:hanging="790"/>
      </w:pPr>
      <w:rPr>
        <w:rFonts w:hint="default"/>
      </w:rPr>
    </w:lvl>
    <w:lvl w:ilvl="8">
      <w:start w:val="0"/>
      <w:numFmt w:val="bullet"/>
      <w:lvlText w:val="•"/>
      <w:lvlJc w:val="left"/>
      <w:pPr>
        <w:ind w:left="10395" w:hanging="790"/>
      </w:pPr>
      <w:rPr>
        <w:rFonts w:hint="default"/>
      </w:rPr>
    </w:lvl>
  </w:abstractNum>
  <w:abstractNum w:abstractNumId="14">
    <w:nsid w:val="5227538A"/>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69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67" w:hanging="790"/>
      </w:pPr>
      <w:rPr>
        <w:rFonts w:hint="default"/>
      </w:rPr>
    </w:lvl>
    <w:lvl w:ilvl="4">
      <w:start w:val="0"/>
      <w:numFmt w:val="bullet"/>
      <w:lvlText w:val="•"/>
      <w:lvlJc w:val="left"/>
      <w:pPr>
        <w:ind w:left="6103"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375" w:hanging="790"/>
      </w:pPr>
      <w:rPr>
        <w:rFonts w:hint="default"/>
      </w:rPr>
    </w:lvl>
    <w:lvl w:ilvl="7">
      <w:start w:val="0"/>
      <w:numFmt w:val="bullet"/>
      <w:lvlText w:val="•"/>
      <w:lvlJc w:val="left"/>
      <w:pPr>
        <w:ind w:left="9511" w:hanging="790"/>
      </w:pPr>
      <w:rPr>
        <w:rFonts w:hint="default"/>
      </w:rPr>
    </w:lvl>
    <w:lvl w:ilvl="8">
      <w:start w:val="0"/>
      <w:numFmt w:val="bullet"/>
      <w:lvlText w:val="•"/>
      <w:lvlJc w:val="left"/>
      <w:pPr>
        <w:ind w:left="10647" w:hanging="790"/>
      </w:pPr>
      <w:rPr>
        <w:rFonts w:hint="default"/>
      </w:rPr>
    </w:lvl>
  </w:abstractNum>
  <w:abstractNum w:abstractNumId="15">
    <w:nsid w:val="5354B371"/>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69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67" w:hanging="790"/>
      </w:pPr>
      <w:rPr>
        <w:rFonts w:hint="default"/>
      </w:rPr>
    </w:lvl>
    <w:lvl w:ilvl="4">
      <w:start w:val="0"/>
      <w:numFmt w:val="bullet"/>
      <w:lvlText w:val="•"/>
      <w:lvlJc w:val="left"/>
      <w:pPr>
        <w:ind w:left="6103"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375" w:hanging="790"/>
      </w:pPr>
      <w:rPr>
        <w:rFonts w:hint="default"/>
      </w:rPr>
    </w:lvl>
    <w:lvl w:ilvl="7">
      <w:start w:val="0"/>
      <w:numFmt w:val="bullet"/>
      <w:lvlText w:val="•"/>
      <w:lvlJc w:val="left"/>
      <w:pPr>
        <w:ind w:left="9511" w:hanging="790"/>
      </w:pPr>
      <w:rPr>
        <w:rFonts w:hint="default"/>
      </w:rPr>
    </w:lvl>
    <w:lvl w:ilvl="8">
      <w:start w:val="0"/>
      <w:numFmt w:val="bullet"/>
      <w:lvlText w:val="•"/>
      <w:lvlJc w:val="left"/>
      <w:pPr>
        <w:ind w:left="10647" w:hanging="790"/>
      </w:pPr>
      <w:rPr>
        <w:rFonts w:hint="default"/>
      </w:rPr>
    </w:lvl>
  </w:abstractNum>
  <w:abstractNum w:abstractNumId="16">
    <w:nsid w:val="58C29C73"/>
    <w:multiLevelType w:val="hybridMultilevel"/>
    <w:tmpl w:val="00000000"/>
    <w:lvl w:ilvl="0">
      <w:start w:val="1"/>
      <w:numFmt w:val="decimal"/>
      <w:lvlText w:val="（%1）"/>
      <w:lvlJc w:val="left"/>
      <w:pPr>
        <w:ind w:left="2089" w:hanging="793"/>
        <w:jc w:val="left"/>
      </w:pPr>
      <w:rPr>
        <w:rFonts w:ascii="宋体" w:eastAsia="宋体" w:hAnsi="宋体" w:cs="宋体" w:hint="default"/>
        <w:w w:val="102"/>
        <w:sz w:val="29"/>
        <w:szCs w:val="29"/>
      </w:rPr>
    </w:lvl>
    <w:lvl w:ilvl="1">
      <w:start w:val="0"/>
      <w:numFmt w:val="bullet"/>
      <w:lvlText w:val="•"/>
      <w:lvlJc w:val="left"/>
      <w:pPr>
        <w:ind w:left="3015" w:hanging="793"/>
      </w:pPr>
      <w:rPr>
        <w:rFonts w:hint="default"/>
      </w:rPr>
    </w:lvl>
    <w:lvl w:ilvl="2">
      <w:start w:val="0"/>
      <w:numFmt w:val="bullet"/>
      <w:lvlText w:val="•"/>
      <w:lvlJc w:val="left"/>
      <w:pPr>
        <w:ind w:left="3950" w:hanging="793"/>
      </w:pPr>
      <w:rPr>
        <w:rFonts w:hint="default"/>
      </w:rPr>
    </w:lvl>
    <w:lvl w:ilvl="3">
      <w:start w:val="0"/>
      <w:numFmt w:val="bullet"/>
      <w:lvlText w:val="•"/>
      <w:lvlJc w:val="left"/>
      <w:pPr>
        <w:ind w:left="4886" w:hanging="793"/>
      </w:pPr>
      <w:rPr>
        <w:rFonts w:hint="default"/>
      </w:rPr>
    </w:lvl>
    <w:lvl w:ilvl="4">
      <w:start w:val="0"/>
      <w:numFmt w:val="bullet"/>
      <w:lvlText w:val="•"/>
      <w:lvlJc w:val="left"/>
      <w:pPr>
        <w:ind w:left="5821" w:hanging="793"/>
      </w:pPr>
      <w:rPr>
        <w:rFonts w:hint="default"/>
      </w:rPr>
    </w:lvl>
    <w:lvl w:ilvl="5">
      <w:start w:val="0"/>
      <w:numFmt w:val="bullet"/>
      <w:lvlText w:val="•"/>
      <w:lvlJc w:val="left"/>
      <w:pPr>
        <w:ind w:left="6756" w:hanging="793"/>
      </w:pPr>
      <w:rPr>
        <w:rFonts w:hint="default"/>
      </w:rPr>
    </w:lvl>
    <w:lvl w:ilvl="6">
      <w:start w:val="0"/>
      <w:numFmt w:val="bullet"/>
      <w:lvlText w:val="•"/>
      <w:lvlJc w:val="left"/>
      <w:pPr>
        <w:ind w:left="7692" w:hanging="793"/>
      </w:pPr>
      <w:rPr>
        <w:rFonts w:hint="default"/>
      </w:rPr>
    </w:lvl>
    <w:lvl w:ilvl="7">
      <w:start w:val="0"/>
      <w:numFmt w:val="bullet"/>
      <w:lvlText w:val="•"/>
      <w:lvlJc w:val="left"/>
      <w:pPr>
        <w:ind w:left="8627" w:hanging="793"/>
      </w:pPr>
      <w:rPr>
        <w:rFonts w:hint="default"/>
      </w:rPr>
    </w:lvl>
    <w:lvl w:ilvl="8">
      <w:start w:val="0"/>
      <w:numFmt w:val="bullet"/>
      <w:lvlText w:val="•"/>
      <w:lvlJc w:val="left"/>
      <w:pPr>
        <w:ind w:left="9563" w:hanging="793"/>
      </w:pPr>
      <w:rPr>
        <w:rFonts w:hint="default"/>
      </w:rPr>
    </w:lvl>
  </w:abstractNum>
  <w:abstractNum w:abstractNumId="17">
    <w:nsid w:val="5FC8B3C2"/>
    <w:multiLevelType w:val="hybridMultilevel"/>
    <w:tmpl w:val="00000000"/>
    <w:lvl w:ilvl="0">
      <w:start w:val="2"/>
      <w:numFmt w:val="decimal"/>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81" w:hanging="318"/>
      </w:pPr>
      <w:rPr>
        <w:rFonts w:hint="default"/>
      </w:rPr>
    </w:lvl>
    <w:lvl w:ilvl="2">
      <w:start w:val="0"/>
      <w:numFmt w:val="bullet"/>
      <w:lvlText w:val="•"/>
      <w:lvlJc w:val="left"/>
      <w:pPr>
        <w:ind w:left="3463" w:hanging="318"/>
      </w:pPr>
      <w:rPr>
        <w:rFonts w:hint="default"/>
      </w:rPr>
    </w:lvl>
    <w:lvl w:ilvl="3">
      <w:start w:val="0"/>
      <w:numFmt w:val="bullet"/>
      <w:lvlText w:val="•"/>
      <w:lvlJc w:val="left"/>
      <w:pPr>
        <w:ind w:left="4645" w:hanging="318"/>
      </w:pPr>
      <w:rPr>
        <w:rFonts w:hint="default"/>
      </w:rPr>
    </w:lvl>
    <w:lvl w:ilvl="4">
      <w:start w:val="0"/>
      <w:numFmt w:val="bullet"/>
      <w:lvlText w:val="•"/>
      <w:lvlJc w:val="left"/>
      <w:pPr>
        <w:ind w:left="5827" w:hanging="318"/>
      </w:pPr>
      <w:rPr>
        <w:rFonts w:hint="default"/>
      </w:rPr>
    </w:lvl>
    <w:lvl w:ilvl="5">
      <w:start w:val="0"/>
      <w:numFmt w:val="bullet"/>
      <w:lvlText w:val="•"/>
      <w:lvlJc w:val="left"/>
      <w:pPr>
        <w:ind w:left="7009" w:hanging="318"/>
      </w:pPr>
      <w:rPr>
        <w:rFonts w:hint="default"/>
      </w:rPr>
    </w:lvl>
    <w:lvl w:ilvl="6">
      <w:start w:val="0"/>
      <w:numFmt w:val="bullet"/>
      <w:lvlText w:val="•"/>
      <w:lvlJc w:val="left"/>
      <w:pPr>
        <w:ind w:left="8191" w:hanging="318"/>
      </w:pPr>
      <w:rPr>
        <w:rFonts w:hint="default"/>
      </w:rPr>
    </w:lvl>
    <w:lvl w:ilvl="7">
      <w:start w:val="0"/>
      <w:numFmt w:val="bullet"/>
      <w:lvlText w:val="•"/>
      <w:lvlJc w:val="left"/>
      <w:pPr>
        <w:ind w:left="9373" w:hanging="318"/>
      </w:pPr>
      <w:rPr>
        <w:rFonts w:hint="default"/>
      </w:rPr>
    </w:lvl>
    <w:lvl w:ilvl="8">
      <w:start w:val="0"/>
      <w:numFmt w:val="bullet"/>
      <w:lvlText w:val="•"/>
      <w:lvlJc w:val="left"/>
      <w:pPr>
        <w:ind w:left="10555" w:hanging="318"/>
      </w:pPr>
      <w:rPr>
        <w:rFonts w:hint="default"/>
      </w:rPr>
    </w:lvl>
  </w:abstractNum>
  <w:abstractNum w:abstractNumId="18">
    <w:nsid w:val="63568B04"/>
    <w:multiLevelType w:val="hybridMultilevel"/>
    <w:tmpl w:val="00000000"/>
    <w:lvl w:ilvl="0">
      <w:start w:val="1"/>
      <w:numFmt w:val="decimal"/>
      <w:lvlText w:val="（%1）"/>
      <w:lvlJc w:val="left"/>
      <w:pPr>
        <w:ind w:left="1134" w:hanging="790"/>
        <w:jc w:val="left"/>
      </w:pPr>
      <w:rPr>
        <w:rFonts w:ascii="宋体" w:eastAsia="宋体" w:hAnsi="宋体" w:cs="宋体" w:hint="default"/>
        <w:spacing w:val="-4"/>
        <w:w w:val="102"/>
        <w:sz w:val="29"/>
        <w:szCs w:val="29"/>
      </w:rPr>
    </w:lvl>
    <w:lvl w:ilvl="1">
      <w:start w:val="0"/>
      <w:numFmt w:val="bullet"/>
      <w:lvlText w:val="•"/>
      <w:lvlJc w:val="left"/>
      <w:pPr>
        <w:ind w:left="2317" w:hanging="790"/>
      </w:pPr>
      <w:rPr>
        <w:rFonts w:hint="default"/>
      </w:rPr>
    </w:lvl>
    <w:lvl w:ilvl="2">
      <w:start w:val="0"/>
      <w:numFmt w:val="bullet"/>
      <w:lvlText w:val="•"/>
      <w:lvlJc w:val="left"/>
      <w:pPr>
        <w:ind w:left="3495" w:hanging="790"/>
      </w:pPr>
      <w:rPr>
        <w:rFonts w:hint="default"/>
      </w:rPr>
    </w:lvl>
    <w:lvl w:ilvl="3">
      <w:start w:val="0"/>
      <w:numFmt w:val="bullet"/>
      <w:lvlText w:val="•"/>
      <w:lvlJc w:val="left"/>
      <w:pPr>
        <w:ind w:left="4673" w:hanging="790"/>
      </w:pPr>
      <w:rPr>
        <w:rFonts w:hint="default"/>
      </w:rPr>
    </w:lvl>
    <w:lvl w:ilvl="4">
      <w:start w:val="0"/>
      <w:numFmt w:val="bullet"/>
      <w:lvlText w:val="•"/>
      <w:lvlJc w:val="left"/>
      <w:pPr>
        <w:ind w:left="5851" w:hanging="790"/>
      </w:pPr>
      <w:rPr>
        <w:rFonts w:hint="default"/>
      </w:rPr>
    </w:lvl>
    <w:lvl w:ilvl="5">
      <w:start w:val="0"/>
      <w:numFmt w:val="bullet"/>
      <w:lvlText w:val="•"/>
      <w:lvlJc w:val="left"/>
      <w:pPr>
        <w:ind w:left="7029" w:hanging="790"/>
      </w:pPr>
      <w:rPr>
        <w:rFonts w:hint="default"/>
      </w:rPr>
    </w:lvl>
    <w:lvl w:ilvl="6">
      <w:start w:val="0"/>
      <w:numFmt w:val="bullet"/>
      <w:lvlText w:val="•"/>
      <w:lvlJc w:val="left"/>
      <w:pPr>
        <w:ind w:left="8207" w:hanging="790"/>
      </w:pPr>
      <w:rPr>
        <w:rFonts w:hint="default"/>
      </w:rPr>
    </w:lvl>
    <w:lvl w:ilvl="7">
      <w:start w:val="0"/>
      <w:numFmt w:val="bullet"/>
      <w:lvlText w:val="•"/>
      <w:lvlJc w:val="left"/>
      <w:pPr>
        <w:ind w:left="9385" w:hanging="790"/>
      </w:pPr>
      <w:rPr>
        <w:rFonts w:hint="default"/>
      </w:rPr>
    </w:lvl>
    <w:lvl w:ilvl="8">
      <w:start w:val="0"/>
      <w:numFmt w:val="bullet"/>
      <w:lvlText w:val="•"/>
      <w:lvlJc w:val="left"/>
      <w:pPr>
        <w:ind w:left="10563" w:hanging="790"/>
      </w:pPr>
      <w:rPr>
        <w:rFonts w:hint="default"/>
      </w:rPr>
    </w:lvl>
  </w:abstractNum>
  <w:abstractNum w:abstractNumId="19">
    <w:nsid w:val="6929EA0B"/>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69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67" w:hanging="790"/>
      </w:pPr>
      <w:rPr>
        <w:rFonts w:hint="default"/>
      </w:rPr>
    </w:lvl>
    <w:lvl w:ilvl="4">
      <w:start w:val="0"/>
      <w:numFmt w:val="bullet"/>
      <w:lvlText w:val="•"/>
      <w:lvlJc w:val="left"/>
      <w:pPr>
        <w:ind w:left="6103"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375" w:hanging="790"/>
      </w:pPr>
      <w:rPr>
        <w:rFonts w:hint="default"/>
      </w:rPr>
    </w:lvl>
    <w:lvl w:ilvl="7">
      <w:start w:val="0"/>
      <w:numFmt w:val="bullet"/>
      <w:lvlText w:val="•"/>
      <w:lvlJc w:val="left"/>
      <w:pPr>
        <w:ind w:left="9511" w:hanging="790"/>
      </w:pPr>
      <w:rPr>
        <w:rFonts w:hint="default"/>
      </w:rPr>
    </w:lvl>
    <w:lvl w:ilvl="8">
      <w:start w:val="0"/>
      <w:numFmt w:val="bullet"/>
      <w:lvlText w:val="•"/>
      <w:lvlJc w:val="left"/>
      <w:pPr>
        <w:ind w:left="10647" w:hanging="790"/>
      </w:pPr>
      <w:rPr>
        <w:rFonts w:hint="default"/>
      </w:rPr>
    </w:lvl>
  </w:abstractNum>
  <w:abstractNum w:abstractNumId="20">
    <w:nsid w:val="6B535BDE"/>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69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67" w:hanging="790"/>
      </w:pPr>
      <w:rPr>
        <w:rFonts w:hint="default"/>
      </w:rPr>
    </w:lvl>
    <w:lvl w:ilvl="4">
      <w:start w:val="0"/>
      <w:numFmt w:val="bullet"/>
      <w:lvlText w:val="•"/>
      <w:lvlJc w:val="left"/>
      <w:pPr>
        <w:ind w:left="6103"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375" w:hanging="790"/>
      </w:pPr>
      <w:rPr>
        <w:rFonts w:hint="default"/>
      </w:rPr>
    </w:lvl>
    <w:lvl w:ilvl="7">
      <w:start w:val="0"/>
      <w:numFmt w:val="bullet"/>
      <w:lvlText w:val="•"/>
      <w:lvlJc w:val="left"/>
      <w:pPr>
        <w:ind w:left="9511" w:hanging="790"/>
      </w:pPr>
      <w:rPr>
        <w:rFonts w:hint="default"/>
      </w:rPr>
    </w:lvl>
    <w:lvl w:ilvl="8">
      <w:start w:val="0"/>
      <w:numFmt w:val="bullet"/>
      <w:lvlText w:val="•"/>
      <w:lvlJc w:val="left"/>
      <w:pPr>
        <w:ind w:left="10647" w:hanging="790"/>
      </w:pPr>
      <w:rPr>
        <w:rFonts w:hint="default"/>
      </w:rPr>
    </w:lvl>
  </w:abstractNum>
  <w:abstractNum w:abstractNumId="21">
    <w:nsid w:val="6DD53A99"/>
    <w:multiLevelType w:val="hybridMultilevel"/>
    <w:tmpl w:val="00000000"/>
    <w:lvl w:ilvl="0">
      <w:start w:val="1"/>
      <w:numFmt w:val="upperLetter"/>
      <w:lvlText w:val="%1."/>
      <w:lvlJc w:val="left"/>
      <w:pPr>
        <w:ind w:left="1092" w:hanging="318"/>
        <w:jc w:val="left"/>
      </w:pPr>
      <w:rPr>
        <w:rFonts w:ascii="宋体" w:eastAsia="宋体" w:hAnsi="宋体" w:cs="宋体" w:hint="default"/>
        <w:spacing w:val="-4"/>
        <w:w w:val="102"/>
        <w:sz w:val="29"/>
        <w:szCs w:val="29"/>
      </w:rPr>
    </w:lvl>
    <w:lvl w:ilvl="1">
      <w:start w:val="0"/>
      <w:numFmt w:val="bullet"/>
      <w:lvlText w:val="•"/>
      <w:lvlJc w:val="left"/>
      <w:pPr>
        <w:ind w:left="2281" w:hanging="318"/>
      </w:pPr>
      <w:rPr>
        <w:rFonts w:hint="default"/>
      </w:rPr>
    </w:lvl>
    <w:lvl w:ilvl="2">
      <w:start w:val="0"/>
      <w:numFmt w:val="bullet"/>
      <w:lvlText w:val="•"/>
      <w:lvlJc w:val="left"/>
      <w:pPr>
        <w:ind w:left="3463" w:hanging="318"/>
      </w:pPr>
      <w:rPr>
        <w:rFonts w:hint="default"/>
      </w:rPr>
    </w:lvl>
    <w:lvl w:ilvl="3">
      <w:start w:val="0"/>
      <w:numFmt w:val="bullet"/>
      <w:lvlText w:val="•"/>
      <w:lvlJc w:val="left"/>
      <w:pPr>
        <w:ind w:left="4645" w:hanging="318"/>
      </w:pPr>
      <w:rPr>
        <w:rFonts w:hint="default"/>
      </w:rPr>
    </w:lvl>
    <w:lvl w:ilvl="4">
      <w:start w:val="0"/>
      <w:numFmt w:val="bullet"/>
      <w:lvlText w:val="•"/>
      <w:lvlJc w:val="left"/>
      <w:pPr>
        <w:ind w:left="5827" w:hanging="318"/>
      </w:pPr>
      <w:rPr>
        <w:rFonts w:hint="default"/>
      </w:rPr>
    </w:lvl>
    <w:lvl w:ilvl="5">
      <w:start w:val="0"/>
      <w:numFmt w:val="bullet"/>
      <w:lvlText w:val="•"/>
      <w:lvlJc w:val="left"/>
      <w:pPr>
        <w:ind w:left="7009" w:hanging="318"/>
      </w:pPr>
      <w:rPr>
        <w:rFonts w:hint="default"/>
      </w:rPr>
    </w:lvl>
    <w:lvl w:ilvl="6">
      <w:start w:val="0"/>
      <w:numFmt w:val="bullet"/>
      <w:lvlText w:val="•"/>
      <w:lvlJc w:val="left"/>
      <w:pPr>
        <w:ind w:left="8191" w:hanging="318"/>
      </w:pPr>
      <w:rPr>
        <w:rFonts w:hint="default"/>
      </w:rPr>
    </w:lvl>
    <w:lvl w:ilvl="7">
      <w:start w:val="0"/>
      <w:numFmt w:val="bullet"/>
      <w:lvlText w:val="•"/>
      <w:lvlJc w:val="left"/>
      <w:pPr>
        <w:ind w:left="9373" w:hanging="318"/>
      </w:pPr>
      <w:rPr>
        <w:rFonts w:hint="default"/>
      </w:rPr>
    </w:lvl>
    <w:lvl w:ilvl="8">
      <w:start w:val="0"/>
      <w:numFmt w:val="bullet"/>
      <w:lvlText w:val="•"/>
      <w:lvlJc w:val="left"/>
      <w:pPr>
        <w:ind w:left="10555" w:hanging="318"/>
      </w:pPr>
      <w:rPr>
        <w:rFonts w:hint="default"/>
      </w:rPr>
    </w:lvl>
  </w:abstractNum>
  <w:abstractNum w:abstractNumId="22">
    <w:nsid w:val="779FDA61"/>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0"/>
      <w:numFmt w:val="bullet"/>
      <w:lvlText w:val="•"/>
      <w:lvlJc w:val="left"/>
      <w:pPr>
        <w:ind w:left="2695" w:hanging="790"/>
      </w:pPr>
      <w:rPr>
        <w:rFonts w:hint="default"/>
      </w:rPr>
    </w:lvl>
    <w:lvl w:ilvl="2">
      <w:start w:val="0"/>
      <w:numFmt w:val="bullet"/>
      <w:lvlText w:val="•"/>
      <w:lvlJc w:val="left"/>
      <w:pPr>
        <w:ind w:left="3831" w:hanging="790"/>
      </w:pPr>
      <w:rPr>
        <w:rFonts w:hint="default"/>
      </w:rPr>
    </w:lvl>
    <w:lvl w:ilvl="3">
      <w:start w:val="0"/>
      <w:numFmt w:val="bullet"/>
      <w:lvlText w:val="•"/>
      <w:lvlJc w:val="left"/>
      <w:pPr>
        <w:ind w:left="4967" w:hanging="790"/>
      </w:pPr>
      <w:rPr>
        <w:rFonts w:hint="default"/>
      </w:rPr>
    </w:lvl>
    <w:lvl w:ilvl="4">
      <w:start w:val="0"/>
      <w:numFmt w:val="bullet"/>
      <w:lvlText w:val="•"/>
      <w:lvlJc w:val="left"/>
      <w:pPr>
        <w:ind w:left="6103" w:hanging="790"/>
      </w:pPr>
      <w:rPr>
        <w:rFonts w:hint="default"/>
      </w:rPr>
    </w:lvl>
    <w:lvl w:ilvl="5">
      <w:start w:val="0"/>
      <w:numFmt w:val="bullet"/>
      <w:lvlText w:val="•"/>
      <w:lvlJc w:val="left"/>
      <w:pPr>
        <w:ind w:left="7239" w:hanging="790"/>
      </w:pPr>
      <w:rPr>
        <w:rFonts w:hint="default"/>
      </w:rPr>
    </w:lvl>
    <w:lvl w:ilvl="6">
      <w:start w:val="0"/>
      <w:numFmt w:val="bullet"/>
      <w:lvlText w:val="•"/>
      <w:lvlJc w:val="left"/>
      <w:pPr>
        <w:ind w:left="8375" w:hanging="790"/>
      </w:pPr>
      <w:rPr>
        <w:rFonts w:hint="default"/>
      </w:rPr>
    </w:lvl>
    <w:lvl w:ilvl="7">
      <w:start w:val="0"/>
      <w:numFmt w:val="bullet"/>
      <w:lvlText w:val="•"/>
      <w:lvlJc w:val="left"/>
      <w:pPr>
        <w:ind w:left="9511" w:hanging="790"/>
      </w:pPr>
      <w:rPr>
        <w:rFonts w:hint="default"/>
      </w:rPr>
    </w:lvl>
    <w:lvl w:ilvl="8">
      <w:start w:val="0"/>
      <w:numFmt w:val="bullet"/>
      <w:lvlText w:val="•"/>
      <w:lvlJc w:val="left"/>
      <w:pPr>
        <w:ind w:left="10647" w:hanging="790"/>
      </w:pPr>
      <w:rPr>
        <w:rFonts w:hint="default"/>
      </w:rPr>
    </w:lvl>
  </w:abstractNum>
  <w:abstractNum w:abstractNumId="23">
    <w:nsid w:val="792486D5"/>
    <w:multiLevelType w:val="hybridMultilevel"/>
    <w:tmpl w:val="00000000"/>
    <w:lvl w:ilvl="0">
      <w:start w:val="1"/>
      <w:numFmt w:val="decimal"/>
      <w:lvlText w:val="（%1）"/>
      <w:lvlJc w:val="left"/>
      <w:pPr>
        <w:ind w:left="1563" w:hanging="790"/>
        <w:jc w:val="left"/>
      </w:pPr>
      <w:rPr>
        <w:rFonts w:ascii="宋体" w:eastAsia="宋体" w:hAnsi="宋体" w:cs="宋体" w:hint="default"/>
        <w:spacing w:val="-4"/>
        <w:w w:val="102"/>
        <w:sz w:val="29"/>
        <w:szCs w:val="29"/>
      </w:rPr>
    </w:lvl>
    <w:lvl w:ilvl="1">
      <w:start w:val="1"/>
      <w:numFmt w:val="decimal"/>
      <w:lvlText w:val="（%2）"/>
      <w:lvlJc w:val="left"/>
      <w:pPr>
        <w:ind w:left="2240" w:hanging="790"/>
        <w:jc w:val="left"/>
      </w:pPr>
      <w:rPr>
        <w:rFonts w:ascii="宋体" w:eastAsia="宋体" w:hAnsi="宋体" w:cs="宋体" w:hint="default"/>
        <w:spacing w:val="-4"/>
        <w:w w:val="102"/>
        <w:sz w:val="29"/>
        <w:szCs w:val="29"/>
      </w:rPr>
    </w:lvl>
    <w:lvl w:ilvl="2">
      <w:start w:val="0"/>
      <w:numFmt w:val="bullet"/>
      <w:lvlText w:val="•"/>
      <w:lvlJc w:val="left"/>
      <w:pPr>
        <w:ind w:left="3426" w:hanging="790"/>
      </w:pPr>
      <w:rPr>
        <w:rFonts w:hint="default"/>
      </w:rPr>
    </w:lvl>
    <w:lvl w:ilvl="3">
      <w:start w:val="0"/>
      <w:numFmt w:val="bullet"/>
      <w:lvlText w:val="•"/>
      <w:lvlJc w:val="left"/>
      <w:pPr>
        <w:ind w:left="4613" w:hanging="790"/>
      </w:pPr>
      <w:rPr>
        <w:rFonts w:hint="default"/>
      </w:rPr>
    </w:lvl>
    <w:lvl w:ilvl="4">
      <w:start w:val="0"/>
      <w:numFmt w:val="bullet"/>
      <w:lvlText w:val="•"/>
      <w:lvlJc w:val="left"/>
      <w:pPr>
        <w:ind w:left="5799" w:hanging="790"/>
      </w:pPr>
      <w:rPr>
        <w:rFonts w:hint="default"/>
      </w:rPr>
    </w:lvl>
    <w:lvl w:ilvl="5">
      <w:start w:val="0"/>
      <w:numFmt w:val="bullet"/>
      <w:lvlText w:val="•"/>
      <w:lvlJc w:val="left"/>
      <w:pPr>
        <w:ind w:left="6986" w:hanging="790"/>
      </w:pPr>
      <w:rPr>
        <w:rFonts w:hint="default"/>
      </w:rPr>
    </w:lvl>
    <w:lvl w:ilvl="6">
      <w:start w:val="0"/>
      <w:numFmt w:val="bullet"/>
      <w:lvlText w:val="•"/>
      <w:lvlJc w:val="left"/>
      <w:pPr>
        <w:ind w:left="8173" w:hanging="790"/>
      </w:pPr>
      <w:rPr>
        <w:rFonts w:hint="default"/>
      </w:rPr>
    </w:lvl>
    <w:lvl w:ilvl="7">
      <w:start w:val="0"/>
      <w:numFmt w:val="bullet"/>
      <w:lvlText w:val="•"/>
      <w:lvlJc w:val="left"/>
      <w:pPr>
        <w:ind w:left="9359" w:hanging="790"/>
      </w:pPr>
      <w:rPr>
        <w:rFonts w:hint="default"/>
      </w:rPr>
    </w:lvl>
    <w:lvl w:ilvl="8">
      <w:start w:val="0"/>
      <w:numFmt w:val="bullet"/>
      <w:lvlText w:val="•"/>
      <w:lvlJc w:val="left"/>
      <w:pPr>
        <w:ind w:left="10546" w:hanging="790"/>
      </w:pPr>
      <w:rPr>
        <w:rFonts w:hint="default"/>
      </w:rPr>
    </w:lvl>
  </w:abstractNum>
  <w:abstractNum w:abstractNumId="24">
    <w:nsid w:val="79C76626"/>
    <w:multiLevelType w:val="hybridMultilevel"/>
    <w:tmpl w:val="00000000"/>
    <w:lvl w:ilvl="0">
      <w:start w:val="1"/>
      <w:numFmt w:val="decimal"/>
      <w:lvlText w:val="%1."/>
      <w:lvlJc w:val="left"/>
      <w:pPr>
        <w:ind w:left="458" w:hanging="318"/>
        <w:jc w:val="right"/>
      </w:pPr>
      <w:rPr>
        <w:rFonts w:ascii="宋体" w:eastAsia="宋体" w:hAnsi="宋体" w:cs="宋体" w:hint="default"/>
        <w:spacing w:val="-1"/>
        <w:w w:val="102"/>
        <w:sz w:val="29"/>
        <w:szCs w:val="29"/>
      </w:rPr>
    </w:lvl>
    <w:lvl w:ilvl="1">
      <w:start w:val="0"/>
      <w:numFmt w:val="bullet"/>
      <w:lvlText w:val="•"/>
      <w:lvlJc w:val="left"/>
      <w:pPr>
        <w:ind w:left="1705" w:hanging="318"/>
      </w:pPr>
      <w:rPr>
        <w:rFonts w:hint="default"/>
      </w:rPr>
    </w:lvl>
    <w:lvl w:ilvl="2">
      <w:start w:val="0"/>
      <w:numFmt w:val="bullet"/>
      <w:lvlText w:val="•"/>
      <w:lvlJc w:val="left"/>
      <w:pPr>
        <w:ind w:left="2951" w:hanging="318"/>
      </w:pPr>
      <w:rPr>
        <w:rFonts w:hint="default"/>
      </w:rPr>
    </w:lvl>
    <w:lvl w:ilvl="3">
      <w:start w:val="0"/>
      <w:numFmt w:val="bullet"/>
      <w:lvlText w:val="•"/>
      <w:lvlJc w:val="left"/>
      <w:pPr>
        <w:ind w:left="4197" w:hanging="318"/>
      </w:pPr>
      <w:rPr>
        <w:rFonts w:hint="default"/>
      </w:rPr>
    </w:lvl>
    <w:lvl w:ilvl="4">
      <w:start w:val="0"/>
      <w:numFmt w:val="bullet"/>
      <w:lvlText w:val="•"/>
      <w:lvlJc w:val="left"/>
      <w:pPr>
        <w:ind w:left="5443" w:hanging="318"/>
      </w:pPr>
      <w:rPr>
        <w:rFonts w:hint="default"/>
      </w:rPr>
    </w:lvl>
    <w:lvl w:ilvl="5">
      <w:start w:val="0"/>
      <w:numFmt w:val="bullet"/>
      <w:lvlText w:val="•"/>
      <w:lvlJc w:val="left"/>
      <w:pPr>
        <w:ind w:left="6689" w:hanging="318"/>
      </w:pPr>
      <w:rPr>
        <w:rFonts w:hint="default"/>
      </w:rPr>
    </w:lvl>
    <w:lvl w:ilvl="6">
      <w:start w:val="0"/>
      <w:numFmt w:val="bullet"/>
      <w:lvlText w:val="•"/>
      <w:lvlJc w:val="left"/>
      <w:pPr>
        <w:ind w:left="7935" w:hanging="318"/>
      </w:pPr>
      <w:rPr>
        <w:rFonts w:hint="default"/>
      </w:rPr>
    </w:lvl>
    <w:lvl w:ilvl="7">
      <w:start w:val="0"/>
      <w:numFmt w:val="bullet"/>
      <w:lvlText w:val="•"/>
      <w:lvlJc w:val="left"/>
      <w:pPr>
        <w:ind w:left="9181" w:hanging="318"/>
      </w:pPr>
      <w:rPr>
        <w:rFonts w:hint="default"/>
      </w:rPr>
    </w:lvl>
    <w:lvl w:ilvl="8">
      <w:start w:val="0"/>
      <w:numFmt w:val="bullet"/>
      <w:lvlText w:val="•"/>
      <w:lvlJc w:val="left"/>
      <w:pPr>
        <w:ind w:left="10427" w:hanging="318"/>
      </w:pPr>
      <w:rPr>
        <w:rFonts w:hint="default"/>
      </w:rPr>
    </w:lvl>
  </w:abstractNum>
  <w:num w:numId="1">
    <w:abstractNumId w:val="19"/>
  </w:num>
  <w:num w:numId="2">
    <w:abstractNumId w:val="3"/>
  </w:num>
  <w:num w:numId="3">
    <w:abstractNumId w:val="18"/>
  </w:num>
  <w:num w:numId="4">
    <w:abstractNumId w:val="23"/>
  </w:num>
  <w:num w:numId="5">
    <w:abstractNumId w:val="8"/>
  </w:num>
  <w:num w:numId="6">
    <w:abstractNumId w:val="15"/>
  </w:num>
  <w:num w:numId="7">
    <w:abstractNumId w:val="21"/>
  </w:num>
  <w:num w:numId="8">
    <w:abstractNumId w:val="11"/>
  </w:num>
  <w:num w:numId="9">
    <w:abstractNumId w:val="10"/>
  </w:num>
  <w:num w:numId="10">
    <w:abstractNumId w:val="14"/>
  </w:num>
  <w:num w:numId="11">
    <w:abstractNumId w:val="5"/>
  </w:num>
  <w:num w:numId="12">
    <w:abstractNumId w:val="2"/>
  </w:num>
  <w:num w:numId="13">
    <w:abstractNumId w:val="1"/>
  </w:num>
  <w:num w:numId="14">
    <w:abstractNumId w:val="12"/>
  </w:num>
  <w:num w:numId="15">
    <w:abstractNumId w:val="6"/>
  </w:num>
  <w:num w:numId="16">
    <w:abstractNumId w:val="17"/>
  </w:num>
  <w:num w:numId="17">
    <w:abstractNumId w:val="22"/>
  </w:num>
  <w:num w:numId="18">
    <w:abstractNumId w:val="13"/>
  </w:num>
  <w:num w:numId="19">
    <w:abstractNumId w:val="9"/>
  </w:num>
  <w:num w:numId="20">
    <w:abstractNumId w:val="20"/>
  </w:num>
  <w:num w:numId="21">
    <w:abstractNumId w:val="16"/>
  </w:num>
  <w:num w:numId="22">
    <w:abstractNumId w:val="7"/>
  </w:num>
  <w:num w:numId="23">
    <w:abstractNumId w:val="0"/>
  </w:num>
  <w:num w:numId="24">
    <w:abstractNumId w:val="24"/>
  </w:num>
  <w:num w:numId="2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rPr>
      <w:rFonts w:ascii="宋体" w:eastAsia="宋体" w:hAnsi="宋体" w:cs="宋体"/>
      <w:b/>
      <w:bCs/>
      <w:sz w:val="31"/>
      <w:szCs w:val="31"/>
    </w:rPr>
  </w:style>
  <w:style w:type="paragraph" w:styleId="ListParagraph">
    <w:name w:val="List Paragraph"/>
    <w:basedOn w:val="Normal"/>
    <w:uiPriority w:val="1"/>
    <w:qFormat/>
    <w:pPr>
      <w:ind w:left="1563" w:hanging="790"/>
    </w:pPr>
    <w:rPr>
      <w:rFonts w:ascii="宋体" w:eastAsia="宋体" w:hAnsi="宋体" w:cs="宋体"/>
    </w:rPr>
  </w:style>
  <w:style w:type="paragraph" w:customStyle="1" w:styleId="TableParagraph">
    <w:name w:val="Table Paragraph"/>
    <w:basedOn w:val="Normal"/>
    <w:uiPriority w:val="1"/>
    <w:qFormat/>
    <w:pPr>
      <w:spacing w:before="38"/>
      <w:jc w:val="center"/>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jpe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hyperlink" Target="https://d.book118.com/485114212212011120" TargetMode="Externa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2024-02-22T20:58:59Z</dcterms:created>
  <dcterms:modified xsi:type="dcterms:W3CDTF">2024-02-22T20:58:59Z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2022-12-26T00:00:00Z</vt:filetime>
  </property>
  <property fmtid="{D5CDD505-2E9C-101B-9397-08002B2CF9AE}" pid="3" name="LastSaved">
    <vt:filetime>2024-02-22T00:00:00Z</vt:filetime>
  </property>
</Properties>
</file>