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hd w:val="clear" w:color="auto" w:fill="auto"/>
        <w:jc w:val="center"/>
        <w:rPr>
          <w:rFonts w:ascii="黑体" w:eastAsia="黑体" w:hAnsi="黑体" w:cs="黑体"/>
          <w:b/>
          <w:sz w:val="36"/>
        </w:rPr>
      </w:pPr>
      <w:bookmarkStart w:id="0" w:name="_GoBack"/>
      <w:bookmarkEnd w:id="0"/>
      <w:r>
        <w:rPr>
          <w:rFonts w:ascii="黑体" w:eastAsia="黑体" w:hAnsi="黑体" w:cs="黑体"/>
          <w:b/>
          <w:sz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10947400</wp:posOffset>
            </wp:positionH>
            <wp:positionV relativeFrom="topMargin">
              <wp:posOffset>12496800</wp:posOffset>
            </wp:positionV>
            <wp:extent cx="419100" cy="304800"/>
            <wp:effectExtent l="0" t="0" r="0" b="0"/>
            <wp:wrapNone/>
            <wp:docPr id="100020" name="图片 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0" name="图片 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/>
          <w:b/>
          <w:sz w:val="36"/>
        </w:rPr>
        <w:t>【教材实验热点】01 配制一定物质的量浓度的溶液</w:t>
      </w:r>
    </w:p>
    <w:p>
      <w:pPr>
        <w:shd w:val="clear" w:color="auto" w:fill="auto"/>
        <w:spacing w:line="360" w:lineRule="auto"/>
        <w:jc w:val="left"/>
        <w:rPr>
          <w:rFonts w:ascii="黑体" w:eastAsia="黑体" w:hAnsi="黑体" w:cs="黑体"/>
          <w:b/>
          <w:sz w:val="36"/>
        </w:rPr>
      </w:pPr>
    </w:p>
    <w:p>
      <w:pPr>
        <w:shd w:val="clear" w:color="auto" w:fill="auto"/>
        <w:spacing w:line="360" w:lineRule="auto"/>
        <w:jc w:val="left"/>
      </w:pPr>
      <w:r>
        <w:t>01  配制一定物质的量浓度的溶液</w:t>
      </w:r>
    </w:p>
    <w:p>
      <w:pPr>
        <w:shd w:val="clear" w:color="auto" w:fill="auto"/>
        <w:spacing w:line="360" w:lineRule="auto"/>
        <w:jc w:val="left"/>
      </w:pPr>
      <w:r>
        <w:t>【教材实验梳理】</w:t>
      </w:r>
    </w:p>
    <w:p>
      <w:pPr>
        <w:shd w:val="clear" w:color="auto" w:fill="auto"/>
        <w:spacing w:line="360" w:lineRule="auto"/>
        <w:jc w:val="left"/>
      </w:pPr>
      <w:r>
        <w:t>一、一定物质的量浓度溶液的配制</w:t>
      </w:r>
    </w:p>
    <w:p>
      <w:pPr>
        <w:shd w:val="clear" w:color="auto" w:fill="auto"/>
        <w:spacing w:line="360" w:lineRule="auto"/>
        <w:jc w:val="left"/>
      </w:pPr>
      <w:r>
        <w:t>(1)主要仪器</w:t>
      </w:r>
    </w:p>
    <w:p>
      <w:pPr>
        <w:shd w:val="clear" w:color="auto" w:fill="auto"/>
        <w:spacing w:line="360" w:lineRule="auto"/>
        <w:jc w:val="left"/>
      </w:pPr>
      <w:r>
        <w:t>容量瓶(一定容积)、托盘天平(砝码)、烧杯、量筒、玻璃棒、胶头滴管等。</w:t>
      </w:r>
    </w:p>
    <w:p>
      <w:pPr>
        <w:shd w:val="clear" w:color="auto" w:fill="auto"/>
        <w:spacing w:line="360" w:lineRule="auto"/>
        <w:jc w:val="left"/>
      </w:pPr>
      <w:r>
        <w:t>(2)配制步骤</w:t>
      </w:r>
    </w:p>
    <w:p>
      <w:pPr>
        <w:shd w:val="clear" w:color="auto" w:fill="auto"/>
        <w:spacing w:line="360" w:lineRule="auto"/>
        <w:jc w:val="left"/>
        <w:rPr>
          <w:rFonts w:ascii="黑体" w:eastAsia="黑体" w:hAnsi="黑体" w:cs="黑体"/>
          <w:b/>
          <w:sz w:val="36"/>
        </w:rPr>
      </w:pPr>
    </w:p>
    <w:p>
      <w:pPr>
        <w:shd w:val="clear" w:color="auto" w:fill="auto"/>
        <w:spacing w:line="360" w:lineRule="auto"/>
        <w:jc w:val="left"/>
      </w:pPr>
      <w:r>
        <w:t>100 mL一定物质的量浓度的NaCl溶液的配制</w:t>
      </w:r>
    </w:p>
    <w:p>
      <w:pPr>
        <w:shd w:val="clear" w:color="auto" w:fill="auto"/>
        <w:spacing w:line="360" w:lineRule="auto"/>
        <w:jc w:val="left"/>
        <w:rPr>
          <w:rFonts w:ascii="黑体" w:eastAsia="黑体" w:hAnsi="黑体" w:cs="黑体"/>
          <w:b/>
          <w:sz w:val="36"/>
        </w:rPr>
      </w:pPr>
      <w:r>
        <w:rPr>
          <w:rFonts w:ascii="黑体" w:eastAsia="黑体" w:hAnsi="黑体" w:cs="黑体"/>
          <w:b/>
          <w:sz w:val="36"/>
        </w:rPr>
        <w:drawing>
          <wp:inline distT="0" distB="0" distL="114300" distR="114300">
            <wp:extent cx="4962525" cy="2686050"/>
            <wp:effectExtent l="0" t="0" r="9525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62525" cy="268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</w:pPr>
      <w:r>
        <w:t>二、容量瓶使用的注意事项</w:t>
      </w:r>
    </w:p>
    <w:p>
      <w:pPr>
        <w:shd w:val="clear" w:color="auto" w:fill="auto"/>
        <w:spacing w:line="360" w:lineRule="auto"/>
        <w:jc w:val="left"/>
        <w:rPr>
          <w:rFonts w:ascii="黑体" w:eastAsia="黑体" w:hAnsi="黑体" w:cs="黑体"/>
          <w:b/>
          <w:sz w:val="36"/>
        </w:rPr>
      </w:pPr>
      <w:r>
        <w:rPr>
          <w:rFonts w:ascii="黑体" w:eastAsia="黑体" w:hAnsi="黑体" w:cs="黑体"/>
          <w:b/>
          <w:sz w:val="36"/>
        </w:rPr>
        <w:drawing>
          <wp:inline distT="0" distB="0" distL="114300" distR="114300">
            <wp:extent cx="1924050" cy="1047750"/>
            <wp:effectExtent l="0" t="0" r="0" b="0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</w:pPr>
      <w:r>
        <w:t>(1)选用容量瓶时必须注明容量瓶规格。如500 mL容量瓶。</w:t>
      </w:r>
    </w:p>
    <w:p>
      <w:pPr>
        <w:shd w:val="clear" w:color="auto" w:fill="auto"/>
        <w:spacing w:line="360" w:lineRule="auto"/>
        <w:jc w:val="left"/>
        <w:sectPr>
          <w:footerReference w:type="even" r:id="rId9"/>
          <w:footerReference w:type="default" r:id="rId10"/>
          <w:pgSz w:w="11906" w:h="16838"/>
          <w:pgMar w:top="1440" w:right="1797" w:bottom="1440" w:left="1797" w:header="851" w:footer="992" w:gutter="0"/>
          <w:pgNumType w:start="1"/>
          <w:cols w:num="1" w:space="425"/>
          <w:docGrid w:type="lines" w:linePitch="312" w:charSpace="0"/>
        </w:sectPr>
      </w:pPr>
      <w:r>
        <w:t>(2)选择容量瓶时遵循“大而近”的原则，所需溶质的量按所选用的容量瓶的规格进行计算。如配制480 mL 1 mol/L NaOH溶液时应选用500 mL 的容量瓶，所需溶质NaOH的物质的量为0.5 mol。</w:t>
      </w:r>
    </w:p>
    <w:p>
      <w:pPr>
        <w:shd w:val="clear" w:color="auto" w:fill="auto"/>
        <w:spacing w:line="360" w:lineRule="auto"/>
        <w:jc w:val="left"/>
      </w:pPr>
      <w:r>
        <w:t>(3)使用前要检查容量瓶是否漏水。</w:t>
      </w:r>
    </w:p>
    <w:p>
      <w:pPr>
        <w:shd w:val="clear" w:color="auto" w:fill="auto"/>
        <w:spacing w:line="360" w:lineRule="auto"/>
        <w:jc w:val="left"/>
      </w:pPr>
      <w:r>
        <w:t>(4)向容量瓶中注入液体时，应沿细玻璃棒注入，以防操作时液体流出而造成损失。</w:t>
      </w:r>
    </w:p>
    <w:p>
      <w:pPr>
        <w:shd w:val="clear" w:color="auto" w:fill="auto"/>
        <w:spacing w:line="360" w:lineRule="auto"/>
        <w:jc w:val="left"/>
      </w:pPr>
      <w:r>
        <w:t>(5)容量瓶使用应注意“五不”：不能溶解固体，不能稀释浓溶液，所配溶液温度不能高于或低于室温，不能作反应容器，不能长期贮存所配溶液。</w:t>
      </w:r>
    </w:p>
    <w:p>
      <w:pPr>
        <w:shd w:val="clear" w:color="auto" w:fill="auto"/>
        <w:spacing w:line="360" w:lineRule="auto"/>
        <w:jc w:val="left"/>
      </w:pPr>
      <w:r>
        <w:t>三、在量筒、滴定管、容量瓶的使用时经常涉及俯视、仰视问题，其对实验结果的影响究竟如何(偏大或偏小)，分两种情况说明。</w:t>
      </w:r>
    </w:p>
    <w:p>
      <w:pPr>
        <w:shd w:val="clear" w:color="auto" w:fill="auto"/>
        <w:spacing w:line="360" w:lineRule="auto"/>
        <w:jc w:val="left"/>
      </w:pPr>
      <w:r>
        <w:t>1.容量瓶(如图Ⅰ、Ⅱ)</w:t>
      </w:r>
    </w:p>
    <w:p>
      <w:pPr>
        <w:shd w:val="clear" w:color="auto" w:fill="auto"/>
        <w:spacing w:line="360" w:lineRule="auto"/>
        <w:jc w:val="left"/>
        <w:rPr>
          <w:rFonts w:ascii="黑体" w:eastAsia="黑体" w:hAnsi="黑体" w:cs="黑体"/>
          <w:b/>
          <w:sz w:val="36"/>
        </w:rPr>
      </w:pPr>
      <w:r>
        <w:rPr>
          <w:rFonts w:ascii="黑体" w:eastAsia="黑体" w:hAnsi="黑体" w:cs="黑体"/>
          <w:b/>
          <w:sz w:val="36"/>
        </w:rPr>
        <w:drawing>
          <wp:inline distT="0" distB="0" distL="114300" distR="114300">
            <wp:extent cx="1800225" cy="1247775"/>
            <wp:effectExtent l="0" t="0" r="9525" b="9525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</w:pPr>
      <w:r>
        <w:t>(1)图Ⅰ：定容时俯视，溶液体积偏小，所配制溶液的物质的量浓度偏大。</w:t>
      </w:r>
    </w:p>
    <w:p>
      <w:pPr>
        <w:shd w:val="clear" w:color="auto" w:fill="auto"/>
        <w:spacing w:line="360" w:lineRule="auto"/>
        <w:jc w:val="left"/>
      </w:pPr>
      <w:r>
        <w:t>(2)图Ⅱ：定容时仰视，溶液体积偏大，所配制溶液的物质的量浓度偏小。</w:t>
      </w:r>
    </w:p>
    <w:p>
      <w:pPr>
        <w:shd w:val="clear" w:color="auto" w:fill="auto"/>
        <w:spacing w:line="360" w:lineRule="auto"/>
        <w:jc w:val="left"/>
      </w:pPr>
      <w:r>
        <w:t>2.量筒、滴定管(如图Ⅲ、Ⅳ、Ⅴ、Ⅵ)</w:t>
      </w:r>
    </w:p>
    <w:p>
      <w:pPr>
        <w:shd w:val="clear" w:color="auto" w:fill="auto"/>
        <w:spacing w:line="360" w:lineRule="auto"/>
        <w:jc w:val="left"/>
        <w:rPr>
          <w:rFonts w:ascii="黑体" w:eastAsia="黑体" w:hAnsi="黑体" w:cs="黑体"/>
          <w:b/>
          <w:sz w:val="36"/>
        </w:rPr>
      </w:pPr>
      <w:r>
        <w:rPr>
          <w:rFonts w:ascii="黑体" w:eastAsia="黑体" w:hAnsi="黑体" w:cs="黑体"/>
          <w:b/>
          <w:sz w:val="36"/>
        </w:rPr>
        <w:drawing>
          <wp:inline distT="0" distB="0" distL="114300" distR="114300">
            <wp:extent cx="2524125" cy="981075"/>
            <wp:effectExtent l="0" t="0" r="9525" b="9525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24125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</w:pPr>
      <w:r>
        <w:t>(1)图Ⅲ：量筒上方刻度大，俯视时视线与凹液面最低处相切，视线与量筒壁相交处(a点)即为俯视读数，则量筒内液面俯视读数比实际读数偏大。</w:t>
      </w:r>
    </w:p>
    <w:p>
      <w:pPr>
        <w:shd w:val="clear" w:color="auto" w:fill="auto"/>
        <w:spacing w:line="360" w:lineRule="auto"/>
        <w:jc w:val="left"/>
      </w:pPr>
      <w:r>
        <w:t>(2)图Ⅳ：量筒下方刻度小，仰视时视线与凹液面最低处相切，视线与量筒壁相交处(b)点即为仰视读数，则量筒内液面仰视读数比实际读数偏小。</w:t>
      </w:r>
    </w:p>
    <w:p>
      <w:pPr>
        <w:shd w:val="clear" w:color="auto" w:fill="auto"/>
        <w:spacing w:line="360" w:lineRule="auto"/>
        <w:jc w:val="left"/>
      </w:pPr>
      <w:r>
        <w:t>(3)图Ⅴ：滴定管上方刻度小，俯视读数时视线与凹液面最低处相切，视线与滴定管壁相交处(c点)即为俯视读数，则滴定管内液面俯视读数比实际读数偏小。</w:t>
      </w:r>
    </w:p>
    <w:p>
      <w:pPr>
        <w:shd w:val="clear" w:color="auto" w:fill="auto"/>
        <w:spacing w:line="360" w:lineRule="auto"/>
        <w:jc w:val="left"/>
      </w:pPr>
      <w:r>
        <w:t>(4)图Ⅵ：滴定管下方刻度更大，仰视读数时视线与凹液面最低处相切，视线与滴定管壁相交处(d点)即为仰视读数，则滴定管内液面仰视读数比实际读数偏大。</w:t>
      </w:r>
    </w:p>
    <w:p>
      <w:pPr>
        <w:shd w:val="clear" w:color="auto" w:fill="auto"/>
        <w:spacing w:line="360" w:lineRule="auto"/>
        <w:jc w:val="left"/>
      </w:pPr>
      <w:r>
        <w:t>3.“仰视”、“俯视”对液体体积的影响</w:t>
      </w:r>
    </w:p>
    <w:p>
      <w:pPr>
        <w:shd w:val="clear" w:color="auto" w:fill="auto"/>
        <w:spacing w:line="360" w:lineRule="auto"/>
        <w:jc w:val="left"/>
        <w:rPr>
          <w:rFonts w:ascii="黑体" w:eastAsia="黑体" w:hAnsi="黑体" w:cs="黑体"/>
          <w:b/>
          <w:sz w:val="36"/>
        </w:rPr>
      </w:pPr>
    </w:p>
    <w:p>
      <w:pPr>
        <w:shd w:val="clear" w:color="auto" w:fill="auto"/>
        <w:spacing w:line="360" w:lineRule="auto"/>
        <w:jc w:val="left"/>
      </w:pPr>
      <w:r>
        <w:t>四、一定物质的量浓度溶液的配制误差分析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https://d.book118.com/485232331321011123</w:t>
        </w:r>
      </w:hyperlink>
    </w:p>
    <w:p>
      <w:pPr>
        <w:shd w:val="clear" w:color="auto" w:fill="auto"/>
        <w:spacing w:line="360" w:lineRule="auto"/>
        <w:jc w:val="left"/>
      </w:pPr>
    </w:p>
    <w:sectPr>
      <w:footerReference w:type="even" r:id="rId14"/>
      <w:footerReference w:type="default" r:id="rId15"/>
      <w:pgSz w:w="11906" w:h="16838"/>
      <w:pgMar w:top="1440" w:right="1797" w:bottom="1440" w:left="1797" w:header="851" w:footer="992" w:gutter="0"/>
      <w:pgNumType w:start="2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rPr>
        <w:rFonts w:hint="eastAsia"/>
      </w:rPr>
      <w:t>1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4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824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0" type="#_x0000_t75" alt="学科网 zxxk.com" style="width:0.05pt;height:0.05pt;margin-top:-20.75pt;margin-left:64.05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rPr>
        <w:rFonts w:hint="eastAsia"/>
      </w:rPr>
      <w:t>7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1" o:spid="_x0000_s205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619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o:spid="_x0000_s2052" type="#_x0000_t75" alt="学科网 zxxk.com" style="width:0.05pt;height:0.05pt;margin-top:-20.75pt;margin-left:64.05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43B54"/>
    <w:rsid w:val="00065CD2"/>
    <w:rsid w:val="001D7A06"/>
    <w:rsid w:val="00284433"/>
    <w:rsid w:val="002908F0"/>
    <w:rsid w:val="002A1EC6"/>
    <w:rsid w:val="002E035E"/>
    <w:rsid w:val="003F38F2"/>
    <w:rsid w:val="004151FC"/>
    <w:rsid w:val="006071D5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02FC6"/>
    <w:rsid w:val="00C806B0"/>
    <w:rsid w:val="00D51257"/>
    <w:rsid w:val="00E476EE"/>
    <w:rsid w:val="00ED4F9A"/>
    <w:rsid w:val="00EF035E"/>
    <w:rsid w:val="00FA429B"/>
    <w:rsid w:val="2335407E"/>
    <w:rsid w:val="262E2226"/>
  </w:rsids>
  <w:docVars>
    <w:docVar w:name="commondata" w:val="eyJoZGlkIjoiOWU3N2U0OGQ1MmQwODc5NjNlZDBjMzZmNWJlOTAzOWY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3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autoRedefine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autoRedefine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autoRedefine/>
    <w:uiPriority w:val="99"/>
    <w:qFormat/>
    <w:rPr>
      <w:sz w:val="18"/>
      <w:szCs w:val="18"/>
    </w:rPr>
  </w:style>
  <w:style w:type="paragraph" w:customStyle="1" w:styleId="Header0">
    <w:name w:val="Header_0"/>
    <w:basedOn w:val="Normal0"/>
    <w:link w:val="Char"/>
    <w:autoRedefine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Calibri" w:eastAsia="宋体" w:hAnsi="Calibri" w:cs="Times New Roman"/>
      <w:sz w:val="18"/>
    </w:rPr>
  </w:style>
  <w:style w:type="paragraph" w:customStyle="1" w:styleId="Normal0">
    <w:name w:val="Normal_0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customStyle="1" w:styleId="Char">
    <w:name w:val="页眉 Char"/>
    <w:basedOn w:val="DefaultParagraphFont"/>
    <w:link w:val="Header0"/>
    <w:autoRedefine/>
    <w:uiPriority w:val="99"/>
    <w:qFormat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5.png" /><Relationship Id="rId12" Type="http://schemas.openxmlformats.org/officeDocument/2006/relationships/image" Target="media/image6.png" /><Relationship Id="rId13" Type="http://schemas.openxmlformats.org/officeDocument/2006/relationships/hyperlink" Target="https://d.book118.com/485232331321011123" TargetMode="External" /><Relationship Id="rId14" Type="http://schemas.openxmlformats.org/officeDocument/2006/relationships/footer" Target="footer3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image" Target="media/image3.png" /><Relationship Id="rId9" Type="http://schemas.openxmlformats.org/officeDocument/2006/relationships/footer" Target="footer1.xm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2"/>
    <customShpInfo spid="_x0000_s2073"/>
    <customShpInfo spid="_x0000_s2074"/>
    <customShpInfo spid="_x0000_s2075"/>
    <customShpInfo spid="_x0000_s2076"/>
    <customShpInfo spid="_x0000_s2077"/>
    <customShpInfo spid="_x0000_s2078"/>
    <customShpInfo spid="_x0000_s2079"/>
    <customShpInfo spid="_x0000_s2080"/>
    <customShpInfo spid="_x0000_s2081"/>
    <customShpInfo spid="_x0000_s2082"/>
    <customShpInfo spid="_x0000_s2083"/>
    <customShpInfo spid="_x0000_s2084"/>
    <customShpInfo spid="_x0000_s2085"/>
    <customShpInfo spid="_x0000_s208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18CE314-9BAF-4030-8F04-159C3E31C4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3</TotalTime>
  <Pages>2</Pages>
  <Words>0</Words>
  <Characters>0</Characters>
  <Application>Microsoft Office Word</Application>
  <DocSecurity>0</DocSecurity>
  <Lines>0</Lines>
  <Paragraphs>0</Paragraphs>
  <ScaleCrop>false</ScaleCrop>
  <Company>学科网(Zxxk.Com)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学科网(Zxxk.Com)</dc:creator>
  <cp:lastModifiedBy>相忘2021。</cp:lastModifiedBy>
  <cp:revision>14</cp:revision>
  <dcterms:created xsi:type="dcterms:W3CDTF">2017-07-19T12:07:00Z</dcterms:created>
  <dcterms:modified xsi:type="dcterms:W3CDTF">2024-03-13T10:13:19Z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CB452101B248440E81CBFCF39CE1ADC0_13</vt:lpwstr>
  </property>
  <property fmtid="{D5CDD505-2E9C-101B-9397-08002B2CF9AE}" pid="7" name="KSOProductBuildVer">
    <vt:lpwstr>2052-12.1.0.16364</vt:lpwstr>
  </property>
</Properties>
</file>