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城市地下管线普查技术方案设计书</w:t>
      </w:r>
    </w:p>
    <w:p>
      <w:pPr>
        <w:pStyle w:val="Heading1"/>
        <w:numPr>
          <w:ilvl w:val="0"/>
          <w:numId w:val="12"/>
        </w:numPr>
        <w:tabs>
          <w:tab w:val="left" w:pos="2971"/>
        </w:tabs>
        <w:spacing w:before="622" w:after="0" w:line="240" w:lineRule="auto"/>
        <w:ind w:left="2970" w:right="0" w:hanging="483"/>
        <w:jc w:val="left"/>
      </w:pPr>
      <w:r>
        <w:rPr>
          <w:w w:val="95"/>
        </w:rPr>
        <w:t>总则</w:t>
      </w:r>
    </w:p>
    <w:p>
      <w:pPr>
        <w:pStyle w:val="BodyText"/>
        <w:spacing w:before="8"/>
        <w:rPr>
          <w:sz w:val="58"/>
        </w:rPr>
      </w:pPr>
    </w:p>
    <w:p>
      <w:pPr>
        <w:pStyle w:val="Heading2"/>
        <w:numPr>
          <w:ilvl w:val="1"/>
          <w:numId w:val="12"/>
        </w:numPr>
        <w:tabs>
          <w:tab w:val="left" w:pos="3547"/>
        </w:tabs>
        <w:spacing w:before="0" w:after="0" w:line="240" w:lineRule="auto"/>
        <w:ind w:left="3546" w:right="0" w:hanging="1059"/>
        <w:jc w:val="left"/>
      </w:pPr>
      <w:r>
        <w:rPr>
          <w:w w:val="95"/>
        </w:rPr>
        <w:t>一般规定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322" w:after="0" w:line="417" w:lineRule="auto"/>
        <w:ind w:left="2488" w:right="1890" w:firstLine="0"/>
        <w:jc w:val="left"/>
        <w:rPr>
          <w:sz w:val="42"/>
        </w:rPr>
      </w:pPr>
      <w:r>
        <w:rPr>
          <w:sz w:val="42"/>
        </w:rPr>
        <w:t>城市地下管线普查是加强城市地下空间治理和城市规划、建设和治理的一项重要根底工作。为了完整、系统地做好该项工作，查明地下管线状况，统一长春市城市地下管线探测、根底资料编制和建立地下管线信息系统的技术要求，针对长春市地下管线的特点和地下管线治理工作的需</w:t>
      </w:r>
      <w:r>
        <w:rPr>
          <w:spacing w:val="1"/>
          <w:sz w:val="42"/>
        </w:rPr>
        <w:t xml:space="preserve"> </w:t>
      </w:r>
      <w:r>
        <w:rPr>
          <w:sz w:val="42"/>
        </w:rPr>
        <w:t>要，特制定本规程。当本规程与承受的其它技术依据不全都时，以本规程为准。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537" w:lineRule="exact"/>
        <w:ind w:left="3748" w:right="0" w:hanging="1261"/>
        <w:jc w:val="left"/>
        <w:rPr>
          <w:sz w:val="42"/>
        </w:rPr>
      </w:pPr>
      <w:r>
        <w:rPr>
          <w:sz w:val="42"/>
        </w:rPr>
        <w:t>本规程依据以下技术标准：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417" w:lineRule="auto"/>
        <w:ind w:left="2488" w:right="1730" w:firstLine="0"/>
        <w:jc w:val="left"/>
        <w:rPr>
          <w:sz w:val="42"/>
        </w:rPr>
      </w:pPr>
      <w:r>
        <w:rPr>
          <w:sz w:val="42"/>
        </w:rPr>
        <w:t>长春地下管线探测，平面坐标系统承受统一的长春市平面坐标系统</w:t>
      </w:r>
      <w:r>
        <w:rPr>
          <w:spacing w:val="-21"/>
          <w:sz w:val="42"/>
        </w:rPr>
        <w:t xml:space="preserve">与高程系统，由长春市测绘院统一供给根底掌握资料与 </w:t>
      </w:r>
      <w:r>
        <w:rPr>
          <w:sz w:val="42"/>
        </w:rPr>
        <w:t>1:500</w:t>
      </w:r>
      <w:r>
        <w:rPr>
          <w:spacing w:val="-18"/>
          <w:sz w:val="42"/>
        </w:rPr>
        <w:t xml:space="preserve"> 带状地形图。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417" w:lineRule="auto"/>
        <w:ind w:left="2488" w:right="2315" w:firstLine="0"/>
        <w:jc w:val="left"/>
        <w:rPr>
          <w:sz w:val="42"/>
        </w:rPr>
      </w:pPr>
      <w:r>
        <w:rPr>
          <w:sz w:val="42"/>
        </w:rPr>
        <w:t>管线图的分幅与长春市地形图分幅全都，成果图件根本比例尺为1:500</w:t>
      </w:r>
      <w:r>
        <w:rPr>
          <w:spacing w:val="-9"/>
          <w:sz w:val="42"/>
        </w:rPr>
        <w:t xml:space="preserve">，局部放大图或断面图承受 </w:t>
      </w:r>
      <w:r>
        <w:rPr>
          <w:sz w:val="42"/>
        </w:rPr>
        <w:t>1:50—1:200</w:t>
      </w:r>
      <w:r>
        <w:rPr>
          <w:spacing w:val="-22"/>
          <w:sz w:val="42"/>
        </w:rPr>
        <w:t xml:space="preserve"> 比例尺。</w:t>
      </w:r>
    </w:p>
    <w:p>
      <w:pPr>
        <w:pStyle w:val="ListParagraph"/>
        <w:numPr>
          <w:ilvl w:val="2"/>
          <w:numId w:val="12"/>
        </w:numPr>
        <w:tabs>
          <w:tab w:val="left" w:pos="3749"/>
          <w:tab w:val="left" w:pos="15065"/>
        </w:tabs>
        <w:spacing w:before="0" w:after="0" w:line="417" w:lineRule="auto"/>
        <w:ind w:left="2488" w:right="1890" w:firstLine="0"/>
        <w:jc w:val="left"/>
        <w:rPr>
          <w:sz w:val="42"/>
        </w:rPr>
      </w:pPr>
      <w:r>
        <w:rPr>
          <w:sz w:val="42"/>
        </w:rPr>
        <w:t>地下管线普查应查明地下管线的平面位置、高程、埋深、走向〔流</w:t>
      </w:r>
      <w:r>
        <w:rPr>
          <w:w w:val="105"/>
          <w:sz w:val="42"/>
        </w:rPr>
        <w:t>向</w:t>
      </w:r>
      <w:r>
        <w:rPr>
          <w:spacing w:val="-213"/>
          <w:w w:val="105"/>
          <w:sz w:val="42"/>
        </w:rPr>
        <w:t>〕</w:t>
      </w:r>
      <w:r>
        <w:rPr>
          <w:w w:val="105"/>
          <w:sz w:val="42"/>
        </w:rPr>
        <w:t>、规格、材质、管线性质、权属单</w:t>
      </w:r>
      <w:r>
        <w:rPr>
          <w:spacing w:val="-165"/>
          <w:w w:val="105"/>
          <w:sz w:val="42"/>
        </w:rPr>
        <w:t>位</w:t>
      </w:r>
      <w:r>
        <w:rPr>
          <w:w w:val="120"/>
          <w:sz w:val="42"/>
          <w:vertAlign w:val="subscript"/>
        </w:rPr>
        <w:t>、埋设时间、埋设方式、保护材料</w:t>
      </w:r>
      <w:r>
        <w:rPr>
          <w:w w:val="120"/>
          <w:sz w:val="42"/>
          <w:vertAlign w:val="baseline"/>
        </w:rPr>
        <w:tab/>
      </w:r>
      <w:r>
        <w:rPr>
          <w:w w:val="105"/>
          <w:sz w:val="42"/>
          <w:vertAlign w:val="baseline"/>
        </w:rPr>
        <w:t>以及</w:t>
      </w:r>
      <w:r>
        <w:rPr>
          <w:sz w:val="42"/>
          <w:vertAlign w:val="baseline"/>
        </w:rPr>
        <w:t>管线附属构筑物信息，并编绘以地形图为载体的地下管线图〔综合管线图和专业管线图</w:t>
      </w:r>
      <w:r>
        <w:rPr>
          <w:spacing w:val="-217"/>
          <w:sz w:val="42"/>
          <w:vertAlign w:val="baseline"/>
        </w:rPr>
        <w:t>〕</w:t>
      </w:r>
      <w:r>
        <w:rPr>
          <w:sz w:val="42"/>
          <w:vertAlign w:val="baseline"/>
        </w:rPr>
        <w:t>。建立全市统一、全面、完整、科学、准确、具有现代特征的城市动态地下管线信息治理系统，实现地下管线信息的制度化、科学</w:t>
      </w:r>
      <w:r>
        <w:rPr>
          <w:w w:val="105"/>
          <w:sz w:val="42"/>
          <w:vertAlign w:val="baseline"/>
        </w:rPr>
        <w:t>化、标准化和标准化。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417" w:lineRule="auto"/>
        <w:ind w:left="2488" w:right="1911" w:firstLine="0"/>
        <w:jc w:val="left"/>
        <w:rPr>
          <w:sz w:val="42"/>
        </w:rPr>
      </w:pPr>
      <w:r>
        <w:rPr>
          <w:sz w:val="42"/>
        </w:rPr>
        <w:t>各种探测设备〔</w:t>
      </w:r>
      <w:r>
        <w:rPr>
          <w:spacing w:val="45"/>
          <w:sz w:val="42"/>
        </w:rPr>
        <w:t>包括</w:t>
      </w:r>
      <w:r>
        <w:rPr>
          <w:sz w:val="42"/>
        </w:rPr>
        <w:t>GPS</w:t>
      </w:r>
      <w:r>
        <w:rPr>
          <w:spacing w:val="-11"/>
          <w:sz w:val="42"/>
        </w:rPr>
        <w:t xml:space="preserve"> 接收机、全站仪、水准仪、探测仪、探测</w:t>
      </w:r>
      <w:r>
        <w:rPr>
          <w:sz w:val="42"/>
        </w:rPr>
        <w:t>雷达等〕</w:t>
      </w:r>
      <w:r>
        <w:rPr>
          <w:spacing w:val="5"/>
          <w:sz w:val="42"/>
        </w:rPr>
        <w:t>在探测过程中的原始记录，用</w:t>
      </w:r>
      <w:r>
        <w:rPr>
          <w:sz w:val="42"/>
        </w:rPr>
        <w:t>H</w:t>
      </w:r>
      <w:r>
        <w:rPr>
          <w:spacing w:val="-9"/>
          <w:sz w:val="42"/>
        </w:rPr>
        <w:t xml:space="preserve"> 型铅笔填写，各工程应齐全、正</w:t>
      </w:r>
    </w:p>
    <w:p>
      <w:pPr>
        <w:spacing w:after="0" w:line="417" w:lineRule="auto"/>
        <w:jc w:val="left"/>
        <w:rPr>
          <w:sz w:val="42"/>
        </w:rPr>
        <w:sectPr>
          <w:type w:val="continuous"/>
          <w:pgSz w:w="17860" w:h="25260"/>
          <w:pgMar w:top="1500" w:right="0" w:bottom="280" w:left="0" w:header="708" w:footer="708"/>
          <w:cols w:space="708"/>
        </w:sectPr>
      </w:pPr>
    </w:p>
    <w:p>
      <w:pPr>
        <w:pStyle w:val="BodyText"/>
        <w:spacing w:before="14" w:line="417" w:lineRule="auto"/>
        <w:ind w:left="2488" w:right="1732"/>
      </w:pPr>
      <w:r>
        <w:t>确、清楚，不得随便擦改、涂改、转抄。确需修改更正时，可在原记录数</w:t>
      </w:r>
      <w:r>
        <w:rPr>
          <w:spacing w:val="-16"/>
        </w:rPr>
        <w:t>据内容上划一“—”线后，将正确的数据内容填写在其上边，并注记缘由，</w:t>
      </w:r>
      <w:r>
        <w:rPr>
          <w:spacing w:val="-207"/>
        </w:rPr>
        <w:t xml:space="preserve"> </w:t>
      </w:r>
      <w:r>
        <w:t>以便查对。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417" w:lineRule="auto"/>
        <w:ind w:left="2488" w:right="1890" w:firstLine="0"/>
        <w:jc w:val="both"/>
        <w:rPr>
          <w:sz w:val="42"/>
        </w:rPr>
      </w:pPr>
      <w:r>
        <w:rPr>
          <w:sz w:val="42"/>
        </w:rPr>
        <w:t>地下管线普查的数据采集应满足《长春市地下管线普查数据标准》要求，地下管线数据应经监理确认合格后，由长春市市政公用局进展数据验收合格前方可入库。进展动态治理采集的地下管线数据也应符合本规程的规定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417" w:lineRule="auto"/>
        <w:ind w:left="2488" w:right="1731" w:firstLine="0"/>
        <w:jc w:val="left"/>
        <w:rPr>
          <w:sz w:val="42"/>
        </w:rPr>
      </w:pPr>
      <w:r>
        <w:rPr>
          <w:spacing w:val="-18"/>
          <w:sz w:val="42"/>
        </w:rPr>
        <w:t>对于探查、测绘的仪器和工具应定期检验校正，使其保持良好状态。</w:t>
      </w:r>
      <w:r>
        <w:rPr>
          <w:spacing w:val="4"/>
          <w:sz w:val="42"/>
        </w:rPr>
        <w:t>野外探测和信息治理系统建设，应按附录</w:t>
      </w:r>
      <w:r>
        <w:rPr>
          <w:sz w:val="42"/>
        </w:rPr>
        <w:t>J</w:t>
      </w:r>
      <w:r>
        <w:rPr>
          <w:spacing w:val="-11"/>
          <w:sz w:val="42"/>
        </w:rPr>
        <w:t xml:space="preserve"> 的要求，做好安全保障工作，</w:t>
      </w:r>
      <w:r>
        <w:rPr>
          <w:spacing w:val="1"/>
          <w:sz w:val="42"/>
        </w:rPr>
        <w:t xml:space="preserve"> </w:t>
      </w:r>
      <w:r>
        <w:rPr>
          <w:sz w:val="42"/>
        </w:rPr>
        <w:t>确保管线普查工作安全、高效有序进展。</w:t>
      </w:r>
    </w:p>
    <w:p>
      <w:pPr>
        <w:pStyle w:val="Heading2"/>
        <w:numPr>
          <w:ilvl w:val="1"/>
          <w:numId w:val="12"/>
        </w:numPr>
        <w:tabs>
          <w:tab w:val="left" w:pos="3547"/>
        </w:tabs>
        <w:spacing w:before="340" w:after="0" w:line="240" w:lineRule="auto"/>
        <w:ind w:left="3546" w:right="0" w:hanging="1059"/>
        <w:jc w:val="left"/>
      </w:pPr>
      <w:r>
        <w:rPr>
          <w:w w:val="95"/>
        </w:rPr>
        <w:t>地下管线的普查对象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323" w:after="0" w:line="417" w:lineRule="auto"/>
        <w:ind w:left="2488" w:right="1890" w:firstLine="0"/>
        <w:jc w:val="left"/>
        <w:rPr>
          <w:sz w:val="42"/>
        </w:rPr>
      </w:pPr>
      <w:r>
        <w:rPr>
          <w:sz w:val="42"/>
        </w:rPr>
        <w:t>本技术规程中所定义的地下管线是指敷设在长春市主城区内的各</w:t>
      </w:r>
      <w:r>
        <w:rPr>
          <w:spacing w:val="1"/>
          <w:sz w:val="42"/>
        </w:rPr>
        <w:t xml:space="preserve"> </w:t>
      </w:r>
      <w:r>
        <w:rPr>
          <w:sz w:val="42"/>
        </w:rPr>
        <w:t>种给水、排水、燃气、电力、热力、通讯、工业等各种管道〔沟、暗渠、暗河</w:t>
      </w:r>
      <w:r>
        <w:rPr>
          <w:spacing w:val="-112"/>
          <w:sz w:val="42"/>
        </w:rPr>
        <w:t>〕</w:t>
      </w:r>
      <w:r>
        <w:rPr>
          <w:spacing w:val="-22"/>
          <w:sz w:val="42"/>
        </w:rPr>
        <w:t>和缆线，以及在探测范围内的铁路、民航等其它单位的专用管线</w:t>
      </w:r>
      <w:r>
        <w:rPr>
          <w:sz w:val="42"/>
        </w:rPr>
        <w:t>〔部队除外</w:t>
      </w:r>
      <w:r>
        <w:rPr>
          <w:spacing w:val="-213"/>
          <w:sz w:val="42"/>
        </w:rPr>
        <w:t>〕</w:t>
      </w:r>
      <w:r>
        <w:rPr>
          <w:sz w:val="42"/>
        </w:rPr>
        <w:t>。</w:t>
      </w:r>
    </w:p>
    <w:p>
      <w:pPr>
        <w:pStyle w:val="ListParagraph"/>
        <w:numPr>
          <w:ilvl w:val="2"/>
          <w:numId w:val="12"/>
        </w:numPr>
        <w:tabs>
          <w:tab w:val="left" w:pos="3749"/>
        </w:tabs>
        <w:spacing w:before="0" w:after="0" w:line="537" w:lineRule="exact"/>
        <w:ind w:left="3748" w:right="0" w:hanging="1261"/>
        <w:jc w:val="left"/>
        <w:rPr>
          <w:sz w:val="42"/>
        </w:rPr>
      </w:pPr>
      <w:r>
        <w:rPr>
          <w:sz w:val="42"/>
        </w:rPr>
        <w:t>地下管线探测范围为：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12"/>
        </w:numPr>
        <w:tabs>
          <w:tab w:val="left" w:pos="4004"/>
        </w:tabs>
        <w:spacing w:before="0" w:after="0" w:line="417" w:lineRule="auto"/>
        <w:ind w:left="4000" w:right="2060" w:hanging="807"/>
        <w:jc w:val="left"/>
        <w:rPr>
          <w:sz w:val="42"/>
        </w:rPr>
      </w:pPr>
      <w:r>
        <w:rPr>
          <w:sz w:val="42"/>
        </w:rPr>
        <w:t>长春市主城区的主干路、次干路、支路等〔以下简称街巷〕已形成道路，能通汽车道路，以道路两侧第一排建筑物内边线为界；</w:t>
      </w:r>
    </w:p>
    <w:p>
      <w:pPr>
        <w:pStyle w:val="ListParagraph"/>
        <w:numPr>
          <w:ilvl w:val="3"/>
          <w:numId w:val="12"/>
        </w:numPr>
        <w:tabs>
          <w:tab w:val="left" w:pos="4004"/>
        </w:tabs>
        <w:spacing w:before="1" w:after="0" w:line="417" w:lineRule="auto"/>
        <w:ind w:left="4000" w:right="2060" w:hanging="807"/>
        <w:jc w:val="left"/>
        <w:rPr>
          <w:sz w:val="42"/>
        </w:rPr>
      </w:pPr>
      <w:r>
        <w:rPr>
          <w:sz w:val="42"/>
        </w:rPr>
        <w:t>开放式小区具有社会功能的道路，以道路两侧第一排建筑物内边线为界；</w:t>
      </w:r>
    </w:p>
    <w:p>
      <w:pPr>
        <w:pStyle w:val="ListParagraph"/>
        <w:numPr>
          <w:ilvl w:val="3"/>
          <w:numId w:val="12"/>
        </w:numPr>
        <w:tabs>
          <w:tab w:val="left" w:pos="4004"/>
        </w:tabs>
        <w:spacing w:before="0" w:after="0" w:line="417" w:lineRule="auto"/>
        <w:ind w:left="4000" w:right="2060" w:hanging="807"/>
        <w:jc w:val="left"/>
        <w:rPr>
          <w:sz w:val="42"/>
        </w:rPr>
      </w:pPr>
      <w:r>
        <w:rPr>
          <w:sz w:val="42"/>
        </w:rPr>
        <w:t>穿过辖区内机关、企事业单位、住宅小区、其他居民区等〔以下简称面积单元〕的具有转输功能的管线〔给水、燃气的干管，排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https://d.book118.com/485340314110011034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pgSz w:w="17860" w:h="25260"/>
      <w:pgMar w:top="176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BC75"/>
    <w:multiLevelType w:val="hybridMultilevel"/>
    <w:tmpl w:val="00000000"/>
    <w:lvl w:ilvl="0">
      <w:start w:val="1"/>
      <w:numFmt w:val="decimal"/>
      <w:lvlText w:val="%1."/>
      <w:lvlJc w:val="left"/>
      <w:pPr>
        <w:ind w:left="2584" w:hanging="526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07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526"/>
      </w:pPr>
      <w:rPr>
        <w:rFonts w:hint="default"/>
      </w:rPr>
    </w:lvl>
  </w:abstractNum>
  <w:abstractNum w:abstractNumId="1">
    <w:nsid w:val="06EA3630"/>
    <w:multiLevelType w:val="hybridMultilevel"/>
    <w:tmpl w:val="00000000"/>
    <w:lvl w:ilvl="0">
      <w:start w:val="1"/>
      <w:numFmt w:val="decimal"/>
      <w:lvlText w:val="%1."/>
      <w:lvlJc w:val="left"/>
      <w:pPr>
        <w:ind w:left="3013" w:hanging="526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503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526"/>
      </w:pPr>
      <w:rPr>
        <w:rFonts w:hint="default"/>
      </w:rPr>
    </w:lvl>
  </w:abstractNum>
  <w:abstractNum w:abstractNumId="2">
    <w:nsid w:val="1795B837"/>
    <w:multiLevelType w:val="hybridMultilevel"/>
    <w:tmpl w:val="00000000"/>
    <w:lvl w:ilvl="0">
      <w:start w:val="1"/>
      <w:numFmt w:val="decimal"/>
      <w:lvlText w:val="%1."/>
      <w:lvlJc w:val="left"/>
      <w:pPr>
        <w:ind w:left="1455" w:hanging="239"/>
        <w:jc w:val="left"/>
      </w:pPr>
      <w:rPr>
        <w:rFonts w:ascii="Calibri" w:eastAsia="Calibri" w:hAnsi="Calibri" w:cs="Calibri" w:hint="default"/>
        <w:w w:val="100"/>
        <w:sz w:val="29"/>
        <w:szCs w:val="29"/>
      </w:rPr>
    </w:lvl>
    <w:lvl w:ilvl="1">
      <w:start w:val="1"/>
      <w:numFmt w:val="decimal"/>
      <w:lvlText w:val="%2."/>
      <w:lvlJc w:val="left"/>
      <w:pPr>
        <w:ind w:left="5804" w:hanging="239"/>
        <w:jc w:val="left"/>
      </w:pPr>
      <w:rPr>
        <w:rFonts w:ascii="Calibri" w:eastAsia="Calibri" w:hAnsi="Calibri" w:cs="Calibri" w:hint="default"/>
        <w:w w:val="100"/>
        <w:sz w:val="29"/>
        <w:szCs w:val="29"/>
      </w:rPr>
    </w:lvl>
    <w:lvl w:ilvl="2">
      <w:start w:val="0"/>
      <w:numFmt w:val="bullet"/>
      <w:lvlText w:val="•"/>
      <w:lvlJc w:val="left"/>
      <w:pPr>
        <w:ind w:left="5994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7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6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4" w:hanging="239"/>
      </w:pPr>
      <w:rPr>
        <w:rFonts w:hint="default"/>
      </w:rPr>
    </w:lvl>
  </w:abstractNum>
  <w:abstractNum w:abstractNumId="3">
    <w:nsid w:val="299D3530"/>
    <w:multiLevelType w:val="hybridMultilevel"/>
    <w:tmpl w:val="00000000"/>
    <w:lvl w:ilvl="0">
      <w:start w:val="3"/>
      <w:numFmt w:val="decimal"/>
      <w:lvlText w:val="%1"/>
      <w:lvlJc w:val="left"/>
      <w:pPr>
        <w:ind w:left="3546" w:hanging="10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546" w:hanging="1059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3748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4."/>
      <w:lvlJc w:val="left"/>
      <w:pPr>
        <w:ind w:left="4003" w:hanging="81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464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7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2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94" w:hanging="810"/>
      </w:pPr>
      <w:rPr>
        <w:rFonts w:hint="default"/>
      </w:rPr>
    </w:lvl>
  </w:abstractNum>
  <w:abstractNum w:abstractNumId="4">
    <w:nsid w:val="2E716DCB"/>
    <w:multiLevelType w:val="hybridMultilevel"/>
    <w:tmpl w:val="00000000"/>
    <w:lvl w:ilvl="0">
      <w:start w:val="1"/>
      <w:numFmt w:val="decimal"/>
      <w:lvlText w:val="%1"/>
      <w:lvlJc w:val="left"/>
      <w:pPr>
        <w:ind w:left="2970" w:hanging="483"/>
        <w:jc w:val="left"/>
      </w:pPr>
      <w:rPr>
        <w:rFonts w:hint="default"/>
        <w:w w:val="99"/>
      </w:rPr>
    </w:lvl>
    <w:lvl w:ilvl="1">
      <w:start w:val="1"/>
      <w:numFmt w:val="decimal"/>
      <w:lvlText w:val="%1.%2"/>
      <w:lvlJc w:val="left"/>
      <w:pPr>
        <w:ind w:left="3546" w:hanging="1059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3748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4."/>
      <w:lvlJc w:val="left"/>
      <w:pPr>
        <w:ind w:left="4000" w:hanging="126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4">
      <w:start w:val="1"/>
      <w:numFmt w:val="decimal"/>
      <w:lvlText w:val="%5."/>
      <w:lvlJc w:val="left"/>
      <w:pPr>
        <w:ind w:left="6781" w:hanging="1260"/>
        <w:jc w:val="left"/>
      </w:pPr>
      <w:rPr>
        <w:rFonts w:ascii="Calibri" w:eastAsia="Calibri" w:hAnsi="Calibri" w:cs="Calibri" w:hint="default"/>
        <w:w w:val="100"/>
        <w:sz w:val="29"/>
        <w:szCs w:val="29"/>
      </w:rPr>
    </w:lvl>
    <w:lvl w:ilvl="5">
      <w:start w:val="0"/>
      <w:numFmt w:val="bullet"/>
      <w:lvlText w:val="•"/>
      <w:lvlJc w:val="left"/>
      <w:pPr>
        <w:ind w:left="678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7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7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1" w:hanging="1260"/>
      </w:pPr>
      <w:rPr>
        <w:rFonts w:hint="default"/>
      </w:rPr>
    </w:lvl>
  </w:abstractNum>
  <w:abstractNum w:abstractNumId="5">
    <w:nsid w:val="32368AE3"/>
    <w:multiLevelType w:val="hybridMultilevel"/>
    <w:tmpl w:val="00000000"/>
    <w:lvl w:ilvl="0">
      <w:start w:val="1"/>
      <w:numFmt w:val="decimal"/>
      <w:lvlText w:val="%1."/>
      <w:lvlJc w:val="left"/>
      <w:pPr>
        <w:ind w:left="3013" w:hanging="526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03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526"/>
      </w:pPr>
      <w:rPr>
        <w:rFonts w:hint="default"/>
      </w:rPr>
    </w:lvl>
  </w:abstractNum>
  <w:abstractNum w:abstractNumId="6">
    <w:nsid w:val="33AC4AE2"/>
    <w:multiLevelType w:val="hybridMultilevel"/>
    <w:tmpl w:val="00000000"/>
    <w:lvl w:ilvl="0">
      <w:start w:val="1"/>
      <w:numFmt w:val="decimal"/>
      <w:lvlText w:val="%1."/>
      <w:lvlJc w:val="left"/>
      <w:pPr>
        <w:ind w:left="2474" w:hanging="239"/>
        <w:jc w:val="left"/>
      </w:pPr>
      <w:rPr>
        <w:rFonts w:ascii="Calibri" w:eastAsia="Calibri" w:hAnsi="Calibri" w:cs="Calibri" w:hint="default"/>
        <w:spacing w:val="-1"/>
        <w:w w:val="100"/>
        <w:sz w:val="29"/>
        <w:szCs w:val="29"/>
      </w:rPr>
    </w:lvl>
    <w:lvl w:ilvl="1">
      <w:start w:val="1"/>
      <w:numFmt w:val="decimal"/>
      <w:lvlText w:val="%2."/>
      <w:lvlJc w:val="left"/>
      <w:pPr>
        <w:ind w:left="7440" w:hanging="239"/>
        <w:jc w:val="left"/>
      </w:pPr>
      <w:rPr>
        <w:rFonts w:ascii="Calibri" w:eastAsia="Calibri" w:hAnsi="Calibri" w:cs="Calibri" w:hint="default"/>
        <w:spacing w:val="-1"/>
        <w:w w:val="100"/>
        <w:sz w:val="29"/>
        <w:szCs w:val="29"/>
      </w:rPr>
    </w:lvl>
    <w:lvl w:ilvl="2">
      <w:start w:val="0"/>
      <w:numFmt w:val="bullet"/>
      <w:lvlText w:val="•"/>
      <w:lvlJc w:val="left"/>
      <w:pPr>
        <w:ind w:left="717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28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59" w:hanging="239"/>
      </w:pPr>
      <w:rPr>
        <w:rFonts w:hint="default"/>
      </w:rPr>
    </w:lvl>
  </w:abstractNum>
  <w:abstractNum w:abstractNumId="7">
    <w:nsid w:val="35528418"/>
    <w:multiLevelType w:val="hybridMultilevel"/>
    <w:tmpl w:val="00000000"/>
    <w:lvl w:ilvl="0">
      <w:start w:val="1"/>
      <w:numFmt w:val="decimal"/>
      <w:lvlText w:val="(%1)"/>
      <w:lvlJc w:val="left"/>
      <w:pPr>
        <w:ind w:left="4813" w:hanging="81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1">
      <w:start w:val="1"/>
      <w:numFmt w:val="lowerLetter"/>
      <w:lvlText w:val="%2)"/>
      <w:lvlJc w:val="left"/>
      <w:pPr>
        <w:ind w:left="5623" w:hanging="81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7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9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9" w:hanging="810"/>
      </w:pPr>
      <w:rPr>
        <w:rFonts w:hint="default"/>
      </w:rPr>
    </w:lvl>
  </w:abstractNum>
  <w:abstractNum w:abstractNumId="8">
    <w:nsid w:val="3659E047"/>
    <w:multiLevelType w:val="hybridMultilevel"/>
    <w:tmpl w:val="00000000"/>
    <w:lvl w:ilvl="0">
      <w:start w:val="1"/>
      <w:numFmt w:val="decimal"/>
      <w:lvlText w:val="(%1)"/>
      <w:lvlJc w:val="left"/>
      <w:pPr>
        <w:ind w:left="4813" w:hanging="81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123" w:hanging="8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27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3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3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4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1" w:hanging="810"/>
      </w:pPr>
      <w:rPr>
        <w:rFonts w:hint="default"/>
      </w:rPr>
    </w:lvl>
  </w:abstractNum>
  <w:abstractNum w:abstractNumId="9">
    <w:nsid w:val="47ECA2EA"/>
    <w:multiLevelType w:val="hybridMultilevel"/>
    <w:tmpl w:val="00000000"/>
    <w:lvl w:ilvl="0">
      <w:start w:val="1"/>
      <w:numFmt w:val="decimal"/>
      <w:lvlText w:val="%1."/>
      <w:lvlJc w:val="left"/>
      <w:pPr>
        <w:ind w:left="3013" w:hanging="526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4320" w:hanging="81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824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8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7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2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0" w:hanging="810"/>
      </w:pPr>
      <w:rPr>
        <w:rFonts w:hint="default"/>
      </w:rPr>
    </w:lvl>
  </w:abstractNum>
  <w:abstractNum w:abstractNumId="10">
    <w:nsid w:val="56D0EC2B"/>
    <w:multiLevelType w:val="hybridMultilevel"/>
    <w:tmpl w:val="00000000"/>
    <w:lvl w:ilvl="0">
      <w:start w:val="1"/>
      <w:numFmt w:val="decimal"/>
      <w:lvlText w:val="%1."/>
      <w:lvlJc w:val="left"/>
      <w:pPr>
        <w:ind w:left="1722" w:hanging="239"/>
        <w:jc w:val="left"/>
      </w:pPr>
      <w:rPr>
        <w:rFonts w:ascii="Calibri" w:eastAsia="Calibri" w:hAnsi="Calibri" w:cs="Calibri" w:hint="default"/>
        <w:spacing w:val="-1"/>
        <w:w w:val="100"/>
        <w:sz w:val="29"/>
        <w:szCs w:val="29"/>
      </w:rPr>
    </w:lvl>
    <w:lvl w:ilvl="1">
      <w:start w:val="1"/>
      <w:numFmt w:val="decimal"/>
      <w:lvlText w:val="%2."/>
      <w:lvlJc w:val="left"/>
      <w:pPr>
        <w:ind w:left="7170" w:hanging="239"/>
        <w:jc w:val="left"/>
      </w:pPr>
      <w:rPr>
        <w:rFonts w:ascii="Calibri" w:eastAsia="Calibri" w:hAnsi="Calibri" w:cs="Calibri" w:hint="default"/>
        <w:spacing w:val="-1"/>
        <w:w w:val="100"/>
        <w:sz w:val="29"/>
        <w:szCs w:val="29"/>
      </w:rPr>
    </w:lvl>
    <w:lvl w:ilvl="2">
      <w:start w:val="0"/>
      <w:numFmt w:val="bullet"/>
      <w:lvlText w:val="•"/>
      <w:lvlJc w:val="left"/>
      <w:pPr>
        <w:ind w:left="682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8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7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2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6" w:hanging="239"/>
      </w:pPr>
      <w:rPr>
        <w:rFonts w:hint="default"/>
      </w:rPr>
    </w:lvl>
  </w:abstractNum>
  <w:abstractNum w:abstractNumId="11">
    <w:nsid w:val="76FAFE2F"/>
    <w:multiLevelType w:val="hybridMultilevel"/>
    <w:tmpl w:val="00000000"/>
    <w:lvl w:ilvl="0">
      <w:start w:val="4"/>
      <w:numFmt w:val="decimal"/>
      <w:lvlText w:val="%1"/>
      <w:lvlJc w:val="left"/>
      <w:pPr>
        <w:ind w:left="2488" w:hanging="126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88" w:hanging="126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488" w:hanging="126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09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1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7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5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3" w:hanging="1260"/>
      </w:pPr>
      <w:rPr>
        <w:rFonts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7"/>
  </w:num>
  <w:num w:numId="5">
    <w:abstractNumId w:val="10"/>
  </w:num>
  <w:num w:numId="6">
    <w:abstractNumId w:val="6"/>
  </w:num>
  <w:num w:numId="7">
    <w:abstractNumId w:val="2"/>
  </w:num>
  <w:num w:numId="8">
    <w:abstractNumId w:val="11"/>
  </w:num>
  <w:num w:numId="9">
    <w:abstractNumId w:val="3"/>
  </w:num>
  <w:num w:numId="10">
    <w:abstractNumId w:val="0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2"/>
      <w:ind w:left="2970"/>
      <w:outlineLvl w:val="1"/>
    </w:pPr>
    <w:rPr>
      <w:rFonts w:ascii="仿宋" w:eastAsia="仿宋" w:hAnsi="仿宋" w:cs="仿宋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3546" w:hanging="1059"/>
      <w:outlineLvl w:val="2"/>
    </w:pPr>
    <w:rPr>
      <w:rFonts w:ascii="仿宋" w:eastAsia="仿宋" w:hAnsi="仿宋" w:cs="仿宋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969" w:lineRule="exact"/>
      <w:ind w:left="565" w:right="60"/>
      <w:jc w:val="center"/>
    </w:pPr>
    <w:rPr>
      <w:rFonts w:ascii="仿宋" w:eastAsia="仿宋" w:hAnsi="仿宋" w:cs="仿宋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4003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5340314110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2023-10-16T06:27:05Z</dcterms:created>
  <dcterms:modified xsi:type="dcterms:W3CDTF">2023-10-16T06:27:05Z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LastSaved">
    <vt:filetime>2023-10-16T00:00:00Z</vt:filetime>
  </property>
</Properties>
</file>