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9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豪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华游轮项目可行性研究报告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1197805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一、豪华游轮项目建设背景及必要性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、豪华游轮项目概论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(一)、豪华游轮项目承办单位基本情况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)、豪华游轮项目概况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)、豪华游轮项目评价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)、豪华游轮项目建设期原辅材料供应情况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(二)、豪华游轮项目运营期原辅材料供应及质量管理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3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五、豪华游轮项目可行性研究报告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一)、环境影响评估目的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3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)、豪华游轮项目对环境的主要影响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七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一)、豪华游轮项目风险分析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二)、豪华游轮项目风险对策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二)、市场定位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644506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豪华游轮项目实施保障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9852750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二、豪华游轮项目管理与团队协作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、豪华游轮项目管理方法论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(二)、豪华游轮项目计划与进度管理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2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、豪华游轮项目风险管理与应对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项目商业计划书是为了规范豪华游轮项目的实施步骤和计划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编写的。通过详细描述豪华游轮项目的背景和目标，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一、豪华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游轮项目建设背景及必要性分析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豪</w:t>
      </w:r>
      <w:r>
        <w:rPr>
          <w:rFonts w:ascii="FangSong" w:eastAsia="FangSong" w:hAnsi="FangSong" w:cs="FangSong"/>
          <w:spacing w:val="-9"/>
          <w:sz w:val="28"/>
          <w:szCs w:val="28"/>
        </w:rPr>
        <w:t>华游轮行业作为一个充满活力的领域，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着科技的迅猛发展，豪华游轮行业在技术上取得了显著的突破。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**豪华游轮行业**是一片充满活力的领域，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96" w:firstLine="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豪</w:t>
      </w:r>
      <w:r>
        <w:rPr>
          <w:rFonts w:ascii="FangSong" w:eastAsia="FangSong" w:hAnsi="FangSong" w:cs="FangSong"/>
          <w:spacing w:val="-9"/>
          <w:sz w:val="28"/>
          <w:szCs w:val="28"/>
        </w:rPr>
        <w:t>华游轮行业市场规模庞大，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着科技的飞速发展，豪华游轮行业在技术上取得了显著的突破。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三、豪华游轮项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(一)、豪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华游轮项目承办单位基本情况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(二)、豪华游轮项目概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豪</w:t>
      </w:r>
      <w:r>
        <w:rPr>
          <w:rFonts w:ascii="FangSong" w:eastAsia="FangSong" w:hAnsi="FangSong" w:cs="FangSong"/>
          <w:spacing w:val="-10"/>
          <w:sz w:val="28"/>
          <w:szCs w:val="28"/>
        </w:rPr>
        <w:t>华</w:t>
      </w:r>
      <w:r>
        <w:rPr>
          <w:rFonts w:ascii="FangSong" w:eastAsia="FangSong" w:hAnsi="FangSong" w:cs="FangSong"/>
          <w:spacing w:val="-9"/>
          <w:sz w:val="28"/>
          <w:szCs w:val="28"/>
        </w:rPr>
        <w:t>游轮项目名称：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豪华游轮项目</w:t>
      </w:r>
    </w:p>
    <w:p>
      <w:pPr>
        <w:spacing w:before="291" w:line="219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豪</w:t>
      </w:r>
      <w:r>
        <w:rPr>
          <w:rFonts w:ascii="FangSong" w:eastAsia="FangSong" w:hAnsi="FangSong" w:cs="FangSong"/>
          <w:spacing w:val="-11"/>
          <w:sz w:val="28"/>
          <w:szCs w:val="28"/>
        </w:rPr>
        <w:t>华游轮项目类型：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2" w:line="219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1"/>
          <w:sz w:val="28"/>
          <w:szCs w:val="28"/>
        </w:rPr>
        <w:t>豪</w:t>
      </w:r>
      <w:r>
        <w:rPr>
          <w:rFonts w:ascii="FangSong" w:eastAsia="FangSong" w:hAnsi="FangSong" w:cs="FangSong"/>
          <w:spacing w:val="-16"/>
          <w:sz w:val="28"/>
          <w:szCs w:val="28"/>
        </w:rPr>
        <w:t>华游轮项目地点：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2" w:line="411" w:lineRule="auto"/>
        <w:ind w:left="32" w:right="3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4"/>
          <w:sz w:val="28"/>
          <w:szCs w:val="28"/>
        </w:rPr>
        <w:t>豪</w:t>
      </w:r>
      <w:r>
        <w:rPr>
          <w:rFonts w:ascii="FangSong" w:eastAsia="FangSong" w:hAnsi="FangSong" w:cs="FangSong"/>
          <w:spacing w:val="-26"/>
          <w:sz w:val="28"/>
          <w:szCs w:val="28"/>
        </w:rPr>
        <w:t>华游轮项目规模：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19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豪</w:t>
      </w:r>
      <w:r>
        <w:rPr>
          <w:rFonts w:ascii="FangSong" w:eastAsia="FangSong" w:hAnsi="FangSong" w:cs="FangSong"/>
          <w:spacing w:val="-18"/>
          <w:sz w:val="28"/>
          <w:szCs w:val="28"/>
        </w:rPr>
        <w:t>华</w:t>
      </w:r>
      <w:r>
        <w:rPr>
          <w:rFonts w:ascii="FangSong" w:eastAsia="FangSong" w:hAnsi="FangSong" w:cs="FangSong"/>
          <w:spacing w:val="-14"/>
          <w:sz w:val="28"/>
          <w:szCs w:val="28"/>
        </w:rPr>
        <w:t>游轮项目周期：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1" w:line="416" w:lineRule="auto"/>
        <w:ind w:left="31" w:right="103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豪华游轮项目背景：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豪华游轮项目的建设旨在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(三)、豪华游轮项目评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该豪华游轮项目处于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风险分析：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89" w:line="416" w:lineRule="auto"/>
        <w:ind w:left="40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华游轮项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(一)、豪华游轮项目建设期原辅材料供应情况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在豪</w:t>
      </w:r>
      <w:r>
        <w:rPr>
          <w:rFonts w:ascii="FangSong" w:eastAsia="FangSong" w:hAnsi="FangSong" w:cs="FangSong"/>
          <w:spacing w:val="-15"/>
          <w:sz w:val="28"/>
          <w:szCs w:val="28"/>
        </w:rPr>
        <w:t>华</w:t>
      </w:r>
      <w:r>
        <w:rPr>
          <w:rFonts w:ascii="FangSong" w:eastAsia="FangSong" w:hAnsi="FangSong" w:cs="FangSong"/>
          <w:spacing w:val="-8"/>
          <w:sz w:val="28"/>
          <w:szCs w:val="28"/>
        </w:rPr>
        <w:t>游轮项目的建设和运营过程中，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程顺利进行和产品质量稳定的重要环节。本章将详细探讨豪华游</w:t>
      </w:r>
      <w:r>
        <w:rPr>
          <w:rFonts w:ascii="FangSong" w:eastAsia="FangSong" w:hAnsi="FangSong" w:cs="FangSong"/>
          <w:spacing w:val="-3"/>
          <w:sz w:val="28"/>
          <w:szCs w:val="28"/>
        </w:rPr>
        <w:t>轮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19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豪华游轮项目建设期原辅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3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在豪</w:t>
      </w:r>
      <w:r>
        <w:rPr>
          <w:rFonts w:ascii="FangSong" w:eastAsia="FangSong" w:hAnsi="FangSong" w:cs="FangSong"/>
          <w:spacing w:val="-15"/>
          <w:sz w:val="28"/>
          <w:szCs w:val="28"/>
        </w:rPr>
        <w:t>华</w:t>
      </w:r>
      <w:r>
        <w:rPr>
          <w:rFonts w:ascii="FangSong" w:eastAsia="FangSong" w:hAnsi="FangSong" w:cs="FangSong"/>
          <w:spacing w:val="-8"/>
          <w:sz w:val="28"/>
          <w:szCs w:val="28"/>
        </w:rPr>
        <w:t>游轮项目建设期间，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量有着直接的影响。下面是豪华游轮项目建设期原辅材料供应情况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(二)、豪华游轮项目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豪</w:t>
      </w:r>
      <w:r>
        <w:rPr>
          <w:rFonts w:ascii="FangSong" w:eastAsia="FangSong" w:hAnsi="FangSong" w:cs="FangSong"/>
          <w:spacing w:val="-9"/>
          <w:sz w:val="28"/>
          <w:szCs w:val="28"/>
        </w:rPr>
        <w:t>华游轮项目进入运营期后，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是豪华游轮项目运营期原辅材料供应及质量管理的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5" w:line="416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五、豪华游轮项目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在豪</w:t>
      </w:r>
      <w:r>
        <w:rPr>
          <w:rFonts w:ascii="FangSong" w:eastAsia="FangSong" w:hAnsi="FangSong" w:cs="FangSong"/>
          <w:spacing w:val="-15"/>
          <w:sz w:val="28"/>
          <w:szCs w:val="28"/>
        </w:rPr>
        <w:t>华</w:t>
      </w:r>
      <w:r>
        <w:rPr>
          <w:rFonts w:ascii="FangSong" w:eastAsia="FangSong" w:hAnsi="FangSong" w:cs="FangSong"/>
          <w:spacing w:val="-8"/>
          <w:sz w:val="28"/>
          <w:szCs w:val="28"/>
        </w:rPr>
        <w:t>游轮行业，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为消费者首选的豪华游轮产品。</w:t>
      </w:r>
    </w:p>
    <w:p>
      <w:pPr>
        <w:spacing w:before="248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豪华游轮项目总投资</w:t>
      </w:r>
    </w:p>
    <w:p>
      <w:pPr>
        <w:spacing w:before="293" w:line="411" w:lineRule="auto"/>
        <w:ind w:left="40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建设规模旨在实现一个全面、可持续的豪华游轮项目。豪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华</w:t>
      </w:r>
      <w:r>
        <w:rPr>
          <w:rFonts w:ascii="FangSong" w:eastAsia="FangSong" w:hAnsi="FangSong" w:cs="FangSong"/>
          <w:spacing w:val="-5"/>
          <w:sz w:val="28"/>
          <w:szCs w:val="28"/>
        </w:rPr>
        <w:t>游</w:t>
      </w:r>
      <w:r>
        <w:rPr>
          <w:rFonts w:ascii="FangSong" w:eastAsia="FangSong" w:hAnsi="FangSong" w:cs="FangSong"/>
          <w:spacing w:val="-4"/>
          <w:sz w:val="28"/>
          <w:szCs w:val="28"/>
        </w:rPr>
        <w:t>轮项目总投资将主要用于以下几个方面：</w:t>
      </w:r>
    </w:p>
    <w:p>
      <w:pPr>
        <w:spacing w:before="1" w:line="411" w:lineRule="auto"/>
        <w:ind w:left="40" w:right="82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华</w:t>
      </w:r>
      <w:r>
        <w:rPr>
          <w:rFonts w:ascii="FangSong" w:eastAsia="FangSong" w:hAnsi="FangSong" w:cs="FangSong"/>
          <w:spacing w:val="-5"/>
          <w:sz w:val="28"/>
          <w:szCs w:val="28"/>
        </w:rPr>
        <w:t>游轮项目的顺利进行。</w:t>
      </w:r>
    </w:p>
    <w:p>
      <w:pPr>
        <w:spacing w:before="1" w:line="416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一部分资金将用于技术研发，以确保豪华游轮项目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6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豪华游轮项目规模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91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我们计划在豪华游轮项目建设后的第一年实现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豪</w:t>
      </w:r>
      <w:r>
        <w:rPr>
          <w:rFonts w:ascii="FangSong" w:eastAsia="FangSong" w:hAnsi="FangSong" w:cs="FangSong"/>
          <w:spacing w:val="-17"/>
          <w:sz w:val="28"/>
          <w:szCs w:val="28"/>
        </w:rPr>
        <w:t>华游轮项目规模：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豪华游轮项目将建设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房、办公区域、仓储设施等。这将确保豪华游轮项目能够满足预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、废气处理等，以确保豪华游轮项目的环保性。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豪华游轮项目总投资与用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92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该</w:t>
      </w:r>
      <w:r>
        <w:rPr>
          <w:rFonts w:ascii="FangSong" w:eastAsia="FangSong" w:hAnsi="FangSong" w:cs="FangSong"/>
          <w:spacing w:val="-9"/>
          <w:sz w:val="28"/>
          <w:szCs w:val="28"/>
        </w:rPr>
        <w:t>豪华游轮项目总征地面积为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2" w:right="13" w:firstLine="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亩)。豪华游轮项目规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豪华游轮项目计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。这些设备将在豪华游轮项目运营中发挥关键作用，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right="13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豪</w:t>
      </w:r>
      <w:r>
        <w:rPr>
          <w:rFonts w:ascii="FangSong" w:eastAsia="FangSong" w:hAnsi="FangSong" w:cs="FangSong"/>
          <w:spacing w:val="-4"/>
          <w:sz w:val="28"/>
          <w:szCs w:val="28"/>
        </w:rPr>
        <w:t>华游轮项目计划总投资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豪华游轮项目未来的发展提供可观的经济回报。</w:t>
      </w:r>
    </w:p>
    <w:p>
      <w:pPr>
        <w:spacing w:before="1"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豪华</w:t>
      </w:r>
      <w:r>
        <w:rPr>
          <w:rFonts w:ascii="FangSong" w:eastAsia="FangSong" w:hAnsi="FangSong" w:cs="FangSong"/>
          <w:spacing w:val="-6"/>
          <w:sz w:val="28"/>
          <w:szCs w:val="28"/>
        </w:rPr>
        <w:t>游</w:t>
      </w:r>
      <w:r>
        <w:rPr>
          <w:rFonts w:ascii="FangSong" w:eastAsia="FangSong" w:hAnsi="FangSong" w:cs="FangSong"/>
          <w:spacing w:val="-4"/>
          <w:sz w:val="28"/>
          <w:szCs w:val="28"/>
        </w:rPr>
        <w:t>轮项目的环境影响评估旨在全面了解、评估豪华游轮项目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从而为决策者提供科学、客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观</w:t>
      </w:r>
      <w:r>
        <w:rPr>
          <w:rFonts w:ascii="FangSong" w:eastAsia="FangSong" w:hAnsi="FangSong" w:cs="FangSong"/>
          <w:spacing w:val="-6"/>
          <w:sz w:val="28"/>
          <w:szCs w:val="28"/>
        </w:rPr>
        <w:t>的依据。具体目的包括：</w:t>
      </w:r>
    </w:p>
    <w:p>
      <w:pPr>
        <w:spacing w:before="2" w:line="415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确定豪华游轮项目可能对自然环境、生态系统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水源、空气质量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5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遵循国家和地方环境法规，确保豪华游轮项目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在环保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、豪华游轮项目对环境的主要影响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我们将全面了解豪华游轮项目可能</w:t>
      </w:r>
      <w:r>
        <w:rPr>
          <w:rFonts w:ascii="FangSong" w:eastAsia="FangSong" w:hAnsi="FangSong" w:cs="FangSong"/>
          <w:spacing w:val="-7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环境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生的主要影响，包括但不限于：</w:t>
      </w:r>
    </w:p>
    <w:p>
      <w:pPr>
        <w:spacing w:before="1" w:line="411" w:lineRule="auto"/>
        <w:ind w:left="45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评估豪华游轮项目对附近水源的影响，确保水质</w:t>
      </w:r>
      <w:r>
        <w:rPr>
          <w:rFonts w:ascii="FangSong" w:eastAsia="FangSong" w:hAnsi="FangSong" w:cs="FangSong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11"/>
          <w:sz w:val="28"/>
          <w:szCs w:val="28"/>
        </w:rPr>
        <w:t>到污染。</w:t>
      </w:r>
    </w:p>
    <w:p>
      <w:pPr>
        <w:spacing w:before="2" w:line="411" w:lineRule="auto"/>
        <w:ind w:left="33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考察豪华游轮项目可能对空气质量产生的影响，采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取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4"/>
          <w:sz w:val="28"/>
          <w:szCs w:val="28"/>
        </w:rPr>
        <w:t>应措施减少空气污染。</w:t>
      </w:r>
    </w:p>
    <w:p>
      <w:pPr>
        <w:spacing w:before="1" w:line="415" w:lineRule="auto"/>
        <w:ind w:left="43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分析豪华游轮项目对土壤的潜在影响，保护土壤生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态</w:t>
      </w:r>
      <w:r>
        <w:rPr>
          <w:rFonts w:ascii="FangSong" w:eastAsia="FangSong" w:hAnsi="FangSong" w:cs="FangSong"/>
          <w:spacing w:val="-8"/>
          <w:sz w:val="28"/>
          <w:szCs w:val="28"/>
        </w:rPr>
        <w:t>系统的稳定。</w:t>
      </w:r>
    </w:p>
    <w:p>
      <w:pPr>
        <w:spacing w:before="248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为减少环境</w:t>
      </w:r>
      <w:r>
        <w:rPr>
          <w:rFonts w:ascii="FangSong" w:eastAsia="FangSong" w:hAnsi="FangSong" w:cs="FangSong"/>
          <w:spacing w:val="-4"/>
          <w:sz w:val="28"/>
          <w:szCs w:val="28"/>
        </w:rPr>
        <w:t>影</w:t>
      </w:r>
      <w:r>
        <w:rPr>
          <w:rFonts w:ascii="FangSong" w:eastAsia="FangSong" w:hAnsi="FangSong" w:cs="FangSong"/>
          <w:spacing w:val="-3"/>
          <w:sz w:val="28"/>
          <w:szCs w:val="28"/>
        </w:rPr>
        <w:t>响，豪华游轮项目将采取以下环保措施：</w:t>
      </w:r>
    </w:p>
    <w:p>
      <w:pPr>
        <w:spacing w:before="293" w:line="416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豪华游轮</w:t>
      </w:r>
      <w:r>
        <w:rPr>
          <w:rFonts w:ascii="FangSong" w:eastAsia="FangSong" w:hAnsi="FangSong" w:cs="FangSong"/>
          <w:spacing w:val="-3"/>
          <w:sz w:val="28"/>
          <w:szCs w:val="28"/>
        </w:rPr>
        <w:t>项目将建立完善的环境监测与管理体系，包括：</w:t>
      </w:r>
    </w:p>
    <w:p>
      <w:pPr>
        <w:spacing w:before="292" w:line="411" w:lineRule="auto"/>
        <w:ind w:left="35" w:right="7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245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、豪华游轮项目风险分析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受市场变化和竞争压力的影响，豪华游轮项目面临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影响豪华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游</w:t>
      </w:r>
      <w:r>
        <w:rPr>
          <w:rFonts w:ascii="FangSong" w:eastAsia="FangSong" w:hAnsi="FangSong" w:cs="FangSong"/>
          <w:spacing w:val="-5"/>
          <w:sz w:val="28"/>
          <w:szCs w:val="28"/>
        </w:rPr>
        <w:t>轮项目的盈利能力。</w:t>
      </w:r>
    </w:p>
    <w:p>
      <w:pPr>
        <w:spacing w:before="1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技术方面的不确定性可能导致豪华游轮项目进度</w:t>
      </w:r>
      <w:r>
        <w:rPr>
          <w:rFonts w:ascii="FangSong" w:eastAsia="FangSong" w:hAnsi="FangSong" w:cs="FangSong"/>
          <w:spacing w:val="-2"/>
          <w:sz w:val="28"/>
          <w:szCs w:val="28"/>
        </w:rPr>
        <w:t>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误或成本增加。新技术的引入或技术问题的发生可能对豪华游轮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顺</w:t>
      </w:r>
      <w:r>
        <w:rPr>
          <w:rFonts w:ascii="FangSong" w:eastAsia="FangSong" w:hAnsi="FangSong" w:cs="FangSong"/>
          <w:spacing w:val="-4"/>
          <w:sz w:val="28"/>
          <w:szCs w:val="28"/>
        </w:rPr>
        <w:t>利进行产生负面影响。</w:t>
      </w:r>
    </w:p>
    <w:p>
      <w:pPr>
        <w:spacing w:before="2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政府政策和法规的变化可能对豪华游轮项目</w:t>
      </w:r>
      <w:r>
        <w:rPr>
          <w:rFonts w:ascii="FangSong" w:eastAsia="FangSong" w:hAnsi="FangSong" w:cs="FangSong"/>
          <w:spacing w:val="-2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生重大影响。不符合环保、安全等法规要求可能导致豪华游轮项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停</w:t>
      </w:r>
      <w:r>
        <w:rPr>
          <w:rFonts w:ascii="FangSong" w:eastAsia="FangSong" w:hAnsi="FangSong" w:cs="FangSong"/>
          <w:spacing w:val="-4"/>
          <w:sz w:val="28"/>
          <w:szCs w:val="28"/>
        </w:rPr>
        <w:t>工或罚款，增加经济成本。</w:t>
      </w:r>
    </w:p>
    <w:p>
      <w:pPr>
        <w:spacing w:before="2" w:line="411" w:lineRule="auto"/>
        <w:ind w:left="40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资金紧张或融资渠道受限可能导致豪华游轮项目无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法</w:t>
      </w:r>
      <w:r>
        <w:rPr>
          <w:rFonts w:ascii="FangSong" w:eastAsia="FangSong" w:hAnsi="FangSong" w:cs="FangSong"/>
          <w:spacing w:val="-4"/>
          <w:sz w:val="28"/>
          <w:szCs w:val="28"/>
        </w:rPr>
        <w:t>按计划进行。汇率波动和利率上升也可能对豪华游轮项目的资金需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求</w:t>
      </w:r>
      <w:r>
        <w:rPr>
          <w:rFonts w:ascii="FangSong" w:eastAsia="FangSong" w:hAnsi="FangSong" w:cs="FangSong"/>
          <w:spacing w:val="-5"/>
          <w:sz w:val="28"/>
          <w:szCs w:val="28"/>
        </w:rPr>
        <w:t>和成本造成不利影响。</w:t>
      </w:r>
    </w:p>
    <w:p>
      <w:pPr>
        <w:spacing w:before="3" w:line="415" w:lineRule="auto"/>
        <w:ind w:left="31" w:right="196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地震、洪水等自然灾害可能对豪华游轮项目区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域产生负面影响，损坏设施、影响生产，增加恢复和修复的</w:t>
      </w:r>
      <w:r>
        <w:rPr>
          <w:rFonts w:ascii="FangSong" w:eastAsia="FangSong" w:hAnsi="FangSong" w:cs="FangSong"/>
          <w:spacing w:val="-1"/>
          <w:sz w:val="28"/>
          <w:szCs w:val="28"/>
        </w:rPr>
        <w:t>成</w:t>
      </w:r>
      <w:r>
        <w:rPr>
          <w:rFonts w:ascii="FangSong" w:eastAsia="FangSong" w:hAnsi="FangSong" w:cs="FangSong"/>
          <w:sz w:val="28"/>
          <w:szCs w:val="28"/>
        </w:rPr>
        <w:t>本。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二)、豪华游轮项目风险对策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我们旨在最大程度地降低豪华游轮项目</w:t>
      </w:r>
      <w:r>
        <w:rPr>
          <w:rFonts w:ascii="FangSong" w:eastAsia="FangSong" w:hAnsi="FangSong" w:cs="FangSong"/>
          <w:spacing w:val="-7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临的各种风险，确保豪华游轮项目能够在复杂多变的环境中稳健前行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多元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市场：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开发多元化的市场渠道，降低对特定市场的依赖，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88" w:line="411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在豪华游轮项目开始前进行充分的技术可行</w:t>
      </w:r>
      <w:r>
        <w:rPr>
          <w:rFonts w:ascii="FangSong" w:eastAsia="FangSong" w:hAnsi="FangSong" w:cs="FangSong"/>
          <w:spacing w:val="-2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6"/>
          <w:sz w:val="28"/>
          <w:szCs w:val="28"/>
        </w:rPr>
        <w:t>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华</w:t>
      </w:r>
      <w:r>
        <w:rPr>
          <w:rFonts w:ascii="FangSong" w:eastAsia="FangSong" w:hAnsi="FangSong" w:cs="FangSong"/>
          <w:spacing w:val="-6"/>
          <w:sz w:val="28"/>
          <w:szCs w:val="28"/>
        </w:rPr>
        <w:t>游</w:t>
      </w:r>
      <w:r>
        <w:rPr>
          <w:rFonts w:ascii="FangSong" w:eastAsia="FangSong" w:hAnsi="FangSong" w:cs="FangSong"/>
          <w:spacing w:val="-4"/>
          <w:sz w:val="28"/>
          <w:szCs w:val="28"/>
        </w:rPr>
        <w:t>轮项目按计划进行。</w:t>
      </w:r>
    </w:p>
    <w:p>
      <w:pPr>
        <w:spacing w:before="1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降低法规变更对豪华游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轮</w:t>
      </w:r>
      <w:r>
        <w:rPr>
          <w:rFonts w:ascii="FangSong" w:eastAsia="FangSong" w:hAnsi="FangSong" w:cs="FangSong"/>
          <w:spacing w:val="-5"/>
          <w:sz w:val="28"/>
          <w:szCs w:val="28"/>
        </w:rPr>
        <w:t>项目的不利影响。</w:t>
      </w:r>
    </w:p>
    <w:p>
      <w:pPr>
        <w:spacing w:before="1" w:line="411" w:lineRule="auto"/>
        <w:ind w:left="31" w:right="13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5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豪华游轮项目因不可抗力而受到的损失，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确保豪华游轮项目的可持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续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2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6" w:line="417" w:lineRule="auto"/>
        <w:ind w:left="38" w:right="3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287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https://d.book118.com/486034202221010101</w:t>
        </w:r>
      </w:hyperlink>
    </w:p>
    <w:p/>
    <w:sectPr>
      <w:pgSz w:w="11906" w:h="16839"/>
      <w:pgMar w:top="1431" w:right="1603" w:bottom="0" w:left="1785" w:header="0" w:footer="0" w:gutter="0"/>
      <w:pgNumType w:start="2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86034202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2024-03-13T12:57:53Z</vt:filetime>
  </property>
  <property fmtid="{D5CDD505-2E9C-101B-9397-08002B2CF9AE}" pid="3" name="CRO">
    <vt:lpwstr>wqlLaW5nc29mdCBQREYgdG8gV1BTIDgw</vt:lpwstr>
  </property>
</Properties>
</file>