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2018-2023年长春信息技术职业学院高职单招（数学／语文／英语）历年常考试题库含答案解析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黄省三是下列哪部作品中的人物（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A.《断魂枪》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B.《日出》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C.《雷雨》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D.《北京人》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《短歌行》中化用《诗经·郑风·子衿》中的一句是（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A.何以解忧？唯有杜康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B.青青子衿，悠悠我心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C.山不厌高，水不厌深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D.呦呦鹿鸣，食野之萍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下列句子中，使用了反诘修辞格的是（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A.叹年来踪迹，何事苦淹留？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B.不知天上宫阙，今夕是何年？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C.满地黄花堆积，憔悴损，如今有谁堪摘？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D.明明如月，何时可掇？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下列句子中，含有被动句式的是（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A.冀君实或见恕也。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B.冉有、季路见于孔子日：“季氏将有事于颛臾。”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C.吏当广所失亡多，为虏所生得，当斩。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D.今君实所以见教者，……以致天下怨谤也。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《楚辞·九歌》共（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A.9首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B.10首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C.11首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D.12首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《礼记》是一部（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A.法家著作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B.道家著作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C.墨家著作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D.儒家著作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欧阳修的《五代史伶官传序》说明王朝的兴衰主要在于（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A.天命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B.人事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D.伶官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《谈时间》的语言风格是（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A.典雅平和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B.清新秀丽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C.幽默机智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D.谨严犀利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下列诗作中，具有飘逸清丽艺术风格的是（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A.郭沫若《炉中煤》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B.徐志摩《再别康桥》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C.闻一多《发现》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D.艾青《我爱这土地》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培根《论学问》中采用最多的两种修辞手法是（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A.排比和对偶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B.排比和比喻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C.比喻和对偶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D.比喻和比拟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下列最能体现《郑伯克段于鄢》文章主旨的语句是（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A.都城过百雉，国之害也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B.蔓草犹不可除，况君之宠弟乎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C.多行不义必自毙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D.国不堪贰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《种树郭橐驼传》主要的创作意图是（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A.赞扬郭橐驼的种树技术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B.揭露统治者的政令扰民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C.传播郭橐驼的植树经验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D.借“养树”之道，喻“养民”之道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《论学问》、《门槛》、《苦恼》的作者依次是（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A.培根、契诃夫、屠格涅夫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B.契诃夫、屠格涅夫、培根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C.屠格涅夫、契诃夫、培根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D.培根、屠格涅夫、契诃夫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14.</w:t>
      </w:r>
      <w:r>
        <w:rPr>
          <w:rFonts w:ascii="黑体" w:eastAsia="黑体" w:hAnsi="黑体" w:cs="Times New Roman"/>
          <w:sz w:val="24"/>
          <w:lang w:val="en-US" w:eastAsia="zh-CN" w:bidi="ar-SA"/>
        </w:rPr>
        <w:t>小说《风波》的中心情节线索是（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A.九斤老太的五十大寿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B.七斤的飞黄腾达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C.皇帝坐了龙庭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https://d.book118.com/486035213233010052</w:t>
        </w:r>
      </w:hyperlink>
    </w:p>
    <w:p w:rsidR="00327933" w:rsidRPr="00730BBD" w:rsidP="00386F93">
      <w:pPr>
        <w:pStyle w:val="Normal13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9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theme" Target="theme/theme1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hyperlink" Target="https://d.book118.com/486035213233010052" TargetMode="Externa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