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4"/>
        <w:rPr>
          <w:rFonts w:ascii="Times New Roman"/>
          <w:sz w:val="20"/>
        </w:rPr>
      </w:pPr>
    </w:p>
    <w:p>
      <w:pPr>
        <w:spacing w:before="0" w:line="1333" w:lineRule="exact"/>
        <w:ind w:left="321" w:right="229" w:firstLine="0"/>
        <w:jc w:val="center"/>
        <w:rPr>
          <w:b/>
          <w:sz w:val="108"/>
        </w:rPr>
      </w:pPr>
      <w:r>
        <w:rPr>
          <w:b/>
          <w:sz w:val="108"/>
        </w:rPr>
        <w:t>屠宰废水处理</w:t>
      </w:r>
    </w:p>
    <w:p>
      <w:pPr>
        <w:pStyle w:val="BodyText"/>
        <w:rPr>
          <w:b/>
          <w:sz w:val="108"/>
        </w:rPr>
      </w:pPr>
    </w:p>
    <w:p>
      <w:pPr>
        <w:pStyle w:val="BodyText"/>
        <w:spacing w:before="9"/>
        <w:rPr>
          <w:b/>
          <w:sz w:val="143"/>
        </w:rPr>
      </w:pPr>
    </w:p>
    <w:p>
      <w:pPr>
        <w:pStyle w:val="Title"/>
        <w:spacing w:line="235" w:lineRule="auto"/>
      </w:pPr>
      <w:r>
        <w:rPr>
          <w:w w:val="95"/>
        </w:rPr>
        <w:t>技术方案</w:t>
      </w:r>
    </w:p>
    <w:p>
      <w:pPr>
        <w:pStyle w:val="BodyText"/>
        <w:rPr>
          <w:b/>
          <w:sz w:val="144"/>
        </w:rPr>
      </w:pPr>
    </w:p>
    <w:p>
      <w:pPr>
        <w:pStyle w:val="BodyText"/>
        <w:rPr>
          <w:b/>
          <w:sz w:val="144"/>
        </w:rPr>
      </w:pPr>
    </w:p>
    <w:p>
      <w:pPr>
        <w:pStyle w:val="BodyText"/>
        <w:spacing w:before="11"/>
        <w:rPr>
          <w:b/>
          <w:sz w:val="115"/>
        </w:rPr>
      </w:pPr>
    </w:p>
    <w:p>
      <w:pPr>
        <w:spacing w:before="0"/>
        <w:ind w:left="321" w:right="226" w:firstLine="0"/>
        <w:jc w:val="center"/>
        <w:rPr>
          <w:b/>
          <w:sz w:val="72"/>
        </w:rPr>
      </w:pPr>
      <w:r>
        <w:rPr>
          <w:b/>
          <w:sz w:val="72"/>
        </w:rPr>
        <w:t>安徽欣睦环保科技有限公司</w:t>
      </w:r>
    </w:p>
    <w:p>
      <w:pPr>
        <w:pStyle w:val="Heading1"/>
        <w:spacing w:before="283"/>
        <w:ind w:right="218"/>
      </w:pPr>
      <w:r>
        <w:t>2015</w:t>
      </w:r>
      <w:r>
        <w:rPr>
          <w:spacing w:val="-88"/>
        </w:rPr>
        <w:t xml:space="preserve"> 年 </w:t>
      </w:r>
      <w:r>
        <w:t>12</w:t>
      </w:r>
      <w:r>
        <w:rPr>
          <w:spacing w:val="-90"/>
        </w:rPr>
        <w:t xml:space="preserve"> 月 </w:t>
      </w:r>
      <w:r>
        <w:t>22</w:t>
      </w:r>
      <w:r>
        <w:rPr>
          <w:spacing w:val="-66"/>
        </w:rPr>
        <w:t xml:space="preserve"> 日</w:t>
      </w:r>
    </w:p>
    <w:p>
      <w:pPr>
        <w:spacing w:after="0"/>
        <w:sectPr>
          <w:headerReference w:type="default" r:id="rId4"/>
          <w:footerReference w:type="default" r:id="rId5"/>
          <w:type w:val="continuous"/>
          <w:pgSz w:w="17860" w:h="25260"/>
          <w:pgMar w:top="1400" w:right="1660" w:bottom="2020" w:left="1560" w:header="1054" w:footer="1831"/>
          <w:cols w:space="708"/>
        </w:sectPr>
      </w:pPr>
    </w:p>
    <w:p>
      <w:pPr>
        <w:pStyle w:val="BodyText"/>
        <w:rPr>
          <w:b/>
          <w:sz w:val="20"/>
        </w:rPr>
      </w:pPr>
    </w:p>
    <w:p>
      <w:pPr>
        <w:pStyle w:val="BodyText"/>
        <w:spacing w:before="4"/>
        <w:rPr>
          <w:b/>
          <w:sz w:val="17"/>
        </w:rPr>
      </w:pPr>
    </w:p>
    <w:p>
      <w:pPr>
        <w:spacing w:before="32"/>
        <w:ind w:left="321" w:right="215" w:firstLine="0"/>
        <w:jc w:val="center"/>
        <w:rPr>
          <w:sz w:val="48"/>
        </w:rPr>
      </w:pPr>
      <w:r>
        <w:rPr>
          <w:sz w:val="48"/>
        </w:rPr>
        <w:t>目录</w:t>
      </w:r>
    </w:p>
    <w:sdt>
      <w:sdtPr>
        <w:id w:val="676807328"/>
        <w:docPartObj>
          <w:docPartGallery w:val="Table of Contents"/>
          <w:docPartUnique/>
        </w:docPartObj>
      </w:sdtPr>
      <w:sdtContent>
        <w:p>
          <w:pPr>
            <w:pStyle w:val="TOC1"/>
            <w:tabs>
              <w:tab w:val="right" w:leader="dot" w:pos="13602"/>
            </w:tabs>
            <w:spacing w:before="338"/>
          </w:pPr>
          <w:r>
            <w:t>第一章</w:t>
          </w:r>
          <w:r>
            <w:rPr>
              <w:spacing w:val="-1"/>
            </w:rPr>
            <w:t xml:space="preserve"> </w:t>
          </w:r>
          <w:r>
            <w:t>工程概括</w:t>
            <w:tab/>
            <w:t>1</w:t>
          </w:r>
        </w:p>
        <w:p>
          <w:pPr>
            <w:pStyle w:val="TOC2"/>
            <w:numPr>
              <w:ilvl w:val="1"/>
              <w:numId w:val="13"/>
            </w:numPr>
            <w:tabs>
              <w:tab w:val="left" w:pos="2315"/>
              <w:tab w:val="right" w:leader="dot" w:pos="13602"/>
            </w:tabs>
            <w:spacing w:before="71" w:after="0" w:line="240" w:lineRule="auto"/>
            <w:ind w:left="2314" w:right="0" w:hanging="631"/>
            <w:jc w:val="left"/>
          </w:pPr>
          <w:hyperlink w:anchor="_TOC_250013" w:history="1">
            <w:r>
              <w:t>废水来源</w:t>
              <w:tab/>
              <w:t>2</w:t>
            </w:r>
          </w:hyperlink>
        </w:p>
        <w:p>
          <w:pPr>
            <w:pStyle w:val="TOC3"/>
            <w:numPr>
              <w:ilvl w:val="1"/>
              <w:numId w:val="13"/>
            </w:numPr>
            <w:tabs>
              <w:tab w:val="left" w:pos="2405"/>
              <w:tab w:val="right" w:leader="dot" w:pos="13602"/>
            </w:tabs>
            <w:spacing w:before="71" w:after="0" w:line="240" w:lineRule="auto"/>
            <w:ind w:left="2404" w:right="0" w:hanging="635"/>
            <w:jc w:val="left"/>
          </w:pPr>
          <w:hyperlink w:anchor="_TOC_250012" w:history="1">
            <w:r>
              <w:t>废水水量、水质特点</w:t>
              <w:tab/>
              <w:t>2</w:t>
            </w:r>
          </w:hyperlink>
        </w:p>
        <w:p>
          <w:pPr>
            <w:pStyle w:val="TOC3"/>
            <w:numPr>
              <w:ilvl w:val="1"/>
              <w:numId w:val="13"/>
            </w:numPr>
            <w:tabs>
              <w:tab w:val="left" w:pos="2325"/>
              <w:tab w:val="right" w:leader="dot" w:pos="13602"/>
            </w:tabs>
            <w:spacing w:before="71" w:after="0" w:line="240" w:lineRule="auto"/>
            <w:ind w:left="2325" w:right="0" w:hanging="555"/>
            <w:jc w:val="left"/>
          </w:pPr>
          <w:hyperlink w:anchor="_TOC_250011" w:history="1">
            <w:r>
              <w:t>方案编制单位</w:t>
              <w:tab/>
              <w:t>2</w:t>
            </w:r>
          </w:hyperlink>
        </w:p>
        <w:p>
          <w:pPr>
            <w:pStyle w:val="TOC1"/>
            <w:tabs>
              <w:tab w:val="right" w:leader="dot" w:pos="13602"/>
            </w:tabs>
          </w:pPr>
          <w:hyperlink w:anchor="_TOC_250010" w:history="1">
            <w:r>
              <w:t>第二章</w:t>
            </w:r>
            <w:r>
              <w:rPr>
                <w:spacing w:val="-1"/>
              </w:rPr>
              <w:t xml:space="preserve"> </w:t>
            </w:r>
            <w:r>
              <w:t>设计基础</w:t>
              <w:tab/>
              <w:t>3</w:t>
            </w:r>
          </w:hyperlink>
        </w:p>
        <w:p>
          <w:pPr>
            <w:pStyle w:val="TOC3"/>
            <w:numPr>
              <w:ilvl w:val="1"/>
              <w:numId w:val="11"/>
            </w:numPr>
            <w:tabs>
              <w:tab w:val="left" w:pos="2325"/>
              <w:tab w:val="right" w:leader="dot" w:pos="13602"/>
            </w:tabs>
            <w:spacing w:before="71" w:after="0" w:line="240" w:lineRule="auto"/>
            <w:ind w:left="2325" w:right="0" w:hanging="555"/>
            <w:jc w:val="left"/>
          </w:pPr>
          <w:hyperlink w:anchor="_TOC_250009" w:history="1">
            <w:r>
              <w:t>设计依据</w:t>
              <w:tab/>
              <w:t>3</w:t>
            </w:r>
          </w:hyperlink>
        </w:p>
        <w:p>
          <w:pPr>
            <w:pStyle w:val="TOC3"/>
            <w:numPr>
              <w:ilvl w:val="1"/>
              <w:numId w:val="11"/>
            </w:numPr>
            <w:tabs>
              <w:tab w:val="left" w:pos="2325"/>
              <w:tab w:val="right" w:leader="dot" w:pos="13602"/>
            </w:tabs>
            <w:spacing w:before="71" w:after="0" w:line="240" w:lineRule="auto"/>
            <w:ind w:left="2325" w:right="0" w:hanging="555"/>
            <w:jc w:val="left"/>
          </w:pPr>
          <w:hyperlink w:anchor="_TOC_250008" w:history="1">
            <w:r>
              <w:t>设计原则</w:t>
              <w:tab/>
              <w:t>3</w:t>
            </w:r>
          </w:hyperlink>
        </w:p>
        <w:p>
          <w:pPr>
            <w:pStyle w:val="TOC3"/>
            <w:numPr>
              <w:ilvl w:val="1"/>
              <w:numId w:val="11"/>
            </w:numPr>
            <w:tabs>
              <w:tab w:val="left" w:pos="2325"/>
              <w:tab w:val="right" w:leader="dot" w:pos="13602"/>
            </w:tabs>
            <w:spacing w:before="71" w:after="0" w:line="240" w:lineRule="auto"/>
            <w:ind w:left="2325" w:right="0" w:hanging="555"/>
            <w:jc w:val="left"/>
          </w:pPr>
          <w:hyperlink w:anchor="_TOC_250007" w:history="1">
            <w:r>
              <w:t>项目范围</w:t>
              <w:tab/>
              <w:t>4</w:t>
            </w:r>
          </w:hyperlink>
        </w:p>
        <w:p>
          <w:pPr>
            <w:pStyle w:val="TOC3"/>
            <w:numPr>
              <w:ilvl w:val="1"/>
              <w:numId w:val="11"/>
            </w:numPr>
            <w:tabs>
              <w:tab w:val="left" w:pos="2325"/>
              <w:tab w:val="right" w:leader="dot" w:pos="13602"/>
            </w:tabs>
            <w:spacing w:before="71" w:after="0" w:line="240" w:lineRule="auto"/>
            <w:ind w:left="2325" w:right="0" w:hanging="555"/>
            <w:jc w:val="left"/>
          </w:pPr>
          <w:hyperlink w:anchor="_TOC_250006" w:history="1">
            <w:r>
              <w:t>设计处理规模</w:t>
              <w:tab/>
              <w:t>4</w:t>
            </w:r>
          </w:hyperlink>
        </w:p>
        <w:p>
          <w:pPr>
            <w:pStyle w:val="TOC3"/>
            <w:numPr>
              <w:ilvl w:val="1"/>
              <w:numId w:val="11"/>
            </w:numPr>
            <w:tabs>
              <w:tab w:val="left" w:pos="2325"/>
              <w:tab w:val="right" w:leader="dot" w:pos="13602"/>
            </w:tabs>
            <w:spacing w:before="71" w:after="0" w:line="240" w:lineRule="auto"/>
            <w:ind w:left="2325" w:right="0" w:hanging="555"/>
            <w:jc w:val="left"/>
          </w:pPr>
          <w:hyperlink w:anchor="_TOC_250005" w:history="1">
            <w:r>
              <w:t>设计处理水质</w:t>
              <w:tab/>
              <w:t>4</w:t>
            </w:r>
          </w:hyperlink>
        </w:p>
        <w:p>
          <w:pPr>
            <w:pStyle w:val="TOC3"/>
            <w:numPr>
              <w:ilvl w:val="1"/>
              <w:numId w:val="11"/>
            </w:numPr>
            <w:tabs>
              <w:tab w:val="left" w:pos="2325"/>
              <w:tab w:val="right" w:leader="dot" w:pos="13602"/>
            </w:tabs>
            <w:spacing w:before="71" w:after="0" w:line="240" w:lineRule="auto"/>
            <w:ind w:left="2325" w:right="0" w:hanging="555"/>
            <w:jc w:val="left"/>
          </w:pPr>
          <w:hyperlink w:anchor="_TOC_250004" w:history="1">
            <w:r>
              <w:t>出水水质要求</w:t>
              <w:tab/>
              <w:t>5</w:t>
            </w:r>
          </w:hyperlink>
        </w:p>
        <w:p>
          <w:pPr>
            <w:pStyle w:val="TOC1"/>
            <w:tabs>
              <w:tab w:val="right" w:leader="dot" w:pos="13602"/>
            </w:tabs>
            <w:spacing w:before="71"/>
          </w:pPr>
          <w:hyperlink w:anchor="_TOC_250003" w:history="1">
            <w:r>
              <w:t>第三章 处理工艺分析</w:t>
              <w:tab/>
              <w:t>6</w:t>
            </w:r>
          </w:hyperlink>
        </w:p>
        <w:p>
          <w:pPr>
            <w:pStyle w:val="TOC3"/>
            <w:numPr>
              <w:ilvl w:val="1"/>
              <w:numId w:val="10"/>
            </w:numPr>
            <w:tabs>
              <w:tab w:val="left" w:pos="2325"/>
              <w:tab w:val="right" w:leader="dot" w:pos="13602"/>
            </w:tabs>
            <w:spacing w:before="71" w:after="0" w:line="240" w:lineRule="auto"/>
            <w:ind w:left="2325" w:right="0" w:hanging="555"/>
            <w:jc w:val="left"/>
          </w:pPr>
          <w:hyperlink w:anchor="_TOC_250002" w:history="1">
            <w:r>
              <w:t>溶气气浮机特点</w:t>
              <w:tab/>
              <w:t>6</w:t>
            </w:r>
          </w:hyperlink>
        </w:p>
        <w:p>
          <w:pPr>
            <w:pStyle w:val="TOC3"/>
            <w:numPr>
              <w:ilvl w:val="1"/>
              <w:numId w:val="10"/>
            </w:numPr>
            <w:tabs>
              <w:tab w:val="left" w:pos="2247"/>
              <w:tab w:val="right" w:leader="dot" w:pos="13602"/>
            </w:tabs>
            <w:spacing w:before="71" w:after="0" w:line="240" w:lineRule="auto"/>
            <w:ind w:left="2246" w:right="0" w:hanging="477"/>
            <w:jc w:val="left"/>
          </w:pPr>
          <w:hyperlink w:anchor="_TOC_250001" w:history="1">
            <w:r>
              <w:t>、污水处理技术比选</w:t>
              <w:tab/>
              <w:t>6</w:t>
            </w:r>
          </w:hyperlink>
        </w:p>
        <w:p>
          <w:pPr>
            <w:pStyle w:val="TOC3"/>
            <w:numPr>
              <w:ilvl w:val="1"/>
              <w:numId w:val="10"/>
            </w:numPr>
            <w:tabs>
              <w:tab w:val="left" w:pos="2325"/>
              <w:tab w:val="right" w:leader="dot" w:pos="13602"/>
            </w:tabs>
            <w:spacing w:before="71" w:after="0" w:line="240" w:lineRule="auto"/>
            <w:ind w:left="2325" w:right="0" w:hanging="555"/>
            <w:jc w:val="left"/>
          </w:pPr>
          <w:hyperlink w:anchor="_TOC_250000" w:history="1">
            <w:r>
              <w:t>工艺推荐</w:t>
              <w:tab/>
              <w:t>9</w:t>
            </w:r>
          </w:hyperlink>
        </w:p>
      </w:sdtContent>
    </w:sdt>
    <w:p>
      <w:pPr>
        <w:pStyle w:val="BodyText"/>
        <w:spacing w:before="5" w:after="1"/>
        <w:rPr>
          <w:sz w:val="8"/>
        </w:rPr>
      </w:pPr>
    </w:p>
    <w:tbl>
      <w:tblPr>
        <w:tblStyle w:val="TableNormal0"/>
        <w:tblW w:w="0" w:type="auto"/>
        <w:jc w:val="left"/>
        <w:tblInd w:w="1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139"/>
        <w:gridCol w:w="424"/>
      </w:tblGrid>
      <w:tr>
        <w:tblPrEx>
          <w:tblW w:w="0" w:type="auto"/>
          <w:jc w:val="left"/>
          <w:tblInd w:w="1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2139" w:type="dxa"/>
          </w:tcPr>
          <w:p>
            <w:pPr>
              <w:pStyle w:val="TableParagraph"/>
              <w:spacing w:line="359" w:lineRule="exact"/>
              <w:ind w:right="55"/>
              <w:jc w:val="right"/>
              <w:rPr>
                <w:sz w:val="31"/>
              </w:rPr>
            </w:pPr>
            <w:r>
              <w:rPr>
                <w:sz w:val="31"/>
              </w:rPr>
              <w:t>3.4 本工艺采取措施......................................................</w:t>
            </w:r>
          </w:p>
        </w:tc>
        <w:tc>
          <w:tcPr>
            <w:tcW w:w="424" w:type="dxa"/>
          </w:tcPr>
          <w:p>
            <w:pPr>
              <w:pStyle w:val="TableParagraph"/>
              <w:spacing w:line="359" w:lineRule="exact"/>
              <w:ind w:right="49"/>
              <w:jc w:val="right"/>
              <w:rPr>
                <w:sz w:val="31"/>
              </w:rPr>
            </w:pPr>
            <w:r>
              <w:rPr>
                <w:sz w:val="31"/>
              </w:rPr>
              <w:t>10</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6"/>
              <w:jc w:val="right"/>
              <w:rPr>
                <w:sz w:val="31"/>
              </w:rPr>
            </w:pPr>
            <w:r>
              <w:rPr>
                <w:sz w:val="31"/>
              </w:rPr>
              <w:t>3.5 污水处理工艺流程....................................................</w:t>
            </w:r>
          </w:p>
        </w:tc>
        <w:tc>
          <w:tcPr>
            <w:tcW w:w="424" w:type="dxa"/>
          </w:tcPr>
          <w:p>
            <w:pPr>
              <w:pStyle w:val="TableParagraph"/>
              <w:spacing w:before="38"/>
              <w:ind w:right="49"/>
              <w:jc w:val="right"/>
              <w:rPr>
                <w:sz w:val="31"/>
              </w:rPr>
            </w:pPr>
            <w:r>
              <w:rPr>
                <w:sz w:val="31"/>
              </w:rPr>
              <w:t>11</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6"/>
              <w:jc w:val="right"/>
              <w:rPr>
                <w:sz w:val="31"/>
              </w:rPr>
            </w:pPr>
            <w:r>
              <w:rPr>
                <w:sz w:val="31"/>
              </w:rPr>
              <w:t>3.6 废水处理工艺效果预测................................................</w:t>
            </w:r>
          </w:p>
        </w:tc>
        <w:tc>
          <w:tcPr>
            <w:tcW w:w="424" w:type="dxa"/>
          </w:tcPr>
          <w:p>
            <w:pPr>
              <w:pStyle w:val="TableParagraph"/>
              <w:spacing w:before="38"/>
              <w:ind w:right="49"/>
              <w:jc w:val="right"/>
              <w:rPr>
                <w:sz w:val="31"/>
              </w:rPr>
            </w:pPr>
            <w:r>
              <w:rPr>
                <w:sz w:val="31"/>
              </w:rPr>
              <w:t>12</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6"/>
              <w:jc w:val="right"/>
              <w:rPr>
                <w:sz w:val="31"/>
              </w:rPr>
            </w:pPr>
            <w:r>
              <w:rPr>
                <w:sz w:val="31"/>
              </w:rPr>
              <w:t>第四章 工艺设计参数及设备参数...............................................</w:t>
            </w:r>
          </w:p>
        </w:tc>
        <w:tc>
          <w:tcPr>
            <w:tcW w:w="424" w:type="dxa"/>
          </w:tcPr>
          <w:p>
            <w:pPr>
              <w:pStyle w:val="TableParagraph"/>
              <w:spacing w:before="38"/>
              <w:ind w:right="49"/>
              <w:jc w:val="right"/>
              <w:rPr>
                <w:sz w:val="31"/>
              </w:rPr>
            </w:pPr>
            <w:r>
              <w:rPr>
                <w:sz w:val="31"/>
              </w:rPr>
              <w:t>13</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5"/>
              <w:jc w:val="right"/>
              <w:rPr>
                <w:sz w:val="31"/>
              </w:rPr>
            </w:pPr>
            <w:r>
              <w:rPr>
                <w:sz w:val="31"/>
              </w:rPr>
              <w:t>4.1 主要构筑物功能及特点................................................</w:t>
            </w:r>
          </w:p>
        </w:tc>
        <w:tc>
          <w:tcPr>
            <w:tcW w:w="424" w:type="dxa"/>
          </w:tcPr>
          <w:p>
            <w:pPr>
              <w:pStyle w:val="TableParagraph"/>
              <w:spacing w:before="38"/>
              <w:ind w:right="49"/>
              <w:jc w:val="right"/>
              <w:rPr>
                <w:sz w:val="31"/>
              </w:rPr>
            </w:pPr>
            <w:r>
              <w:rPr>
                <w:sz w:val="31"/>
              </w:rPr>
              <w:t>13</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7"/>
              <w:jc w:val="right"/>
              <w:rPr>
                <w:sz w:val="31"/>
              </w:rPr>
            </w:pPr>
            <w:r>
              <w:rPr>
                <w:sz w:val="31"/>
              </w:rPr>
              <w:t>4.2 工艺特点............................................................</w:t>
            </w:r>
          </w:p>
        </w:tc>
        <w:tc>
          <w:tcPr>
            <w:tcW w:w="424" w:type="dxa"/>
          </w:tcPr>
          <w:p>
            <w:pPr>
              <w:pStyle w:val="TableParagraph"/>
              <w:spacing w:before="38"/>
              <w:ind w:right="49"/>
              <w:jc w:val="right"/>
              <w:rPr>
                <w:sz w:val="31"/>
              </w:rPr>
            </w:pPr>
            <w:r>
              <w:rPr>
                <w:sz w:val="31"/>
              </w:rPr>
              <w:t>17</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6"/>
              <w:jc w:val="right"/>
              <w:rPr>
                <w:sz w:val="31"/>
              </w:rPr>
            </w:pPr>
            <w:r>
              <w:rPr>
                <w:sz w:val="31"/>
              </w:rPr>
              <w:t>第五章 工艺设计参数及设备参数...............................................</w:t>
            </w:r>
          </w:p>
        </w:tc>
        <w:tc>
          <w:tcPr>
            <w:tcW w:w="424" w:type="dxa"/>
          </w:tcPr>
          <w:p>
            <w:pPr>
              <w:pStyle w:val="TableParagraph"/>
              <w:spacing w:before="38"/>
              <w:ind w:right="49"/>
              <w:jc w:val="right"/>
              <w:rPr>
                <w:sz w:val="31"/>
              </w:rPr>
            </w:pPr>
            <w:r>
              <w:rPr>
                <w:sz w:val="31"/>
              </w:rPr>
              <w:t>13</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6"/>
              <w:jc w:val="right"/>
              <w:rPr>
                <w:sz w:val="31"/>
              </w:rPr>
            </w:pPr>
            <w:r>
              <w:rPr>
                <w:sz w:val="31"/>
              </w:rPr>
              <w:t>5.1、主要构筑物及技术参数...............................................</w:t>
            </w:r>
          </w:p>
        </w:tc>
        <w:tc>
          <w:tcPr>
            <w:tcW w:w="424" w:type="dxa"/>
          </w:tcPr>
          <w:p>
            <w:pPr>
              <w:pStyle w:val="TableParagraph"/>
              <w:spacing w:before="38"/>
              <w:ind w:right="49"/>
              <w:jc w:val="right"/>
              <w:rPr>
                <w:sz w:val="31"/>
              </w:rPr>
            </w:pPr>
            <w:r>
              <w:rPr>
                <w:sz w:val="31"/>
              </w:rPr>
              <w:t>18</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5"/>
              <w:jc w:val="right"/>
              <w:rPr>
                <w:sz w:val="31"/>
              </w:rPr>
            </w:pPr>
            <w:r>
              <w:rPr>
                <w:sz w:val="31"/>
              </w:rPr>
              <w:t>5.2、主要设备及技术参数 ................................................</w:t>
            </w:r>
          </w:p>
        </w:tc>
        <w:tc>
          <w:tcPr>
            <w:tcW w:w="424" w:type="dxa"/>
          </w:tcPr>
          <w:p>
            <w:pPr>
              <w:pStyle w:val="TableParagraph"/>
              <w:spacing w:before="38"/>
              <w:ind w:right="49"/>
              <w:jc w:val="right"/>
              <w:rPr>
                <w:sz w:val="31"/>
              </w:rPr>
            </w:pPr>
            <w:r>
              <w:rPr>
                <w:sz w:val="31"/>
              </w:rPr>
              <w:t>20</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7"/>
              <w:jc w:val="right"/>
              <w:rPr>
                <w:sz w:val="31"/>
              </w:rPr>
            </w:pPr>
            <w:r>
              <w:rPr>
                <w:sz w:val="31"/>
              </w:rPr>
              <w:t>第六章 污染防治.............................................................</w:t>
            </w:r>
          </w:p>
        </w:tc>
        <w:tc>
          <w:tcPr>
            <w:tcW w:w="424" w:type="dxa"/>
          </w:tcPr>
          <w:p>
            <w:pPr>
              <w:pStyle w:val="TableParagraph"/>
              <w:spacing w:before="38"/>
              <w:ind w:right="49"/>
              <w:jc w:val="right"/>
              <w:rPr>
                <w:sz w:val="31"/>
              </w:rPr>
            </w:pPr>
            <w:r>
              <w:rPr>
                <w:sz w:val="31"/>
              </w:rPr>
              <w:t>20</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7"/>
              <w:jc w:val="right"/>
              <w:rPr>
                <w:sz w:val="31"/>
              </w:rPr>
            </w:pPr>
            <w:r>
              <w:rPr>
                <w:sz w:val="31"/>
              </w:rPr>
              <w:t>6.1、臭气防治...........................................................</w:t>
            </w:r>
          </w:p>
        </w:tc>
        <w:tc>
          <w:tcPr>
            <w:tcW w:w="424" w:type="dxa"/>
          </w:tcPr>
          <w:p>
            <w:pPr>
              <w:pStyle w:val="TableParagraph"/>
              <w:spacing w:before="38"/>
              <w:ind w:right="49"/>
              <w:jc w:val="right"/>
              <w:rPr>
                <w:sz w:val="31"/>
              </w:rPr>
            </w:pPr>
            <w:r>
              <w:rPr>
                <w:sz w:val="31"/>
              </w:rPr>
              <w:t>21</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7"/>
              <w:jc w:val="right"/>
              <w:rPr>
                <w:sz w:val="31"/>
              </w:rPr>
            </w:pPr>
            <w:r>
              <w:rPr>
                <w:sz w:val="31"/>
              </w:rPr>
              <w:t>6.2、噪声控制 ..........................................................</w:t>
            </w:r>
          </w:p>
        </w:tc>
        <w:tc>
          <w:tcPr>
            <w:tcW w:w="424" w:type="dxa"/>
          </w:tcPr>
          <w:p>
            <w:pPr>
              <w:pStyle w:val="TableParagraph"/>
              <w:spacing w:before="38"/>
              <w:ind w:right="49"/>
              <w:jc w:val="right"/>
              <w:rPr>
                <w:sz w:val="31"/>
              </w:rPr>
            </w:pPr>
            <w:r>
              <w:rPr>
                <w:sz w:val="31"/>
              </w:rPr>
              <w:t>21</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7"/>
              <w:jc w:val="right"/>
              <w:rPr>
                <w:sz w:val="31"/>
              </w:rPr>
            </w:pPr>
            <w:r>
              <w:rPr>
                <w:sz w:val="31"/>
              </w:rPr>
              <w:t>6.3、污泥处理...........................................................</w:t>
            </w:r>
          </w:p>
        </w:tc>
        <w:tc>
          <w:tcPr>
            <w:tcW w:w="424" w:type="dxa"/>
          </w:tcPr>
          <w:p>
            <w:pPr>
              <w:pStyle w:val="TableParagraph"/>
              <w:spacing w:before="38"/>
              <w:ind w:right="49"/>
              <w:jc w:val="right"/>
              <w:rPr>
                <w:sz w:val="31"/>
              </w:rPr>
            </w:pPr>
            <w:r>
              <w:rPr>
                <w:sz w:val="31"/>
              </w:rPr>
              <w:t>21</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7"/>
              <w:jc w:val="right"/>
              <w:rPr>
                <w:sz w:val="31"/>
              </w:rPr>
            </w:pPr>
            <w:r>
              <w:rPr>
                <w:sz w:val="31"/>
              </w:rPr>
              <w:t>6.4、防腐...............................................................</w:t>
            </w:r>
          </w:p>
        </w:tc>
        <w:tc>
          <w:tcPr>
            <w:tcW w:w="424" w:type="dxa"/>
          </w:tcPr>
          <w:p>
            <w:pPr>
              <w:pStyle w:val="TableParagraph"/>
              <w:spacing w:before="38"/>
              <w:ind w:right="49"/>
              <w:jc w:val="right"/>
              <w:rPr>
                <w:sz w:val="31"/>
              </w:rPr>
            </w:pPr>
            <w:r>
              <w:rPr>
                <w:sz w:val="31"/>
              </w:rPr>
              <w:t>21</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7"/>
              <w:jc w:val="right"/>
              <w:rPr>
                <w:sz w:val="31"/>
              </w:rPr>
            </w:pPr>
            <w:r>
              <w:rPr>
                <w:sz w:val="31"/>
              </w:rPr>
              <w:t>第七章 污染防治.............................................................</w:t>
            </w:r>
          </w:p>
        </w:tc>
        <w:tc>
          <w:tcPr>
            <w:tcW w:w="424" w:type="dxa"/>
          </w:tcPr>
          <w:p>
            <w:pPr>
              <w:pStyle w:val="TableParagraph"/>
              <w:spacing w:before="38"/>
              <w:ind w:right="49"/>
              <w:jc w:val="right"/>
              <w:rPr>
                <w:sz w:val="31"/>
              </w:rPr>
            </w:pPr>
            <w:r>
              <w:rPr>
                <w:sz w:val="31"/>
              </w:rPr>
              <w:t>22</w:t>
            </w:r>
          </w:p>
        </w:tc>
      </w:tr>
      <w:tr>
        <w:tblPrEx>
          <w:tblW w:w="0" w:type="auto"/>
          <w:jc w:val="left"/>
          <w:tblInd w:w="1098" w:type="dxa"/>
          <w:tblLayout w:type="fixed"/>
          <w:tblCellMar>
            <w:top w:w="0" w:type="dxa"/>
            <w:left w:w="0" w:type="dxa"/>
            <w:bottom w:w="0" w:type="dxa"/>
            <w:right w:w="0" w:type="dxa"/>
          </w:tblCellMar>
          <w:tblLook w:val="01E0"/>
        </w:tblPrEx>
        <w:trPr>
          <w:trHeight w:val="467"/>
          <w:jc w:val="left"/>
        </w:trPr>
        <w:tc>
          <w:tcPr>
            <w:tcW w:w="12139" w:type="dxa"/>
          </w:tcPr>
          <w:p>
            <w:pPr>
              <w:pStyle w:val="TableParagraph"/>
              <w:spacing w:before="38"/>
              <w:ind w:right="55"/>
              <w:jc w:val="right"/>
              <w:rPr>
                <w:sz w:val="31"/>
              </w:rPr>
            </w:pPr>
            <w:r>
              <w:rPr>
                <w:sz w:val="31"/>
              </w:rPr>
              <w:t>7.1 构筑物一览表........................................................</w:t>
            </w:r>
          </w:p>
        </w:tc>
        <w:tc>
          <w:tcPr>
            <w:tcW w:w="424" w:type="dxa"/>
          </w:tcPr>
          <w:p>
            <w:pPr>
              <w:pStyle w:val="TableParagraph"/>
              <w:spacing w:before="38"/>
              <w:ind w:right="49"/>
              <w:jc w:val="right"/>
              <w:rPr>
                <w:sz w:val="31"/>
              </w:rPr>
            </w:pPr>
            <w:r>
              <w:rPr>
                <w:sz w:val="31"/>
              </w:rPr>
              <w:t>22</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7"/>
              <w:jc w:val="right"/>
              <w:rPr>
                <w:sz w:val="31"/>
              </w:rPr>
            </w:pPr>
            <w:r>
              <w:rPr>
                <w:sz w:val="31"/>
              </w:rPr>
              <w:t>7.2 设备一览表..........................................................</w:t>
            </w:r>
          </w:p>
        </w:tc>
        <w:tc>
          <w:tcPr>
            <w:tcW w:w="424" w:type="dxa"/>
          </w:tcPr>
          <w:p>
            <w:pPr>
              <w:pStyle w:val="TableParagraph"/>
              <w:spacing w:before="38"/>
              <w:ind w:right="49"/>
              <w:jc w:val="right"/>
              <w:rPr>
                <w:sz w:val="31"/>
              </w:rPr>
            </w:pPr>
            <w:r>
              <w:rPr>
                <w:sz w:val="31"/>
              </w:rPr>
              <w:t>22</w:t>
            </w:r>
          </w:p>
        </w:tc>
      </w:tr>
      <w:tr>
        <w:tblPrEx>
          <w:tblW w:w="0" w:type="auto"/>
          <w:jc w:val="left"/>
          <w:tblInd w:w="1098" w:type="dxa"/>
          <w:tblLayout w:type="fixed"/>
          <w:tblCellMar>
            <w:top w:w="0" w:type="dxa"/>
            <w:left w:w="0" w:type="dxa"/>
            <w:bottom w:w="0" w:type="dxa"/>
            <w:right w:w="0" w:type="dxa"/>
          </w:tblCellMar>
          <w:tblLook w:val="01E0"/>
        </w:tblPrEx>
        <w:trPr>
          <w:trHeight w:val="468"/>
          <w:jc w:val="left"/>
        </w:trPr>
        <w:tc>
          <w:tcPr>
            <w:tcW w:w="12139" w:type="dxa"/>
          </w:tcPr>
          <w:p>
            <w:pPr>
              <w:pStyle w:val="TableParagraph"/>
              <w:spacing w:before="38"/>
              <w:ind w:right="57"/>
              <w:jc w:val="right"/>
              <w:rPr>
                <w:sz w:val="31"/>
              </w:rPr>
            </w:pPr>
            <w:r>
              <w:rPr>
                <w:sz w:val="31"/>
              </w:rPr>
              <w:t>第八章 售后服务.............................................................</w:t>
            </w:r>
          </w:p>
        </w:tc>
        <w:tc>
          <w:tcPr>
            <w:tcW w:w="424" w:type="dxa"/>
          </w:tcPr>
          <w:p>
            <w:pPr>
              <w:pStyle w:val="TableParagraph"/>
              <w:spacing w:before="38"/>
              <w:ind w:right="49"/>
              <w:jc w:val="right"/>
              <w:rPr>
                <w:sz w:val="31"/>
              </w:rPr>
            </w:pPr>
            <w:r>
              <w:rPr>
                <w:sz w:val="31"/>
              </w:rPr>
              <w:t>24</w:t>
            </w:r>
          </w:p>
        </w:tc>
      </w:tr>
      <w:tr>
        <w:tblPrEx>
          <w:tblW w:w="0" w:type="auto"/>
          <w:jc w:val="left"/>
          <w:tblInd w:w="1098" w:type="dxa"/>
          <w:tblLayout w:type="fixed"/>
          <w:tblCellMar>
            <w:top w:w="0" w:type="dxa"/>
            <w:left w:w="0" w:type="dxa"/>
            <w:bottom w:w="0" w:type="dxa"/>
            <w:right w:w="0" w:type="dxa"/>
          </w:tblCellMar>
          <w:tblLook w:val="01E0"/>
        </w:tblPrEx>
        <w:trPr>
          <w:trHeight w:val="392"/>
          <w:jc w:val="left"/>
        </w:trPr>
        <w:tc>
          <w:tcPr>
            <w:tcW w:w="12139" w:type="dxa"/>
          </w:tcPr>
          <w:p>
            <w:pPr>
              <w:pStyle w:val="TableParagraph"/>
              <w:spacing w:before="38" w:line="335" w:lineRule="exact"/>
              <w:ind w:right="57"/>
              <w:jc w:val="right"/>
              <w:rPr>
                <w:sz w:val="31"/>
              </w:rPr>
            </w:pPr>
            <w:r>
              <w:rPr>
                <w:sz w:val="31"/>
              </w:rPr>
              <w:t>8.1 服务承诺............................................................</w:t>
            </w:r>
          </w:p>
        </w:tc>
        <w:tc>
          <w:tcPr>
            <w:tcW w:w="424" w:type="dxa"/>
          </w:tcPr>
          <w:p>
            <w:pPr>
              <w:pStyle w:val="TableParagraph"/>
              <w:spacing w:before="38" w:line="335" w:lineRule="exact"/>
              <w:ind w:right="49"/>
              <w:jc w:val="right"/>
              <w:rPr>
                <w:sz w:val="31"/>
              </w:rPr>
            </w:pPr>
            <w:r>
              <w:rPr>
                <w:sz w:val="31"/>
              </w:rPr>
              <w:t>24</w:t>
            </w:r>
          </w:p>
        </w:tc>
      </w:tr>
    </w:tbl>
    <w:p>
      <w:pPr>
        <w:spacing w:after="0" w:line="335" w:lineRule="exact"/>
        <w:jc w:val="right"/>
        <w:rPr>
          <w:sz w:val="31"/>
        </w:rPr>
        <w:sectPr>
          <w:headerReference w:type="default" r:id="rId6"/>
          <w:footerReference w:type="default" r:id="rId7"/>
          <w:pgSz w:w="17860" w:h="25260"/>
          <w:pgMar w:top="1400" w:right="1660" w:bottom="2020" w:left="1560" w:header="1054" w:footer="1831"/>
          <w:pgNumType w:start="2"/>
          <w:cols w:space="708"/>
        </w:sectPr>
      </w:pPr>
    </w:p>
    <w:p>
      <w:pPr>
        <w:pStyle w:val="BodyText"/>
        <w:rPr>
          <w:sz w:val="20"/>
        </w:rPr>
      </w:pPr>
    </w:p>
    <w:p>
      <w:pPr>
        <w:pStyle w:val="Heading1"/>
      </w:pPr>
      <w:r>
        <w:t>第一章 工程概况</w:t>
      </w:r>
    </w:p>
    <w:p>
      <w:pPr>
        <w:pStyle w:val="BodyText"/>
        <w:rPr>
          <w:b/>
          <w:sz w:val="20"/>
        </w:rPr>
      </w:pPr>
    </w:p>
    <w:p>
      <w:pPr>
        <w:pStyle w:val="BodyText"/>
        <w:rPr>
          <w:b/>
          <w:sz w:val="20"/>
        </w:rPr>
      </w:pPr>
    </w:p>
    <w:p>
      <w:pPr>
        <w:pStyle w:val="BodyText"/>
        <w:spacing w:before="9"/>
        <w:rPr>
          <w:b/>
          <w:sz w:val="27"/>
        </w:rPr>
      </w:pPr>
    </w:p>
    <w:p>
      <w:pPr>
        <w:pStyle w:val="Heading2"/>
        <w:numPr>
          <w:ilvl w:val="1"/>
          <w:numId w:val="14"/>
        </w:numPr>
        <w:tabs>
          <w:tab w:val="left" w:pos="2048"/>
        </w:tabs>
        <w:spacing w:before="37" w:after="0" w:line="240" w:lineRule="auto"/>
        <w:ind w:left="2047" w:right="0" w:hanging="908"/>
        <w:jc w:val="left"/>
      </w:pPr>
      <w:bookmarkStart w:id="0" w:name="_TOC_250013"/>
      <w:bookmarkEnd w:id="0"/>
      <w:r>
        <w:t>废水来源</w:t>
      </w:r>
    </w:p>
    <w:p>
      <w:pPr>
        <w:pStyle w:val="BodyText"/>
        <w:spacing w:before="7"/>
        <w:rPr>
          <w:b/>
          <w:sz w:val="38"/>
        </w:rPr>
      </w:pPr>
    </w:p>
    <w:p>
      <w:pPr>
        <w:pStyle w:val="BodyText"/>
        <w:spacing w:line="364" w:lineRule="auto"/>
        <w:ind w:left="1140" w:right="1415" w:firstLine="719"/>
      </w:pPr>
      <w:r>
        <w:rPr>
          <w:spacing w:val="-9"/>
        </w:rPr>
        <w:t>生产废水主要产生于生牛羊宰前的冲洗水，屠宰中肉和内脏的清洗水，屠</w:t>
      </w:r>
      <w:r>
        <w:t>宰设备及场地的清洗水等。生产时废水集中排放。</w:t>
      </w:r>
    </w:p>
    <w:p>
      <w:pPr>
        <w:pStyle w:val="BodyText"/>
        <w:spacing w:before="8"/>
        <w:rPr>
          <w:sz w:val="39"/>
        </w:rPr>
      </w:pPr>
    </w:p>
    <w:p>
      <w:pPr>
        <w:pStyle w:val="Heading2"/>
        <w:numPr>
          <w:ilvl w:val="1"/>
          <w:numId w:val="14"/>
        </w:numPr>
        <w:tabs>
          <w:tab w:val="left" w:pos="2048"/>
        </w:tabs>
        <w:spacing w:before="0" w:after="0" w:line="240" w:lineRule="auto"/>
        <w:ind w:left="2047" w:right="0" w:hanging="908"/>
        <w:jc w:val="left"/>
      </w:pPr>
      <w:bookmarkStart w:id="1" w:name="_TOC_250012"/>
      <w:bookmarkEnd w:id="1"/>
      <w:r>
        <w:t>废水水量、水质特点</w:t>
      </w:r>
    </w:p>
    <w:p>
      <w:pPr>
        <w:pStyle w:val="BodyText"/>
        <w:spacing w:before="8"/>
        <w:rPr>
          <w:b/>
          <w:sz w:val="38"/>
        </w:rPr>
      </w:pPr>
    </w:p>
    <w:p>
      <w:pPr>
        <w:pStyle w:val="BodyText"/>
        <w:spacing w:before="1" w:line="364" w:lineRule="auto"/>
        <w:ind w:left="1140" w:right="1256" w:firstLine="719"/>
      </w:pPr>
      <w:r>
        <w:rPr>
          <w:spacing w:val="-16"/>
        </w:rPr>
        <w:t xml:space="preserve">根据提供的资料，生产过程中各工艺口排放的废水量总计 </w:t>
      </w:r>
      <w:r>
        <w:rPr>
          <w:spacing w:val="-7"/>
        </w:rPr>
        <w:t>800m</w:t>
      </w:r>
      <w:r>
        <w:rPr>
          <w:spacing w:val="-7"/>
          <w:position w:val="3"/>
          <w:sz w:val="29"/>
        </w:rPr>
        <w:t>3</w:t>
      </w:r>
      <w:r>
        <w:rPr>
          <w:spacing w:val="-7"/>
        </w:rPr>
        <w:t>/d</w:t>
      </w:r>
      <w:r>
        <w:rPr>
          <w:spacing w:val="-3"/>
        </w:rPr>
        <w:t>,废水中</w:t>
      </w:r>
      <w:r>
        <w:rPr>
          <w:spacing w:val="-4"/>
        </w:rPr>
        <w:t>主要含有血液、油脂、碎肉、骨渣、毛及粪便等，废水呈褐红色，具有较强的</w:t>
      </w:r>
      <w:r>
        <w:t>腥臭味。</w:t>
      </w:r>
    </w:p>
    <w:p>
      <w:pPr>
        <w:pStyle w:val="BodyText"/>
        <w:spacing w:before="2" w:line="364" w:lineRule="auto"/>
        <w:ind w:left="1140" w:right="1256" w:firstLine="719"/>
      </w:pPr>
      <w:r>
        <w:rPr>
          <w:spacing w:val="-12"/>
        </w:rPr>
        <w:t>屠宰废水的特点是：有机悬浮物含量高，易腐败，排入水体会消耗水中的</w:t>
      </w:r>
      <w:r>
        <w:rPr>
          <w:spacing w:val="-13"/>
        </w:rPr>
        <w:t>溶解氧，破坏生态系统，污染环境。现拟对屠宰废水进行处理，要求出水达到</w:t>
      </w:r>
    </w:p>
    <w:p>
      <w:pPr>
        <w:pStyle w:val="BodyText"/>
        <w:spacing w:before="2"/>
        <w:ind w:left="1140"/>
      </w:pPr>
      <w:r>
        <w:t>《肉类加工工业水污染物排放标准》一级排放标准。</w:t>
      </w:r>
    </w:p>
    <w:p>
      <w:pPr>
        <w:pStyle w:val="BodyText"/>
        <w:rPr>
          <w:sz w:val="20"/>
        </w:rPr>
      </w:pPr>
    </w:p>
    <w:p>
      <w:pPr>
        <w:pStyle w:val="BodyText"/>
        <w:rPr>
          <w:sz w:val="20"/>
        </w:rPr>
      </w:pPr>
    </w:p>
    <w:p>
      <w:pPr>
        <w:pStyle w:val="BodyText"/>
        <w:spacing w:before="5"/>
        <w:rPr>
          <w:sz w:val="15"/>
        </w:rPr>
      </w:pPr>
    </w:p>
    <w:p>
      <w:pPr>
        <w:pStyle w:val="Heading2"/>
        <w:numPr>
          <w:ilvl w:val="1"/>
          <w:numId w:val="14"/>
        </w:numPr>
        <w:tabs>
          <w:tab w:val="left" w:pos="1933"/>
        </w:tabs>
        <w:spacing w:before="37" w:after="0" w:line="240" w:lineRule="auto"/>
        <w:ind w:left="1932" w:right="0" w:hanging="793"/>
        <w:jc w:val="left"/>
      </w:pPr>
      <w:bookmarkStart w:id="2" w:name="_TOC_250011"/>
      <w:bookmarkEnd w:id="2"/>
      <w:r>
        <w:t>方案编制单位</w:t>
      </w:r>
    </w:p>
    <w:p>
      <w:pPr>
        <w:pStyle w:val="BodyText"/>
        <w:spacing w:before="12"/>
        <w:rPr>
          <w:b/>
          <w:sz w:val="45"/>
        </w:rPr>
      </w:pPr>
    </w:p>
    <w:p>
      <w:pPr>
        <w:pStyle w:val="BodyText"/>
        <w:ind w:left="1997"/>
      </w:pPr>
      <w:r>
        <w:t>安徽欣睦环保科技有限公司</w:t>
      </w:r>
    </w:p>
    <w:p>
      <w:pPr>
        <w:spacing w:after="0"/>
        <w:sectPr>
          <w:headerReference w:type="default" r:id="rId8"/>
          <w:footerReference w:type="default" r:id="rId9"/>
          <w:pgSz w:w="17860" w:h="25260"/>
          <w:pgMar w:top="1400" w:right="1660" w:bottom="2020" w:left="1560" w:header="1054" w:footer="1831"/>
          <w:pgNumType w:start="3"/>
          <w:cols w:space="708"/>
        </w:sectPr>
      </w:pPr>
    </w:p>
    <w:p>
      <w:pPr>
        <w:pStyle w:val="BodyText"/>
        <w:rPr>
          <w:sz w:val="20"/>
        </w:rPr>
      </w:pPr>
    </w:p>
    <w:p>
      <w:pPr>
        <w:pStyle w:val="BodyText"/>
        <w:rPr>
          <w:sz w:val="20"/>
        </w:rPr>
      </w:pPr>
    </w:p>
    <w:p>
      <w:pPr>
        <w:pStyle w:val="BodyText"/>
        <w:spacing w:before="4"/>
        <w:rPr>
          <w:sz w:val="27"/>
        </w:rPr>
      </w:pPr>
    </w:p>
    <w:p>
      <w:pPr>
        <w:pStyle w:val="Heading1"/>
        <w:spacing w:before="24"/>
        <w:ind w:right="601"/>
      </w:pPr>
      <w:bookmarkStart w:id="3" w:name="_TOC_250010"/>
      <w:bookmarkEnd w:id="3"/>
      <w:r>
        <w:t>第二章 设计基础</w:t>
      </w:r>
    </w:p>
    <w:p>
      <w:pPr>
        <w:pStyle w:val="BodyText"/>
        <w:rPr>
          <w:b/>
          <w:sz w:val="20"/>
        </w:rPr>
      </w:pPr>
    </w:p>
    <w:p>
      <w:pPr>
        <w:pStyle w:val="BodyText"/>
        <w:rPr>
          <w:b/>
          <w:sz w:val="20"/>
        </w:rPr>
      </w:pPr>
    </w:p>
    <w:p>
      <w:pPr>
        <w:pStyle w:val="BodyText"/>
        <w:spacing w:before="10"/>
        <w:rPr>
          <w:b/>
          <w:sz w:val="27"/>
        </w:rPr>
      </w:pPr>
    </w:p>
    <w:p>
      <w:pPr>
        <w:pStyle w:val="Heading2"/>
        <w:numPr>
          <w:ilvl w:val="1"/>
          <w:numId w:val="15"/>
        </w:numPr>
        <w:tabs>
          <w:tab w:val="left" w:pos="1933"/>
        </w:tabs>
        <w:spacing w:before="37" w:after="0" w:line="240" w:lineRule="auto"/>
        <w:ind w:left="1932" w:right="0" w:hanging="793"/>
        <w:jc w:val="left"/>
      </w:pPr>
      <w:bookmarkStart w:id="4" w:name="_TOC_250009"/>
      <w:bookmarkEnd w:id="4"/>
      <w:r>
        <w:t>设计依据</w:t>
      </w:r>
    </w:p>
    <w:p>
      <w:pPr>
        <w:pStyle w:val="ListParagraph"/>
        <w:numPr>
          <w:ilvl w:val="2"/>
          <w:numId w:val="15"/>
        </w:numPr>
        <w:tabs>
          <w:tab w:val="left" w:pos="2243"/>
          <w:tab w:val="left" w:pos="7315"/>
        </w:tabs>
        <w:spacing w:before="375" w:after="0" w:line="364" w:lineRule="auto"/>
        <w:ind w:left="1140" w:right="1651" w:firstLine="0"/>
        <w:jc w:val="left"/>
        <w:rPr>
          <w:sz w:val="36"/>
        </w:rPr>
      </w:pPr>
      <w:r>
        <w:rPr>
          <w:sz w:val="36"/>
        </w:rPr>
        <w:t>建设项目环境保护管理办法（</w:t>
        <w:tab/>
        <w:t>1986</w:t>
      </w:r>
      <w:r>
        <w:rPr>
          <w:spacing w:val="11"/>
          <w:sz w:val="36"/>
        </w:rPr>
        <w:t xml:space="preserve"> </w:t>
      </w:r>
      <w:r>
        <w:rPr>
          <w:sz w:val="36"/>
        </w:rPr>
        <w:t>年</w:t>
      </w:r>
      <w:r>
        <w:rPr>
          <w:spacing w:val="-22"/>
          <w:sz w:val="36"/>
        </w:rPr>
        <w:t xml:space="preserve"> </w:t>
      </w:r>
      <w:r>
        <w:rPr>
          <w:sz w:val="36"/>
        </w:rPr>
        <w:t>3</w:t>
      </w:r>
      <w:r>
        <w:rPr>
          <w:spacing w:val="-36"/>
          <w:sz w:val="36"/>
        </w:rPr>
        <w:t xml:space="preserve"> </w:t>
      </w:r>
      <w:r>
        <w:rPr>
          <w:sz w:val="36"/>
        </w:rPr>
        <w:t>月</w:t>
      </w:r>
      <w:r>
        <w:rPr>
          <w:spacing w:val="-22"/>
          <w:sz w:val="36"/>
        </w:rPr>
        <w:t xml:space="preserve"> </w:t>
      </w:r>
      <w:r>
        <w:rPr>
          <w:sz w:val="36"/>
        </w:rPr>
        <w:t>26</w:t>
      </w:r>
      <w:r>
        <w:rPr>
          <w:spacing w:val="-22"/>
          <w:sz w:val="36"/>
        </w:rPr>
        <w:t xml:space="preserve"> </w:t>
      </w:r>
      <w:r>
        <w:rPr>
          <w:sz w:val="36"/>
        </w:rPr>
        <w:t>日国务院环境保</w:t>
      </w:r>
      <w:r>
        <w:rPr>
          <w:spacing w:val="-16"/>
          <w:sz w:val="36"/>
        </w:rPr>
        <w:t>护</w:t>
      </w:r>
      <w:r>
        <w:rPr>
          <w:sz w:val="36"/>
        </w:rPr>
        <w:t>委员会、国家计划委员会、国家经济委员会颁发）；</w:t>
      </w:r>
    </w:p>
    <w:p>
      <w:pPr>
        <w:pStyle w:val="ListParagraph"/>
        <w:numPr>
          <w:ilvl w:val="2"/>
          <w:numId w:val="15"/>
        </w:numPr>
        <w:tabs>
          <w:tab w:val="left" w:pos="2235"/>
          <w:tab w:val="left" w:pos="7304"/>
          <w:tab w:val="left" w:pos="12324"/>
        </w:tabs>
        <w:spacing w:before="0" w:after="0" w:line="364" w:lineRule="auto"/>
        <w:ind w:left="1140" w:right="1441" w:firstLine="0"/>
        <w:jc w:val="left"/>
        <w:rPr>
          <w:sz w:val="36"/>
        </w:rPr>
      </w:pPr>
      <w:r>
        <w:rPr>
          <w:sz w:val="36"/>
        </w:rPr>
        <w:t>建设项目环境保护管理条例（</w:t>
        <w:tab/>
        <w:t>1998</w:t>
      </w:r>
      <w:r>
        <w:rPr>
          <w:spacing w:val="4"/>
          <w:sz w:val="36"/>
        </w:rPr>
        <w:t xml:space="preserve"> </w:t>
      </w:r>
      <w:r>
        <w:rPr>
          <w:sz w:val="36"/>
        </w:rPr>
        <w:t>年</w:t>
      </w:r>
      <w:r>
        <w:rPr>
          <w:spacing w:val="-29"/>
          <w:sz w:val="36"/>
        </w:rPr>
        <w:t xml:space="preserve"> </w:t>
      </w:r>
      <w:r>
        <w:rPr>
          <w:sz w:val="36"/>
        </w:rPr>
        <w:t>11</w:t>
      </w:r>
      <w:r>
        <w:rPr>
          <w:spacing w:val="-29"/>
          <w:sz w:val="36"/>
        </w:rPr>
        <w:t xml:space="preserve"> </w:t>
      </w:r>
      <w:r>
        <w:rPr>
          <w:sz w:val="36"/>
        </w:rPr>
        <w:t>月</w:t>
      </w:r>
      <w:r>
        <w:rPr>
          <w:spacing w:val="-29"/>
          <w:sz w:val="36"/>
        </w:rPr>
        <w:t xml:space="preserve"> </w:t>
      </w:r>
      <w:r>
        <w:rPr>
          <w:sz w:val="36"/>
        </w:rPr>
        <w:t>18</w:t>
      </w:r>
      <w:r>
        <w:rPr>
          <w:spacing w:val="-29"/>
          <w:sz w:val="36"/>
        </w:rPr>
        <w:t xml:space="preserve"> </w:t>
      </w:r>
      <w:r>
        <w:rPr>
          <w:sz w:val="36"/>
        </w:rPr>
        <w:t>日国务院第</w:t>
        <w:tab/>
        <w:t>10</w:t>
      </w:r>
      <w:r>
        <w:rPr>
          <w:spacing w:val="-29"/>
          <w:sz w:val="36"/>
        </w:rPr>
        <w:t xml:space="preserve"> </w:t>
      </w:r>
      <w:r>
        <w:rPr>
          <w:spacing w:val="-17"/>
          <w:sz w:val="36"/>
        </w:rPr>
        <w:t>次</w:t>
      </w:r>
      <w:r>
        <w:rPr>
          <w:sz w:val="36"/>
        </w:rPr>
        <w:t>常务会议通过）；</w:t>
      </w:r>
    </w:p>
    <w:p>
      <w:pPr>
        <w:pStyle w:val="ListParagraph"/>
        <w:numPr>
          <w:ilvl w:val="2"/>
          <w:numId w:val="15"/>
        </w:numPr>
        <w:tabs>
          <w:tab w:val="left" w:pos="2113"/>
          <w:tab w:val="left" w:pos="8356"/>
        </w:tabs>
        <w:spacing w:before="116" w:after="0" w:line="240" w:lineRule="auto"/>
        <w:ind w:left="2112" w:right="0" w:hanging="973"/>
        <w:jc w:val="left"/>
        <w:rPr>
          <w:sz w:val="36"/>
        </w:rPr>
      </w:pPr>
      <w:r>
        <w:rPr>
          <w:sz w:val="36"/>
        </w:rPr>
        <w:t>《肉类加工工业水污染物排放标准》</w:t>
        <w:tab/>
        <w:t>(GB13457-92) ；</w:t>
      </w:r>
    </w:p>
    <w:p>
      <w:pPr>
        <w:pStyle w:val="ListParagraph"/>
        <w:numPr>
          <w:ilvl w:val="2"/>
          <w:numId w:val="15"/>
        </w:numPr>
        <w:tabs>
          <w:tab w:val="left" w:pos="2113"/>
          <w:tab w:val="left" w:pos="6015"/>
        </w:tabs>
        <w:spacing w:before="241" w:after="0" w:line="240" w:lineRule="auto"/>
        <w:ind w:left="2112" w:right="0" w:hanging="973"/>
        <w:jc w:val="left"/>
        <w:rPr>
          <w:sz w:val="36"/>
        </w:rPr>
      </w:pPr>
      <w:r>
        <w:rPr>
          <w:sz w:val="36"/>
        </w:rPr>
        <w:t>《室外排水设计规范》</w:t>
        <w:tab/>
        <w:t>GB50014</w:t>
      </w:r>
      <w:r>
        <w:rPr>
          <w:spacing w:val="-76"/>
          <w:sz w:val="36"/>
        </w:rPr>
        <w:t xml:space="preserve"> </w:t>
      </w:r>
      <w:r>
        <w:rPr>
          <w:spacing w:val="5"/>
          <w:sz w:val="36"/>
        </w:rPr>
        <w:t>—2006</w:t>
      </w:r>
      <w:r>
        <w:rPr>
          <w:spacing w:val="-119"/>
          <w:sz w:val="36"/>
        </w:rPr>
        <w:t xml:space="preserve"> </w:t>
      </w:r>
      <w:r>
        <w:rPr>
          <w:sz w:val="36"/>
        </w:rPr>
        <w:t>；</w:t>
      </w:r>
    </w:p>
    <w:p>
      <w:pPr>
        <w:pStyle w:val="ListParagraph"/>
        <w:numPr>
          <w:ilvl w:val="2"/>
          <w:numId w:val="15"/>
        </w:numPr>
        <w:tabs>
          <w:tab w:val="left" w:pos="2210"/>
        </w:tabs>
        <w:spacing w:before="241" w:after="0" w:line="240" w:lineRule="auto"/>
        <w:ind w:left="2209" w:right="0" w:hanging="1070"/>
        <w:jc w:val="left"/>
        <w:rPr>
          <w:sz w:val="36"/>
        </w:rPr>
      </w:pPr>
      <w:r>
        <w:rPr>
          <w:sz w:val="36"/>
        </w:rPr>
        <w:t>甲方提供的有关数据资料。</w:t>
      </w:r>
    </w:p>
    <w:p>
      <w:pPr>
        <w:pStyle w:val="ListParagraph"/>
        <w:numPr>
          <w:ilvl w:val="2"/>
          <w:numId w:val="15"/>
        </w:numPr>
        <w:tabs>
          <w:tab w:val="left" w:pos="2131"/>
        </w:tabs>
        <w:spacing w:before="240" w:after="0" w:line="240" w:lineRule="auto"/>
        <w:ind w:left="2130" w:right="0" w:hanging="991"/>
        <w:jc w:val="left"/>
        <w:rPr>
          <w:sz w:val="36"/>
        </w:rPr>
      </w:pPr>
      <w:r>
        <w:rPr>
          <w:sz w:val="36"/>
        </w:rPr>
        <w:t>其它规范及标准：</w:t>
      </w:r>
    </w:p>
    <w:p>
      <w:pPr>
        <w:pStyle w:val="BodyText"/>
        <w:spacing w:before="1"/>
        <w:rPr>
          <w:sz w:val="26"/>
        </w:rPr>
      </w:pPr>
    </w:p>
    <w:p>
      <w:pPr>
        <w:pStyle w:val="BodyText"/>
        <w:spacing w:before="1"/>
        <w:ind w:left="1860"/>
      </w:pPr>
      <w:r>
        <w:t>《室外排水设计规范》 GB50014-2006；</w:t>
      </w:r>
    </w:p>
    <w:p>
      <w:pPr>
        <w:pStyle w:val="BodyText"/>
        <w:spacing w:before="258"/>
        <w:ind w:left="1860"/>
      </w:pPr>
      <w:r>
        <w:t>《给水排水工程结构设计规范》GBJ69-2002；</w:t>
      </w:r>
    </w:p>
    <w:p>
      <w:pPr>
        <w:pStyle w:val="BodyText"/>
        <w:spacing w:before="259"/>
        <w:ind w:left="1860"/>
      </w:pPr>
      <w:r>
        <w:t>《工业防腐设计规范》GBJ46-82；</w:t>
      </w:r>
    </w:p>
    <w:p>
      <w:pPr>
        <w:pStyle w:val="BodyText"/>
        <w:spacing w:before="260"/>
        <w:ind w:left="1860"/>
      </w:pPr>
      <w:r>
        <w:t>《工业污染物产生和排放系数手册》；</w:t>
      </w:r>
    </w:p>
    <w:p>
      <w:pPr>
        <w:pStyle w:val="BodyText"/>
        <w:spacing w:before="258"/>
        <w:ind w:left="1860"/>
      </w:pPr>
      <w:r>
        <w:t>《城市区域环境噪声标准》 GB3096-93；</w:t>
      </w:r>
    </w:p>
    <w:p>
      <w:pPr>
        <w:pStyle w:val="BodyText"/>
        <w:spacing w:before="259"/>
        <w:ind w:left="1860"/>
      </w:pPr>
      <w:r>
        <w:t>《供配电系统设计规范》GB50217-94；</w:t>
      </w:r>
    </w:p>
    <w:p>
      <w:pPr>
        <w:pStyle w:val="BodyText"/>
        <w:spacing w:before="259"/>
        <w:ind w:left="1860"/>
      </w:pPr>
      <w:r>
        <w:t>《建筑给水排水设计规范》GB50015-2003;</w:t>
      </w:r>
    </w:p>
    <w:p>
      <w:pPr>
        <w:pStyle w:val="BodyText"/>
        <w:spacing w:before="259"/>
        <w:ind w:left="1860"/>
      </w:pPr>
      <w:r>
        <w:t>《自动化仪表选型规定》HG20507-92;</w:t>
      </w:r>
    </w:p>
    <w:p>
      <w:pPr>
        <w:pStyle w:val="BodyText"/>
        <w:spacing w:before="258"/>
        <w:ind w:left="1860"/>
      </w:pPr>
      <w:r>
        <w:t>《低压配电设计规范》GB50054-95；</w:t>
      </w:r>
    </w:p>
    <w:p>
      <w:pPr>
        <w:pStyle w:val="BodyText"/>
        <w:spacing w:before="259"/>
        <w:ind w:left="1860"/>
      </w:pPr>
      <w:r>
        <w:t>《泵站设计规范》GB/T50265-97；</w:t>
      </w:r>
    </w:p>
    <w:p>
      <w:pPr>
        <w:pStyle w:val="BodyText"/>
        <w:spacing w:before="6"/>
        <w:rPr>
          <w:sz w:val="52"/>
        </w:rPr>
      </w:pPr>
    </w:p>
    <w:p>
      <w:pPr>
        <w:pStyle w:val="Heading2"/>
        <w:numPr>
          <w:ilvl w:val="1"/>
          <w:numId w:val="15"/>
        </w:numPr>
        <w:tabs>
          <w:tab w:val="left" w:pos="1933"/>
        </w:tabs>
        <w:spacing w:before="0" w:after="0" w:line="240" w:lineRule="auto"/>
        <w:ind w:left="1932" w:right="0" w:hanging="793"/>
        <w:jc w:val="left"/>
      </w:pPr>
      <w:bookmarkStart w:id="5" w:name="_TOC_250008"/>
      <w:bookmarkEnd w:id="5"/>
      <w:r>
        <w:t>设计原则</w:t>
      </w:r>
    </w:p>
    <w:p>
      <w:pPr>
        <w:pStyle w:val="ListParagraph"/>
        <w:numPr>
          <w:ilvl w:val="2"/>
          <w:numId w:val="15"/>
        </w:numPr>
        <w:tabs>
          <w:tab w:val="left" w:pos="3081"/>
        </w:tabs>
        <w:spacing w:before="375" w:after="0" w:line="364" w:lineRule="auto"/>
        <w:ind w:left="1140" w:right="2196" w:firstLine="781"/>
        <w:jc w:val="left"/>
        <w:rPr>
          <w:sz w:val="36"/>
        </w:rPr>
      </w:pPr>
      <w:r>
        <w:rPr>
          <w:spacing w:val="-1"/>
          <w:sz w:val="36"/>
        </w:rPr>
        <w:t>严格执行国家和地方环保、卫生和安全等法规，经处理后主</w:t>
      </w:r>
      <w:r>
        <w:rPr>
          <w:sz w:val="36"/>
        </w:rPr>
        <w:t>要水质指标符合国家有关标准；</w:t>
      </w:r>
    </w:p>
    <w:p>
      <w:pPr>
        <w:pStyle w:val="ListParagraph"/>
        <w:numPr>
          <w:ilvl w:val="2"/>
          <w:numId w:val="15"/>
        </w:numPr>
        <w:tabs>
          <w:tab w:val="left" w:pos="2991"/>
        </w:tabs>
        <w:spacing w:before="2" w:after="0" w:line="362" w:lineRule="auto"/>
        <w:ind w:left="1140" w:right="1735" w:firstLine="781"/>
        <w:jc w:val="left"/>
        <w:rPr>
          <w:sz w:val="36"/>
        </w:rPr>
      </w:pPr>
      <w:r>
        <w:rPr>
          <w:spacing w:val="-1"/>
          <w:sz w:val="36"/>
        </w:rPr>
        <w:t>设计中坚持科学态度， 采用的水处理工艺既要体现技术先进、</w:t>
      </w:r>
      <w:r>
        <w:rPr>
          <w:sz w:val="36"/>
        </w:rPr>
        <w:t>经济合理，又要成熟、安全可靠，并具有操作简单、运行管理方便等特</w:t>
      </w:r>
    </w:p>
    <w:p>
      <w:pPr>
        <w:pStyle w:val="BodyText"/>
        <w:spacing w:before="7"/>
        <w:ind w:left="1140"/>
      </w:pPr>
      <w:r>
        <w:t>点；</w:t>
      </w:r>
    </w:p>
    <w:p>
      <w:pPr>
        <w:spacing w:after="0"/>
        <w:sectPr>
          <w:headerReference w:type="default" r:id="rId10"/>
          <w:footerReference w:type="default" r:id="rId11"/>
          <w:pgSz w:w="17860" w:h="25260"/>
          <w:pgMar w:top="1400" w:right="1660" w:bottom="2020" w:left="1560" w:header="1054" w:footer="1831"/>
          <w:pgNumType w:start="4"/>
          <w:cols w:space="708"/>
        </w:sectPr>
      </w:pPr>
    </w:p>
    <w:p>
      <w:pPr>
        <w:pStyle w:val="BodyText"/>
        <w:rPr>
          <w:sz w:val="20"/>
        </w:rPr>
      </w:pPr>
    </w:p>
    <w:p>
      <w:pPr>
        <w:pStyle w:val="ListParagraph"/>
        <w:numPr>
          <w:ilvl w:val="2"/>
          <w:numId w:val="8"/>
        </w:numPr>
        <w:tabs>
          <w:tab w:val="left" w:pos="3106"/>
          <w:tab w:val="left" w:pos="3107"/>
        </w:tabs>
        <w:spacing w:before="198" w:after="0" w:line="364" w:lineRule="auto"/>
        <w:ind w:left="1140" w:right="2171" w:firstLine="781"/>
        <w:jc w:val="left"/>
        <w:rPr>
          <w:sz w:val="36"/>
        </w:rPr>
      </w:pPr>
      <w:r>
        <w:rPr>
          <w:spacing w:val="-1"/>
          <w:sz w:val="36"/>
        </w:rPr>
        <w:t>处理单元相对紧凑、占地尽可能少，在确保运行稳定、出水</w:t>
      </w:r>
      <w:r>
        <w:rPr>
          <w:sz w:val="36"/>
        </w:rPr>
        <w:t>水质达标的前提下，尽量降低工程造价及运行成本；</w:t>
      </w:r>
    </w:p>
    <w:p>
      <w:pPr>
        <w:pStyle w:val="ListParagraph"/>
        <w:numPr>
          <w:ilvl w:val="2"/>
          <w:numId w:val="8"/>
        </w:numPr>
        <w:tabs>
          <w:tab w:val="left" w:pos="3017"/>
          <w:tab w:val="left" w:pos="12832"/>
        </w:tabs>
        <w:spacing w:before="0" w:after="0" w:line="364" w:lineRule="auto"/>
        <w:ind w:left="1140" w:right="1445" w:firstLine="719"/>
        <w:jc w:val="left"/>
        <w:rPr>
          <w:sz w:val="36"/>
        </w:rPr>
      </w:pPr>
      <w:r>
        <w:rPr>
          <w:sz w:val="36"/>
        </w:rPr>
        <w:t>设计中坚持污水生化处理与生态化处理思想相结合的原则</w:t>
        <w:tab/>
      </w:r>
      <w:r>
        <w:rPr>
          <w:spacing w:val="-18"/>
          <w:sz w:val="36"/>
        </w:rPr>
        <w:t xml:space="preserve">， </w:t>
      </w:r>
      <w:r>
        <w:rPr>
          <w:sz w:val="36"/>
        </w:rPr>
        <w:t>营造和谐的污水处理生态环境。</w:t>
      </w:r>
    </w:p>
    <w:p>
      <w:pPr>
        <w:pStyle w:val="BodyText"/>
        <w:spacing w:before="6"/>
        <w:rPr>
          <w:sz w:val="48"/>
        </w:rPr>
      </w:pPr>
    </w:p>
    <w:p>
      <w:pPr>
        <w:pStyle w:val="Heading2"/>
        <w:numPr>
          <w:ilvl w:val="1"/>
          <w:numId w:val="8"/>
        </w:numPr>
        <w:tabs>
          <w:tab w:val="left" w:pos="1933"/>
        </w:tabs>
        <w:spacing w:before="0" w:after="0" w:line="240" w:lineRule="auto"/>
        <w:ind w:left="1932" w:right="0" w:hanging="793"/>
        <w:jc w:val="left"/>
      </w:pPr>
      <w:bookmarkStart w:id="6" w:name="_TOC_250007"/>
      <w:bookmarkEnd w:id="6"/>
      <w:r>
        <w:t>项目范围</w:t>
      </w:r>
    </w:p>
    <w:p>
      <w:pPr>
        <w:pStyle w:val="BodyText"/>
        <w:spacing w:before="376" w:line="364" w:lineRule="auto"/>
        <w:ind w:left="1140" w:right="2275" w:firstLine="781"/>
        <w:jc w:val="both"/>
      </w:pPr>
      <w:r>
        <w:t>本方案设计范围包括污水处理工程内的污水处理工艺、土建、电气控制和污泥贮池等。污水处理工程以外的管网收集、污泥外运处理、出水外排、总电源引线等由业主负责实施。</w:t>
      </w:r>
    </w:p>
    <w:p>
      <w:pPr>
        <w:pStyle w:val="BodyText"/>
        <w:spacing w:before="10"/>
        <w:rPr>
          <w:sz w:val="48"/>
        </w:rPr>
      </w:pPr>
    </w:p>
    <w:p>
      <w:pPr>
        <w:pStyle w:val="Heading2"/>
        <w:numPr>
          <w:ilvl w:val="1"/>
          <w:numId w:val="8"/>
        </w:numPr>
        <w:tabs>
          <w:tab w:val="left" w:pos="1933"/>
        </w:tabs>
        <w:spacing w:before="0" w:after="0" w:line="240" w:lineRule="auto"/>
        <w:ind w:left="1932" w:right="0" w:hanging="793"/>
        <w:jc w:val="left"/>
      </w:pPr>
      <w:bookmarkStart w:id="7" w:name="_TOC_250006"/>
      <w:bookmarkEnd w:id="7"/>
      <w:r>
        <w:t>设计处理规模</w:t>
      </w:r>
    </w:p>
    <w:p>
      <w:pPr>
        <w:pStyle w:val="BodyText"/>
        <w:spacing w:before="7"/>
        <w:rPr>
          <w:b/>
          <w:sz w:val="38"/>
        </w:rPr>
      </w:pPr>
    </w:p>
    <w:p>
      <w:pPr>
        <w:pStyle w:val="BodyText"/>
        <w:spacing w:line="364" w:lineRule="auto"/>
        <w:ind w:left="1140" w:right="1420" w:firstLine="781"/>
        <w:jc w:val="both"/>
      </w:pPr>
      <w:r>
        <w:rPr>
          <w:spacing w:val="2"/>
        </w:rPr>
        <w:t xml:space="preserve">根据提供资料，屠宰废水水量为  </w:t>
      </w:r>
      <w:r>
        <w:t>800m</w:t>
      </w:r>
      <w:r>
        <w:rPr>
          <w:spacing w:val="-119"/>
        </w:rPr>
        <w:t xml:space="preserve"> </w:t>
      </w:r>
      <w:r>
        <w:rPr>
          <w:spacing w:val="11"/>
          <w:position w:val="3"/>
          <w:sz w:val="18"/>
        </w:rPr>
        <w:t>3</w:t>
      </w:r>
      <w:r>
        <w:rPr>
          <w:spacing w:val="11"/>
        </w:rPr>
        <w:t>/d</w:t>
      </w:r>
      <w:r>
        <w:t>，废水主要产生于生禽屠宰</w:t>
      </w:r>
      <w:r>
        <w:rPr>
          <w:spacing w:val="-13"/>
        </w:rPr>
        <w:t>前的冲洗水，屠宰后肉和内脏的清洗水，屠宰设备及场地的清洗水等。生产时</w:t>
      </w:r>
      <w:r>
        <w:t>废水集中排放。</w:t>
      </w:r>
    </w:p>
    <w:p>
      <w:pPr>
        <w:pStyle w:val="BodyText"/>
        <w:spacing w:before="3"/>
        <w:ind w:left="1921"/>
        <w:jc w:val="both"/>
      </w:pPr>
      <w:r>
        <w:rPr>
          <w:spacing w:val="10"/>
        </w:rPr>
        <w:t xml:space="preserve">据此，本方案设计时处理水量为 </w:t>
      </w:r>
      <w:r>
        <w:t>40m</w:t>
      </w:r>
      <w:r>
        <w:rPr>
          <w:spacing w:val="-137"/>
        </w:rPr>
        <w:t xml:space="preserve"> </w:t>
      </w:r>
      <w:r>
        <w:rPr>
          <w:position w:val="3"/>
          <w:sz w:val="18"/>
        </w:rPr>
        <w:t>3</w:t>
      </w:r>
      <w:r>
        <w:rPr>
          <w:spacing w:val="-72"/>
          <w:position w:val="3"/>
          <w:sz w:val="18"/>
        </w:rPr>
        <w:t xml:space="preserve"> </w:t>
      </w:r>
      <w:r>
        <w:rPr>
          <w:spacing w:val="9"/>
        </w:rPr>
        <w:t>/h</w:t>
      </w:r>
      <w:r>
        <w:rPr>
          <w:spacing w:val="-70"/>
        </w:rPr>
        <w:t xml:space="preserve">， </w:t>
      </w:r>
      <w:r>
        <w:t>24</w:t>
      </w:r>
      <w:r>
        <w:rPr>
          <w:spacing w:val="-8"/>
        </w:rPr>
        <w:t xml:space="preserve"> 小时连续运行。</w:t>
      </w:r>
    </w:p>
    <w:p>
      <w:pPr>
        <w:pStyle w:val="BodyText"/>
      </w:pPr>
    </w:p>
    <w:p>
      <w:pPr>
        <w:pStyle w:val="Heading2"/>
        <w:numPr>
          <w:ilvl w:val="1"/>
          <w:numId w:val="8"/>
        </w:numPr>
        <w:tabs>
          <w:tab w:val="left" w:pos="1933"/>
        </w:tabs>
        <w:spacing w:before="286" w:after="0" w:line="240" w:lineRule="auto"/>
        <w:ind w:left="1932" w:right="0" w:hanging="793"/>
        <w:jc w:val="left"/>
      </w:pPr>
      <w:bookmarkStart w:id="8" w:name="_TOC_250005"/>
      <w:bookmarkEnd w:id="8"/>
      <w:r>
        <w:t>设计处理水质</w:t>
      </w:r>
    </w:p>
    <w:p>
      <w:pPr>
        <w:pStyle w:val="BodyText"/>
        <w:spacing w:before="2"/>
        <w:rPr>
          <w:b/>
          <w:sz w:val="35"/>
        </w:rPr>
      </w:pPr>
    </w:p>
    <w:p>
      <w:pPr>
        <w:pStyle w:val="BodyText"/>
        <w:spacing w:before="1"/>
        <w:ind w:left="1860"/>
      </w:pPr>
      <w:r>
        <w:t>根据甲方提供的资料，本项目的处理前原污水水质，见下表。</w:t>
      </w:r>
    </w:p>
    <w:p>
      <w:pPr>
        <w:pStyle w:val="BodyText"/>
        <w:tabs>
          <w:tab w:val="left" w:pos="11131"/>
        </w:tabs>
        <w:spacing w:before="312"/>
        <w:ind w:left="3120"/>
      </w:pPr>
      <w:r>
        <w:pict>
          <v:group id="_x0000_s1025" style="width:666pt;height:311pt;margin-top:54.22pt;margin-left:147pt;mso-position-horizontal-relative:page;position:absolute;z-index:251658240" coordorigin="2940,1084" coordsize="13320,6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20;height:6220;left:2940;position:absolute;top:1084" stroked="f">
              <v:imagedata r:id="rId12" o:title=""/>
            </v:shape>
            <v:shapetype id="_x0000_t202" coordsize="21600,21600" o:spt="202" path="m,l,21600r21600,l21600,xe">
              <v:stroke joinstyle="miter"/>
              <v:path gradientshapeok="t" o:connecttype="rect"/>
            </v:shapetype>
            <v:shape id="_x0000_s1027" type="#_x0000_t202" style="width:1820;height:360;left:4965;position:absolute;top:1259" filled="f" stroked="f">
              <v:textbox inset="0,0,0,0">
                <w:txbxContent>
                  <w:p>
                    <w:pPr>
                      <w:spacing w:before="0" w:line="360" w:lineRule="exact"/>
                      <w:ind w:left="0" w:right="0" w:firstLine="0"/>
                      <w:jc w:val="left"/>
                      <w:rPr>
                        <w:sz w:val="36"/>
                      </w:rPr>
                    </w:pPr>
                    <w:r>
                      <w:rPr>
                        <w:sz w:val="36"/>
                      </w:rPr>
                      <w:t>污染因子质</w:t>
                    </w:r>
                  </w:p>
                </w:txbxContent>
              </v:textbox>
            </v:shape>
            <v:shape id="_x0000_s1028" type="#_x0000_t202" style="width:2180;height:360;left:11399;position:absolute;top:1259" filled="f" stroked="f">
              <v:textbox inset="0,0,0,0">
                <w:txbxContent>
                  <w:p>
                    <w:pPr>
                      <w:spacing w:before="0" w:line="360" w:lineRule="exact"/>
                      <w:ind w:left="0" w:right="0" w:firstLine="0"/>
                      <w:jc w:val="left"/>
                      <w:rPr>
                        <w:sz w:val="36"/>
                      </w:rPr>
                    </w:pPr>
                    <w:r>
                      <w:rPr>
                        <w:sz w:val="36"/>
                      </w:rPr>
                      <w:t>设计进水水质</w:t>
                    </w:r>
                  </w:p>
                </w:txbxContent>
              </v:textbox>
            </v:shape>
            <v:shape id="_x0000_s1029" type="#_x0000_t202" style="width:560;height:360;left:5505;position:absolute;top:2133" filled="f" stroked="f">
              <v:textbox inset="0,0,0,0">
                <w:txbxContent>
                  <w:p>
                    <w:pPr>
                      <w:spacing w:before="0" w:line="360" w:lineRule="exact"/>
                      <w:ind w:left="0" w:right="0" w:firstLine="0"/>
                      <w:jc w:val="left"/>
                      <w:rPr>
                        <w:sz w:val="36"/>
                      </w:rPr>
                    </w:pPr>
                    <w:r>
                      <w:rPr>
                        <w:sz w:val="36"/>
                      </w:rPr>
                      <w:t>COD</w:t>
                    </w:r>
                  </w:p>
                </w:txbxContent>
              </v:textbox>
            </v:shape>
            <v:shape id="_x0000_s1030" type="#_x0000_t202" style="width:1100;height:360;left:11939;position:absolute;top:2133" filled="f" stroked="f">
              <v:textbox inset="0,0,0,0">
                <w:txbxContent>
                  <w:p>
                    <w:pPr>
                      <w:spacing w:before="0" w:line="360" w:lineRule="exact"/>
                      <w:ind w:left="0" w:right="0" w:firstLine="0"/>
                      <w:jc w:val="left"/>
                      <w:rPr>
                        <w:sz w:val="36"/>
                      </w:rPr>
                    </w:pPr>
                    <w:r>
                      <w:rPr>
                        <w:sz w:val="36"/>
                      </w:rPr>
                      <w:t>≤1800</w:t>
                    </w:r>
                  </w:p>
                </w:txbxContent>
              </v:textbox>
            </v:shape>
            <v:shape id="_x0000_s1031" type="#_x0000_t202" style="width:7402;height:1052;left:5548;position:absolute;top:2471" filled="f" stroked="f">
              <v:textbox inset="0,0,0,0">
                <w:txbxContent>
                  <w:p>
                    <w:pPr>
                      <w:spacing w:before="0" w:line="205" w:lineRule="exact"/>
                      <w:ind w:left="497" w:right="0" w:firstLine="0"/>
                      <w:jc w:val="left"/>
                      <w:rPr>
                        <w:sz w:val="18"/>
                      </w:rPr>
                    </w:pPr>
                    <w:r>
                      <w:rPr>
                        <w:sz w:val="18"/>
                      </w:rPr>
                      <w:t>Cr</w:t>
                    </w:r>
                  </w:p>
                  <w:p>
                    <w:pPr>
                      <w:spacing w:before="8" w:line="240" w:lineRule="auto"/>
                      <w:rPr>
                        <w:sz w:val="21"/>
                      </w:rPr>
                    </w:pPr>
                  </w:p>
                  <w:p>
                    <w:pPr>
                      <w:tabs>
                        <w:tab w:val="left" w:pos="6481"/>
                      </w:tabs>
                      <w:spacing w:before="0" w:line="412" w:lineRule="exact"/>
                      <w:ind w:left="0" w:right="0" w:firstLine="0"/>
                      <w:jc w:val="left"/>
                      <w:rPr>
                        <w:sz w:val="36"/>
                      </w:rPr>
                    </w:pPr>
                    <w:r>
                      <w:rPr>
                        <w:sz w:val="36"/>
                      </w:rPr>
                      <w:t>BOD</w:t>
                      <w:tab/>
                      <w:t>≤900</w:t>
                    </w:r>
                  </w:p>
                  <w:p>
                    <w:pPr>
                      <w:spacing w:before="0" w:line="156" w:lineRule="exact"/>
                      <w:ind w:left="540" w:right="0" w:firstLine="0"/>
                      <w:jc w:val="left"/>
                      <w:rPr>
                        <w:sz w:val="18"/>
                      </w:rPr>
                    </w:pPr>
                    <w:r>
                      <w:rPr>
                        <w:sz w:val="18"/>
                      </w:rPr>
                      <w:t>5</w:t>
                    </w:r>
                  </w:p>
                </w:txbxContent>
              </v:textbox>
            </v:shape>
            <v:shape id="_x0000_s1032" type="#_x0000_t202" style="width:380;height:360;left:5686;position:absolute;top:3880" filled="f" stroked="f">
              <v:textbox inset="0,0,0,0">
                <w:txbxContent>
                  <w:p>
                    <w:pPr>
                      <w:spacing w:before="0" w:line="360" w:lineRule="exact"/>
                      <w:ind w:left="0" w:right="0" w:firstLine="0"/>
                      <w:jc w:val="left"/>
                      <w:rPr>
                        <w:sz w:val="36"/>
                      </w:rPr>
                    </w:pPr>
                    <w:r>
                      <w:rPr>
                        <w:sz w:val="36"/>
                      </w:rPr>
                      <w:t>SS</w:t>
                    </w:r>
                  </w:p>
                </w:txbxContent>
              </v:textbox>
            </v:shape>
            <v:shape id="_x0000_s1033" type="#_x0000_t202" style="width:1100;height:360;left:11939;position:absolute;top:3880" filled="f" stroked="f">
              <v:textbox inset="0,0,0,0">
                <w:txbxContent>
                  <w:p>
                    <w:pPr>
                      <w:spacing w:before="0" w:line="360" w:lineRule="exact"/>
                      <w:ind w:left="0" w:right="0" w:firstLine="0"/>
                      <w:jc w:val="left"/>
                      <w:rPr>
                        <w:sz w:val="36"/>
                      </w:rPr>
                    </w:pPr>
                    <w:r>
                      <w:rPr>
                        <w:sz w:val="36"/>
                      </w:rPr>
                      <w:t>≤1500</w:t>
                    </w:r>
                  </w:p>
                </w:txbxContent>
              </v:textbox>
            </v:shape>
            <v:shape id="_x0000_s1034" type="#_x0000_t202" style="width:1100;height:360;left:5325;position:absolute;top:4752" filled="f" stroked="f">
              <v:textbox inset="0,0,0,0">
                <w:txbxContent>
                  <w:p>
                    <w:pPr>
                      <w:spacing w:before="0" w:line="360" w:lineRule="exact"/>
                      <w:ind w:left="0" w:right="0" w:firstLine="0"/>
                      <w:jc w:val="left"/>
                      <w:rPr>
                        <w:sz w:val="36"/>
                      </w:rPr>
                    </w:pPr>
                    <w:r>
                      <w:rPr>
                        <w:sz w:val="36"/>
                      </w:rPr>
                      <w:t>动物油</w:t>
                    </w:r>
                  </w:p>
                </w:txbxContent>
              </v:textbox>
            </v:shape>
            <v:shape id="_x0000_s1035" type="#_x0000_t202" style="width:740;height:360;left:12119;position:absolute;top:4752" filled="f" stroked="f">
              <v:textbox inset="0,0,0,0">
                <w:txbxContent>
                  <w:p>
                    <w:pPr>
                      <w:spacing w:before="0" w:line="360" w:lineRule="exact"/>
                      <w:ind w:left="0" w:right="0" w:firstLine="0"/>
                      <w:jc w:val="left"/>
                      <w:rPr>
                        <w:sz w:val="36"/>
                      </w:rPr>
                    </w:pPr>
                    <w:r>
                      <w:rPr>
                        <w:sz w:val="36"/>
                      </w:rPr>
                      <w:t>≤50</w:t>
                    </w:r>
                  </w:p>
                </w:txbxContent>
              </v:textbox>
            </v:shape>
            <v:shape id="_x0000_s1036" type="#_x0000_t202" style="width:831;height:519;left:5458;position:absolute;top:5623" filled="f" stroked="f">
              <v:textbox inset="0,0,0,0">
                <w:txbxContent>
                  <w:p>
                    <w:pPr>
                      <w:spacing w:before="0" w:line="362" w:lineRule="exact"/>
                      <w:ind w:left="0" w:right="18" w:firstLine="0"/>
                      <w:jc w:val="center"/>
                      <w:rPr>
                        <w:sz w:val="36"/>
                      </w:rPr>
                    </w:pPr>
                    <w:r>
                      <w:rPr>
                        <w:sz w:val="36"/>
                      </w:rPr>
                      <w:t>NH</w:t>
                    </w:r>
                    <w:r>
                      <w:rPr>
                        <w:spacing w:val="-90"/>
                        <w:sz w:val="36"/>
                      </w:rPr>
                      <w:t xml:space="preserve"> </w:t>
                    </w:r>
                    <w:r>
                      <w:rPr>
                        <w:spacing w:val="-9"/>
                        <w:sz w:val="36"/>
                      </w:rPr>
                      <w:t>-N</w:t>
                    </w:r>
                  </w:p>
                  <w:p>
                    <w:pPr>
                      <w:spacing w:before="0" w:line="156" w:lineRule="exact"/>
                      <w:ind w:left="0" w:right="17" w:firstLine="0"/>
                      <w:jc w:val="center"/>
                      <w:rPr>
                        <w:sz w:val="18"/>
                      </w:rPr>
                    </w:pPr>
                    <w:r>
                      <w:rPr>
                        <w:sz w:val="18"/>
                      </w:rPr>
                      <w:t>3</w:t>
                    </w:r>
                  </w:p>
                </w:txbxContent>
              </v:textbox>
            </v:shape>
            <v:shape id="_x0000_s1037" type="#_x0000_t202" style="width:740;height:360;left:12119;position:absolute;top:5623" filled="f" stroked="f">
              <v:textbox inset="0,0,0,0">
                <w:txbxContent>
                  <w:p>
                    <w:pPr>
                      <w:spacing w:before="0" w:line="360" w:lineRule="exact"/>
                      <w:ind w:left="0" w:right="0" w:firstLine="0"/>
                      <w:jc w:val="left"/>
                      <w:rPr>
                        <w:sz w:val="36"/>
                      </w:rPr>
                    </w:pPr>
                    <w:r>
                      <w:rPr>
                        <w:sz w:val="36"/>
                      </w:rPr>
                      <w:t>≤50</w:t>
                    </w:r>
                  </w:p>
                </w:txbxContent>
              </v:textbox>
            </v:shape>
            <v:shape id="_x0000_s1038" type="#_x0000_t202" style="width:380;height:360;left:5686;position:absolute;top:6498" filled="f" stroked="f">
              <v:textbox inset="0,0,0,0">
                <w:txbxContent>
                  <w:p>
                    <w:pPr>
                      <w:spacing w:before="0" w:line="360" w:lineRule="exact"/>
                      <w:ind w:left="0" w:right="0" w:firstLine="0"/>
                      <w:jc w:val="left"/>
                      <w:rPr>
                        <w:sz w:val="36"/>
                      </w:rPr>
                    </w:pPr>
                    <w:r>
                      <w:rPr>
                        <w:sz w:val="36"/>
                      </w:rPr>
                      <w:t>pH</w:t>
                    </w:r>
                  </w:p>
                </w:txbxContent>
              </v:textbox>
            </v:shape>
            <v:shape id="_x0000_s1039" type="#_x0000_t202" style="width:560;height:360;left:12209;position:absolute;top:6498" filled="f" stroked="f">
              <v:textbox inset="0,0,0,0">
                <w:txbxContent>
                  <w:p>
                    <w:pPr>
                      <w:spacing w:before="0" w:line="360" w:lineRule="exact"/>
                      <w:ind w:left="0" w:right="0" w:firstLine="0"/>
                      <w:jc w:val="left"/>
                      <w:rPr>
                        <w:sz w:val="36"/>
                      </w:rPr>
                    </w:pPr>
                    <w:r>
                      <w:rPr>
                        <w:sz w:val="36"/>
                      </w:rPr>
                      <w:t>8.0</w:t>
                    </w:r>
                  </w:p>
                </w:txbxContent>
              </v:textbox>
            </v:shape>
          </v:group>
        </w:pict>
      </w:r>
      <w:r>
        <w:t>表</w:t>
      </w:r>
      <w:r>
        <w:rPr>
          <w:spacing w:val="-90"/>
        </w:rPr>
        <w:t xml:space="preserve"> </w:t>
      </w:r>
      <w:r>
        <w:t>2.5.1</w:t>
      </w:r>
      <w:r>
        <w:rPr>
          <w:spacing w:val="1"/>
        </w:rPr>
        <w:t xml:space="preserve"> </w:t>
      </w:r>
      <w:r>
        <w:t>污水处理前设计水质主要指标一览表</w:t>
        <w:tab/>
        <w:t>单位：mg/L</w:t>
      </w:r>
    </w:p>
    <w:p>
      <w:pPr>
        <w:spacing w:after="0"/>
        <w:sectPr>
          <w:headerReference w:type="default" r:id="rId13"/>
          <w:footerReference w:type="default" r:id="rId14"/>
          <w:pgSz w:w="17860" w:h="25260"/>
          <w:pgMar w:top="1400" w:right="1660" w:bottom="2020" w:left="1560" w:header="1054" w:footer="1831"/>
          <w:pgNumType w:start="5"/>
          <w:cols w:space="708"/>
        </w:sectPr>
      </w:pPr>
    </w:p>
    <w:p>
      <w:pPr>
        <w:pStyle w:val="BodyText"/>
        <w:spacing w:before="7"/>
        <w:rPr>
          <w:sz w:val="26"/>
        </w:rPr>
      </w:pPr>
    </w:p>
    <w:p>
      <w:pPr>
        <w:pStyle w:val="Heading2"/>
        <w:numPr>
          <w:ilvl w:val="1"/>
          <w:numId w:val="8"/>
        </w:numPr>
        <w:tabs>
          <w:tab w:val="left" w:pos="1933"/>
        </w:tabs>
        <w:spacing w:before="37" w:after="0" w:line="240" w:lineRule="auto"/>
        <w:ind w:left="1932" w:right="0" w:hanging="793"/>
        <w:jc w:val="left"/>
      </w:pPr>
      <w:bookmarkStart w:id="9" w:name="_TOC_250004"/>
      <w:bookmarkEnd w:id="9"/>
      <w:r>
        <w:t>出水水质要求</w:t>
      </w:r>
    </w:p>
    <w:p>
      <w:pPr>
        <w:pStyle w:val="BodyText"/>
        <w:spacing w:before="8"/>
        <w:rPr>
          <w:b/>
          <w:sz w:val="38"/>
        </w:rPr>
      </w:pPr>
    </w:p>
    <w:p>
      <w:pPr>
        <w:pStyle w:val="BodyText"/>
        <w:spacing w:line="364" w:lineRule="auto"/>
        <w:ind w:left="1140" w:right="1948" w:firstLine="719"/>
      </w:pPr>
      <w:r>
        <w:t>本方案设计中出水水质指标严格执行《肉类加工工业水污染物排放标准》(GB13457-92) 中的一级标准。</w:t>
      </w:r>
    </w:p>
    <w:p>
      <w:pPr>
        <w:pStyle w:val="BodyText"/>
        <w:tabs>
          <w:tab w:val="left" w:pos="2810"/>
          <w:tab w:val="left" w:pos="9771"/>
        </w:tabs>
        <w:spacing w:line="420" w:lineRule="exact"/>
        <w:ind w:left="1140"/>
      </w:pPr>
      <w:r>
        <w:pict>
          <v:group id="_x0000_s1040" style="width:666pt;height:355pt;margin-top:36.46pt;margin-left:147pt;mso-position-horizontal-relative:page;position:absolute;z-index:251659264" coordorigin="2940,729" coordsize="13320,7100">
            <v:shape id="_x0000_s1041" type="#_x0000_t75" style="width:13320;height:7100;left:2940;position:absolute;top:729" stroked="f">
              <v:imagedata r:id="rId15" o:title=""/>
            </v:shape>
            <v:shape id="_x0000_s1042" type="#_x0000_t202" style="width:1820;height:360;left:5321;position:absolute;top:905" filled="f" stroked="f">
              <v:textbox inset="0,0,0,0">
                <w:txbxContent>
                  <w:p>
                    <w:pPr>
                      <w:spacing w:before="0" w:line="360" w:lineRule="exact"/>
                      <w:ind w:left="0" w:right="0" w:firstLine="0"/>
                      <w:jc w:val="left"/>
                      <w:rPr>
                        <w:sz w:val="36"/>
                      </w:rPr>
                    </w:pPr>
                    <w:r>
                      <w:rPr>
                        <w:sz w:val="36"/>
                      </w:rPr>
                      <w:t>污染因子质</w:t>
                    </w:r>
                  </w:p>
                </w:txbxContent>
              </v:textbox>
            </v:shape>
            <v:shape id="_x0000_s1043" type="#_x0000_t202" style="width:1460;height:360;left:12119;position:absolute;top:905" filled="f" stroked="f">
              <v:textbox inset="0,0,0,0">
                <w:txbxContent>
                  <w:p>
                    <w:pPr>
                      <w:spacing w:before="0" w:line="360" w:lineRule="exact"/>
                      <w:ind w:left="0" w:right="0" w:firstLine="0"/>
                      <w:jc w:val="left"/>
                      <w:rPr>
                        <w:sz w:val="36"/>
                      </w:rPr>
                    </w:pPr>
                    <w:r>
                      <w:rPr>
                        <w:sz w:val="36"/>
                      </w:rPr>
                      <w:t>一级标准</w:t>
                    </w:r>
                  </w:p>
                </w:txbxContent>
              </v:textbox>
            </v:shape>
            <v:shape id="_x0000_s1044" type="#_x0000_t202" style="width:740;height:519;left:5862;position:absolute;top:1776" filled="f" stroked="f">
              <v:textbox inset="0,0,0,0">
                <w:txbxContent>
                  <w:p>
                    <w:pPr>
                      <w:spacing w:before="0" w:line="362" w:lineRule="exact"/>
                      <w:ind w:left="0" w:right="0" w:firstLine="0"/>
                      <w:jc w:val="left"/>
                      <w:rPr>
                        <w:sz w:val="36"/>
                      </w:rPr>
                    </w:pPr>
                    <w:r>
                      <w:rPr>
                        <w:sz w:val="36"/>
                      </w:rPr>
                      <w:t>COD</w:t>
                    </w:r>
                  </w:p>
                  <w:p>
                    <w:pPr>
                      <w:spacing w:before="0" w:line="156" w:lineRule="exact"/>
                      <w:ind w:left="0" w:right="18" w:firstLine="0"/>
                      <w:jc w:val="right"/>
                      <w:rPr>
                        <w:sz w:val="18"/>
                      </w:rPr>
                    </w:pPr>
                    <w:r>
                      <w:rPr>
                        <w:sz w:val="18"/>
                      </w:rPr>
                      <w:t>Cr</w:t>
                    </w:r>
                  </w:p>
                </w:txbxContent>
              </v:textbox>
            </v:shape>
            <v:shape id="_x0000_s1045" type="#_x0000_t202" style="width:740;height:360;left:12479;position:absolute;top:1776" filled="f" stroked="f">
              <v:textbox inset="0,0,0,0">
                <w:txbxContent>
                  <w:p>
                    <w:pPr>
                      <w:spacing w:before="0" w:line="360" w:lineRule="exact"/>
                      <w:ind w:left="0" w:right="0" w:firstLine="0"/>
                      <w:jc w:val="left"/>
                      <w:rPr>
                        <w:sz w:val="36"/>
                      </w:rPr>
                    </w:pPr>
                    <w:r>
                      <w:rPr>
                        <w:sz w:val="36"/>
                      </w:rPr>
                      <w:t>≤80</w:t>
                    </w:r>
                  </w:p>
                </w:txbxContent>
              </v:textbox>
            </v:shape>
            <v:shape id="_x0000_s1046" type="#_x0000_t202" style="width:650;height:519;left:5909;position:absolute;top:2651" filled="f" stroked="f">
              <v:textbox inset="0,0,0,0">
                <w:txbxContent>
                  <w:p>
                    <w:pPr>
                      <w:spacing w:before="0" w:line="362" w:lineRule="exact"/>
                      <w:ind w:left="0" w:right="0" w:firstLine="0"/>
                      <w:jc w:val="left"/>
                      <w:rPr>
                        <w:sz w:val="36"/>
                      </w:rPr>
                    </w:pPr>
                    <w:r>
                      <w:rPr>
                        <w:sz w:val="36"/>
                      </w:rPr>
                      <w:t>BOD</w:t>
                    </w:r>
                  </w:p>
                  <w:p>
                    <w:pPr>
                      <w:spacing w:before="0" w:line="156" w:lineRule="exact"/>
                      <w:ind w:left="0" w:right="18" w:firstLine="0"/>
                      <w:jc w:val="right"/>
                      <w:rPr>
                        <w:sz w:val="18"/>
                      </w:rPr>
                    </w:pPr>
                    <w:r>
                      <w:rPr>
                        <w:sz w:val="18"/>
                      </w:rPr>
                      <w:t>5</w:t>
                    </w:r>
                  </w:p>
                </w:txbxContent>
              </v:textbox>
            </v:shape>
            <v:shape id="_x0000_s1047" type="#_x0000_t202" style="width:740;height:360;left:12479;position:absolute;top:2651" filled="f" stroked="f">
              <v:textbox inset="0,0,0,0">
                <w:txbxContent>
                  <w:p>
                    <w:pPr>
                      <w:spacing w:before="0" w:line="360" w:lineRule="exact"/>
                      <w:ind w:left="0" w:right="0" w:firstLine="0"/>
                      <w:jc w:val="left"/>
                      <w:rPr>
                        <w:sz w:val="36"/>
                      </w:rPr>
                    </w:pPr>
                    <w:r>
                      <w:rPr>
                        <w:sz w:val="36"/>
                      </w:rPr>
                      <w:t>≤30</w:t>
                    </w:r>
                  </w:p>
                </w:txbxContent>
              </v:textbox>
            </v:shape>
            <v:shape id="_x0000_s1048" type="#_x0000_t202" style="width:380;height:360;left:6042;position:absolute;top:3523" filled="f" stroked="f">
              <v:textbox inset="0,0,0,0">
                <w:txbxContent>
                  <w:p>
                    <w:pPr>
                      <w:spacing w:before="0" w:line="360" w:lineRule="exact"/>
                      <w:ind w:left="0" w:right="0" w:firstLine="0"/>
                      <w:jc w:val="left"/>
                      <w:rPr>
                        <w:sz w:val="36"/>
                      </w:rPr>
                    </w:pPr>
                    <w:r>
                      <w:rPr>
                        <w:sz w:val="36"/>
                      </w:rPr>
                      <w:t>SS</w:t>
                    </w:r>
                  </w:p>
                </w:txbxContent>
              </v:textbox>
            </v:shape>
            <v:shape id="_x0000_s1049" type="#_x0000_t202" style="width:740;height:360;left:12479;position:absolute;top:3523" filled="f" stroked="f">
              <v:textbox inset="0,0,0,0">
                <w:txbxContent>
                  <w:p>
                    <w:pPr>
                      <w:spacing w:before="0" w:line="360" w:lineRule="exact"/>
                      <w:ind w:left="0" w:right="0" w:firstLine="0"/>
                      <w:jc w:val="left"/>
                      <w:rPr>
                        <w:sz w:val="36"/>
                      </w:rPr>
                    </w:pPr>
                    <w:r>
                      <w:rPr>
                        <w:sz w:val="36"/>
                      </w:rPr>
                      <w:t>≤60</w:t>
                    </w:r>
                  </w:p>
                </w:txbxContent>
              </v:textbox>
            </v:shape>
            <v:shape id="_x0000_s1050" type="#_x0000_t202" style="width:830;height:519;left:5819;position:absolute;top:4398" filled="f" stroked="f">
              <v:textbox inset="0,0,0,0">
                <w:txbxContent>
                  <w:p>
                    <w:pPr>
                      <w:spacing w:before="0" w:line="362" w:lineRule="exact"/>
                      <w:ind w:left="0" w:right="18" w:firstLine="0"/>
                      <w:jc w:val="center"/>
                      <w:rPr>
                        <w:sz w:val="36"/>
                      </w:rPr>
                    </w:pPr>
                    <w:r>
                      <w:rPr>
                        <w:sz w:val="36"/>
                      </w:rPr>
                      <w:t>NH</w:t>
                    </w:r>
                    <w:r>
                      <w:rPr>
                        <w:spacing w:val="-90"/>
                        <w:sz w:val="36"/>
                      </w:rPr>
                      <w:t xml:space="preserve"> </w:t>
                    </w:r>
                    <w:r>
                      <w:rPr>
                        <w:spacing w:val="-9"/>
                        <w:sz w:val="36"/>
                      </w:rPr>
                      <w:t>-N</w:t>
                    </w:r>
                  </w:p>
                  <w:p>
                    <w:pPr>
                      <w:spacing w:before="0" w:line="156" w:lineRule="exact"/>
                      <w:ind w:left="0" w:right="18" w:firstLine="0"/>
                      <w:jc w:val="center"/>
                      <w:rPr>
                        <w:sz w:val="18"/>
                      </w:rPr>
                    </w:pPr>
                    <w:r>
                      <w:rPr>
                        <w:sz w:val="18"/>
                      </w:rPr>
                      <w:t>3</w:t>
                    </w:r>
                  </w:p>
                </w:txbxContent>
              </v:textbox>
            </v:shape>
            <v:shape id="_x0000_s1051" type="#_x0000_t202" style="width:740;height:360;left:12479;position:absolute;top:4398" filled="f" stroked="f">
              <v:textbox inset="0,0,0,0">
                <w:txbxContent>
                  <w:p>
                    <w:pPr>
                      <w:spacing w:before="0" w:line="360" w:lineRule="exact"/>
                      <w:ind w:left="0" w:right="0" w:firstLine="0"/>
                      <w:jc w:val="left"/>
                      <w:rPr>
                        <w:sz w:val="36"/>
                      </w:rPr>
                    </w:pPr>
                    <w:r>
                      <w:rPr>
                        <w:sz w:val="36"/>
                      </w:rPr>
                      <w:t>≤15</w:t>
                    </w:r>
                  </w:p>
                </w:txbxContent>
              </v:textbox>
            </v:shape>
            <v:shape id="_x0000_s1052" type="#_x0000_t202" style="width:1100;height:360;left:5682;position:absolute;top:5269" filled="f" stroked="f">
              <v:textbox inset="0,0,0,0">
                <w:txbxContent>
                  <w:p>
                    <w:pPr>
                      <w:spacing w:before="0" w:line="360" w:lineRule="exact"/>
                      <w:ind w:left="0" w:right="0" w:firstLine="0"/>
                      <w:jc w:val="left"/>
                      <w:rPr>
                        <w:sz w:val="36"/>
                      </w:rPr>
                    </w:pPr>
                    <w:r>
                      <w:rPr>
                        <w:sz w:val="36"/>
                      </w:rPr>
                      <w:t>动物油</w:t>
                    </w:r>
                  </w:p>
                </w:txbxContent>
              </v:textbox>
            </v:shape>
            <v:shape id="_x0000_s1053" type="#_x0000_t202" style="width:740;height:360;left:12479;position:absolute;top:5269" filled="f" stroked="f">
              <v:textbox inset="0,0,0,0">
                <w:txbxContent>
                  <w:p>
                    <w:pPr>
                      <w:spacing w:before="0" w:line="360" w:lineRule="exact"/>
                      <w:ind w:left="0" w:right="0" w:firstLine="0"/>
                      <w:jc w:val="left"/>
                      <w:rPr>
                        <w:sz w:val="36"/>
                      </w:rPr>
                    </w:pPr>
                    <w:r>
                      <w:rPr>
                        <w:sz w:val="36"/>
                      </w:rPr>
                      <w:t>≤15</w:t>
                    </w:r>
                  </w:p>
                </w:txbxContent>
              </v:textbox>
            </v:shape>
            <v:shape id="_x0000_s1054" type="#_x0000_t202" style="width:380;height:360;left:6042;position:absolute;top:6144" filled="f" stroked="f">
              <v:textbox inset="0,0,0,0">
                <w:txbxContent>
                  <w:p>
                    <w:pPr>
                      <w:spacing w:before="0" w:line="360" w:lineRule="exact"/>
                      <w:ind w:left="0" w:right="0" w:firstLine="0"/>
                      <w:jc w:val="left"/>
                      <w:rPr>
                        <w:sz w:val="36"/>
                      </w:rPr>
                    </w:pPr>
                    <w:r>
                      <w:rPr>
                        <w:sz w:val="36"/>
                      </w:rPr>
                      <w:t>pH</w:t>
                    </w:r>
                  </w:p>
                </w:txbxContent>
              </v:textbox>
            </v:shape>
            <v:shape id="_x0000_s1055" type="#_x0000_t202" style="width:740;height:360;left:12479;position:absolute;top:6144" filled="f" stroked="f">
              <v:textbox inset="0,0,0,0">
                <w:txbxContent>
                  <w:p>
                    <w:pPr>
                      <w:spacing w:before="0" w:line="360" w:lineRule="exact"/>
                      <w:ind w:left="0" w:right="0" w:firstLine="0"/>
                      <w:jc w:val="left"/>
                      <w:rPr>
                        <w:sz w:val="36"/>
                      </w:rPr>
                    </w:pPr>
                    <w:r>
                      <w:rPr>
                        <w:sz w:val="36"/>
                      </w:rPr>
                      <w:t>6～9</w:t>
                    </w:r>
                  </w:p>
                </w:txbxContent>
              </v:textbox>
            </v:shape>
            <v:shape id="_x0000_s1056" type="#_x0000_t202" style="width:2901;height:360;left:4781;position:absolute;top:7015" filled="f" stroked="f">
              <v:textbox inset="0,0,0,0">
                <w:txbxContent>
                  <w:p>
                    <w:pPr>
                      <w:spacing w:before="0" w:line="360" w:lineRule="exact"/>
                      <w:ind w:left="0" w:right="0" w:firstLine="0"/>
                      <w:jc w:val="left"/>
                      <w:rPr>
                        <w:sz w:val="36"/>
                      </w:rPr>
                    </w:pPr>
                    <w:r>
                      <w:rPr>
                        <w:sz w:val="36"/>
                      </w:rPr>
                      <w:t>大肠菌群（个/L）</w:t>
                    </w:r>
                  </w:p>
                </w:txbxContent>
              </v:textbox>
            </v:shape>
            <v:shape id="_x0000_s1057" type="#_x0000_t202" style="width:740;height:360;left:12479;position:absolute;top:7015" filled="f" stroked="f">
              <v:textbox inset="0,0,0,0">
                <w:txbxContent>
                  <w:p>
                    <w:pPr>
                      <w:spacing w:before="0" w:line="360" w:lineRule="exact"/>
                      <w:ind w:left="0" w:right="0" w:firstLine="0"/>
                      <w:jc w:val="left"/>
                      <w:rPr>
                        <w:sz w:val="36"/>
                      </w:rPr>
                    </w:pPr>
                    <w:r>
                      <w:rPr>
                        <w:sz w:val="36"/>
                      </w:rPr>
                      <w:t>5000</w:t>
                    </w:r>
                  </w:p>
                </w:txbxContent>
              </v:textbox>
            </v:shape>
          </v:group>
        </w:pict>
      </w:r>
      <w:r>
        <w:t>表</w:t>
      </w:r>
      <w:r>
        <w:rPr>
          <w:spacing w:val="-55"/>
        </w:rPr>
        <w:t xml:space="preserve"> </w:t>
      </w:r>
      <w:r>
        <w:t>2.6.1</w:t>
        <w:tab/>
        <w:t>《肉类加工工业水污染物排放标准》</w:t>
        <w:tab/>
        <w:t>单位：mg/L</w:t>
      </w:r>
    </w:p>
    <w:p>
      <w:pPr>
        <w:spacing w:after="0" w:line="420" w:lineRule="exact"/>
        <w:sectPr>
          <w:headerReference w:type="default" r:id="rId16"/>
          <w:footerReference w:type="default" r:id="rId17"/>
          <w:pgSz w:w="17860" w:h="25260"/>
          <w:pgMar w:top="1400" w:right="1660" w:bottom="2020" w:left="1560" w:header="1054" w:footer="1831"/>
          <w:pgNumType w:start="6"/>
          <w:cols w:space="708"/>
        </w:sectPr>
      </w:pPr>
    </w:p>
    <w:p>
      <w:pPr>
        <w:pStyle w:val="BodyText"/>
        <w:rPr>
          <w:sz w:val="20"/>
        </w:rPr>
      </w:pPr>
    </w:p>
    <w:p>
      <w:pPr>
        <w:pStyle w:val="Heading1"/>
      </w:pPr>
      <w:bookmarkStart w:id="10" w:name="_TOC_250003"/>
      <w:bookmarkEnd w:id="10"/>
      <w:r>
        <w:t>第三章 处理工艺分析</w:t>
      </w:r>
    </w:p>
    <w:p>
      <w:pPr>
        <w:pStyle w:val="BodyText"/>
        <w:spacing w:before="398" w:line="364" w:lineRule="auto"/>
        <w:ind w:left="1140" w:right="2275" w:firstLine="781"/>
      </w:pPr>
      <w:r>
        <w:t>屠宰废水中含有动物血、油脂、碎肉、食物残渣、毛、粪便和泥沙等污物。废水的特征可概括为：⑴水质水量变化大（该厂废水为集中排</w:t>
      </w:r>
    </w:p>
    <w:p>
      <w:pPr>
        <w:pStyle w:val="BodyText"/>
        <w:tabs>
          <w:tab w:val="left" w:pos="2908"/>
          <w:tab w:val="left" w:pos="10890"/>
        </w:tabs>
        <w:spacing w:before="2"/>
        <w:ind w:left="1140"/>
      </w:pPr>
      <w:r>
        <w:t>放）；⑵</w:t>
        <w:tab/>
        <w:t>由表</w:t>
      </w:r>
      <w:r>
        <w:rPr>
          <w:spacing w:val="64"/>
        </w:rPr>
        <w:t xml:space="preserve"> </w:t>
      </w:r>
      <w:r>
        <w:t>2.5.1</w:t>
      </w:r>
      <w:r>
        <w:rPr>
          <w:spacing w:val="87"/>
        </w:rPr>
        <w:t xml:space="preserve"> </w:t>
      </w:r>
      <w:r>
        <w:t>可以看出，该废水可生化性较好，</w:t>
        <w:tab/>
        <w:t>B/C</w:t>
      </w:r>
      <w:r>
        <w:rPr>
          <w:spacing w:val="55"/>
        </w:rPr>
        <w:t xml:space="preserve"> </w:t>
      </w:r>
      <w:r>
        <w:t>比达到了</w:t>
      </w:r>
    </w:p>
    <w:p>
      <w:pPr>
        <w:pStyle w:val="BodyText"/>
        <w:spacing w:before="241"/>
        <w:ind w:left="1140"/>
      </w:pPr>
      <w:r>
        <w:t>0.5 以上，适合采用生物法处理；⑶废水中悬浮物含量很高，悬浮物含</w:t>
      </w:r>
    </w:p>
    <w:p>
      <w:pPr>
        <w:pStyle w:val="BodyText"/>
        <w:spacing w:before="241"/>
        <w:ind w:left="1140"/>
      </w:pPr>
      <w:r>
        <w:t>量 SS≤1500mg/L,除无机性杂质颗粒外，还含有很多流动性差的有机物如脂类</w:t>
      </w:r>
    </w:p>
    <w:p>
      <w:pPr>
        <w:pStyle w:val="BodyText"/>
        <w:spacing w:before="11"/>
        <w:rPr>
          <w:sz w:val="14"/>
        </w:rPr>
      </w:pPr>
    </w:p>
    <w:p>
      <w:pPr>
        <w:spacing w:after="0"/>
        <w:rPr>
          <w:sz w:val="14"/>
        </w:rPr>
        <w:sectPr>
          <w:headerReference w:type="default" r:id="rId18"/>
          <w:footerReference w:type="default" r:id="rId19"/>
          <w:pgSz w:w="17860" w:h="25260"/>
          <w:pgMar w:top="1400" w:right="1660" w:bottom="2020" w:left="1560" w:header="1054" w:footer="1831"/>
          <w:pgNumType w:start="7"/>
          <w:cols w:space="708"/>
        </w:sectPr>
      </w:pPr>
    </w:p>
    <w:p>
      <w:pPr>
        <w:pStyle w:val="BodyText"/>
        <w:spacing w:before="50" w:line="389" w:lineRule="exact"/>
        <w:ind w:left="1140"/>
      </w:pPr>
      <w:r>
        <w:t>和蛋白质，它们约占 COD</w:t>
      </w:r>
    </w:p>
    <w:p>
      <w:pPr>
        <w:pStyle w:val="BodyText"/>
        <w:spacing w:before="50" w:line="389" w:lineRule="exact"/>
        <w:ind w:left="233"/>
      </w:pPr>
      <w:r>
        <w:br w:type="column"/>
      </w:r>
      <w:r>
        <w:t>的 40%-50%，本工程中 COD ≤1800 mg/L，BOD ≤</w:t>
      </w:r>
    </w:p>
    <w:p>
      <w:pPr>
        <w:spacing w:after="0" w:line="389" w:lineRule="exact"/>
        <w:sectPr>
          <w:headerReference w:type="default" r:id="rId20"/>
          <w:footerReference w:type="default" r:id="rId21"/>
          <w:type w:val="continuous"/>
          <w:pgSz w:w="17860" w:h="25260"/>
          <w:pgMar w:top="1400" w:right="1660" w:bottom="2020" w:left="1560" w:header="708" w:footer="708"/>
          <w:pgNumType w:start="8"/>
          <w:cols w:num="2" w:space="708" w:equalWidth="0">
            <w:col w:w="5106" w:space="40"/>
            <w:col w:w="9494" w:space="0"/>
          </w:cols>
        </w:sectPr>
      </w:pPr>
    </w:p>
    <w:p>
      <w:pPr>
        <w:tabs>
          <w:tab w:val="left" w:pos="9702"/>
          <w:tab w:val="right" w:pos="12857"/>
        </w:tabs>
        <w:spacing w:before="0" w:line="206" w:lineRule="exact"/>
        <w:ind w:left="5108" w:right="0" w:firstLine="0"/>
        <w:jc w:val="left"/>
        <w:rPr>
          <w:sz w:val="18"/>
        </w:rPr>
      </w:pPr>
      <w:r>
        <w:rPr>
          <w:sz w:val="18"/>
        </w:rPr>
        <w:t>Cr</w:t>
        <w:tab/>
        <w:t>Cr</w:t>
        <w:tab/>
        <w:t>5</w:t>
      </w:r>
    </w:p>
    <w:p>
      <w:pPr>
        <w:pStyle w:val="BodyText"/>
        <w:spacing w:before="108" w:line="364" w:lineRule="auto"/>
        <w:ind w:left="1140" w:right="1256"/>
      </w:pPr>
      <w:r>
        <w:t>900mg/L，动植物油≤50mg/L，根据水质，可以看出屠宰废水可生化性较好， 水质浑浊，易腐易臭，形成浮渣，在进行生物处理前必须经过预处理。根据对废水水质特点以及排放标准的综合分析对比后确定，</w:t>
      </w:r>
    </w:p>
    <w:p>
      <w:pPr>
        <w:pStyle w:val="BodyText"/>
        <w:spacing w:before="9"/>
        <w:rPr>
          <w:sz w:val="39"/>
        </w:rPr>
      </w:pPr>
    </w:p>
    <w:p>
      <w:pPr>
        <w:pStyle w:val="Heading2"/>
        <w:numPr>
          <w:ilvl w:val="1"/>
          <w:numId w:val="7"/>
        </w:numPr>
        <w:tabs>
          <w:tab w:val="left" w:pos="1933"/>
        </w:tabs>
        <w:spacing w:before="0" w:after="0" w:line="240" w:lineRule="auto"/>
        <w:ind w:left="1932" w:right="0" w:hanging="793"/>
        <w:jc w:val="left"/>
      </w:pPr>
      <w:bookmarkStart w:id="11" w:name="_TOC_250002"/>
      <w:bookmarkEnd w:id="11"/>
      <w:r>
        <w:t>溶气气浮机特点</w:t>
      </w:r>
    </w:p>
    <w:p>
      <w:pPr>
        <w:pStyle w:val="BodyText"/>
        <w:spacing w:before="8"/>
        <w:rPr>
          <w:b/>
          <w:sz w:val="38"/>
        </w:rPr>
      </w:pPr>
    </w:p>
    <w:p>
      <w:pPr>
        <w:pStyle w:val="BodyText"/>
        <w:spacing w:line="364" w:lineRule="auto"/>
        <w:ind w:left="1140" w:right="2336"/>
      </w:pPr>
      <w:r>
        <w:t>预处理采用气浮处理，气浮处理采用高效溶气气浮机。高效溶气气浮机具有以下特点：</w:t>
      </w:r>
    </w:p>
    <w:p>
      <w:pPr>
        <w:pStyle w:val="BodyText"/>
        <w:spacing w:before="23" w:line="328" w:lineRule="auto"/>
        <w:ind w:left="1140" w:right="896" w:firstLine="781"/>
        <w:jc w:val="both"/>
      </w:pPr>
      <w:r>
        <w:t>⑴处理能力大、效率高、占地少，去除水中的悬浮物及不可溶性COD，加入破乳剂去除水中的动物油，去除血色，工艺过程及设备构造简单，便于使用、维护。</w:t>
      </w:r>
    </w:p>
    <w:p>
      <w:pPr>
        <w:pStyle w:val="BodyText"/>
        <w:tabs>
          <w:tab w:val="left" w:pos="8003"/>
        </w:tabs>
        <w:spacing w:line="435" w:lineRule="exact"/>
        <w:ind w:left="321"/>
        <w:jc w:val="center"/>
      </w:pPr>
      <w:r>
        <w:t>⑵高效溶气气浮曝气采用新型防堵型释放器。</w:t>
        <w:tab/>
        <w:t>可克服传统装置运行</w:t>
      </w:r>
    </w:p>
    <w:p>
      <w:pPr>
        <w:pStyle w:val="BodyText"/>
        <w:spacing w:before="240"/>
        <w:ind w:left="1140"/>
      </w:pPr>
      <w:r>
        <w:t>不稳及大气泡翻腾的问题及释放头堵塞问题。</w:t>
      </w:r>
    </w:p>
    <w:p>
      <w:pPr>
        <w:pStyle w:val="BodyText"/>
        <w:spacing w:before="241" w:line="364" w:lineRule="auto"/>
        <w:ind w:left="1140" w:right="1458" w:firstLine="878"/>
      </w:pPr>
      <w:r>
        <w:t>⑶气浮时向水中曝气，对去除水中的表面活性剂及臭味有明显的效果， 同时由于曝气增加了水中的溶解氧，为后续处理提供了有利条件。</w:t>
      </w:r>
    </w:p>
    <w:p>
      <w:pPr>
        <w:pStyle w:val="BodyText"/>
        <w:spacing w:before="8"/>
        <w:rPr>
          <w:sz w:val="39"/>
        </w:rPr>
      </w:pPr>
    </w:p>
    <w:p>
      <w:pPr>
        <w:pStyle w:val="Heading2"/>
        <w:numPr>
          <w:ilvl w:val="1"/>
          <w:numId w:val="7"/>
        </w:numPr>
        <w:tabs>
          <w:tab w:val="left" w:pos="1821"/>
        </w:tabs>
        <w:spacing w:before="0" w:after="0" w:line="240" w:lineRule="auto"/>
        <w:ind w:left="1821" w:right="0" w:hanging="681"/>
        <w:jc w:val="left"/>
      </w:pPr>
      <w:bookmarkStart w:id="12" w:name="_TOC_250001"/>
      <w:bookmarkEnd w:id="12"/>
      <w:r>
        <w:t>、污水处理技术比选</w:t>
      </w:r>
    </w:p>
    <w:p>
      <w:pPr>
        <w:pStyle w:val="BodyText"/>
        <w:spacing w:before="8"/>
        <w:rPr>
          <w:b/>
          <w:sz w:val="38"/>
        </w:rPr>
      </w:pPr>
    </w:p>
    <w:p>
      <w:pPr>
        <w:pStyle w:val="BodyText"/>
        <w:spacing w:before="1"/>
        <w:ind w:left="1140"/>
      </w:pPr>
      <w:r>
        <w:t>1）拦污设施</w:t>
      </w:r>
    </w:p>
    <w:p>
      <w:pPr>
        <w:pStyle w:val="BodyText"/>
        <w:spacing w:before="240" w:line="364" w:lineRule="auto"/>
        <w:ind w:left="1140" w:right="1168" w:firstLine="809"/>
      </w:pPr>
      <w:r>
        <w:rPr>
          <w:spacing w:val="-1"/>
        </w:rPr>
        <w:t>本工程原水中固体杂质含量较高，为确保提升泵等设备正常工作和保证后</w:t>
      </w:r>
      <w:r>
        <w:t>续处理构筑物正常运行，拟在处理主体工艺的前段设置拦污设施。        2）生物处理</w:t>
      </w:r>
    </w:p>
    <w:p>
      <w:pPr>
        <w:pStyle w:val="BodyText"/>
        <w:spacing w:before="3" w:line="364" w:lineRule="auto"/>
        <w:ind w:left="1140" w:right="4408" w:firstLine="809"/>
      </w:pPr>
      <w:r>
        <w:t>通常的污水处理站一般采用以下几种生物处理方法。A）生物接触氧化法</w:t>
      </w:r>
    </w:p>
    <w:p>
      <w:pPr>
        <w:spacing w:after="0" w:line="364" w:lineRule="auto"/>
        <w:sectPr>
          <w:headerReference w:type="default" r:id="rId22"/>
          <w:footerReference w:type="default" r:id="rId23"/>
          <w:type w:val="continuous"/>
          <w:pgSz w:w="17860" w:h="25260"/>
          <w:pgMar w:top="1400" w:right="1660" w:bottom="2020" w:left="1560" w:header="708" w:footer="708"/>
          <w:pgNumType w:start="9"/>
          <w:cols w:space="708"/>
        </w:sectPr>
      </w:pPr>
    </w:p>
    <w:p>
      <w:pPr>
        <w:pStyle w:val="BodyText"/>
        <w:rPr>
          <w:sz w:val="20"/>
        </w:rPr>
      </w:pPr>
    </w:p>
    <w:p>
      <w:pPr>
        <w:pStyle w:val="BodyText"/>
        <w:spacing w:before="11"/>
        <w:rPr>
          <w:sz w:val="20"/>
        </w:rPr>
      </w:pPr>
    </w:p>
    <w:p>
      <w:pPr>
        <w:pStyle w:val="BodyText"/>
        <w:spacing w:before="49"/>
        <w:ind w:left="1950"/>
      </w:pPr>
      <w:r>
        <w:t>生物接触氧化法属于生物膜法，具有以下优点和特点：</w:t>
      </w:r>
    </w:p>
    <w:p>
      <w:pPr>
        <w:pStyle w:val="ListParagraph"/>
        <w:numPr>
          <w:ilvl w:val="0"/>
          <w:numId w:val="6"/>
        </w:numPr>
        <w:tabs>
          <w:tab w:val="left" w:pos="1613"/>
        </w:tabs>
        <w:spacing w:before="227" w:after="0" w:line="369" w:lineRule="auto"/>
        <w:ind w:left="1612" w:right="1145" w:hanging="472"/>
        <w:jc w:val="both"/>
        <w:rPr>
          <w:sz w:val="36"/>
        </w:rPr>
      </w:pPr>
      <w:r>
        <w:rPr>
          <w:spacing w:val="-1"/>
          <w:sz w:val="36"/>
        </w:rPr>
        <w:t>生物接触氧化法生物池内设置填料，由于填料的比表面积大，池内充氧条件好，生物接触氧化池内单位容积的生物体量都高于活性污泥法曝气池及生物</w:t>
      </w:r>
      <w:r>
        <w:rPr>
          <w:sz w:val="36"/>
        </w:rPr>
        <w:t>滤池，因此生物接触氧化池具有较高的容积负荷；</w:t>
      </w:r>
    </w:p>
    <w:p>
      <w:pPr>
        <w:pStyle w:val="ListParagraph"/>
        <w:numPr>
          <w:ilvl w:val="0"/>
          <w:numId w:val="6"/>
        </w:numPr>
        <w:tabs>
          <w:tab w:val="left" w:pos="1613"/>
        </w:tabs>
        <w:spacing w:before="0" w:after="0" w:line="436" w:lineRule="exact"/>
        <w:ind w:left="1612" w:right="0" w:hanging="473"/>
        <w:jc w:val="both"/>
        <w:rPr>
          <w:sz w:val="36"/>
        </w:rPr>
      </w:pPr>
      <w:r>
        <w:rPr>
          <w:sz w:val="36"/>
        </w:rPr>
        <w:t>由于相当一部分微生物固着生长在填料表面，生物接触氧化法可不设污泥回</w:t>
      </w:r>
    </w:p>
    <w:p>
      <w:pPr>
        <w:pStyle w:val="BodyText"/>
        <w:spacing w:before="255"/>
        <w:ind w:left="1612"/>
      </w:pPr>
      <w:r>
        <w:t>流系统，也不存在污泥膨胀问题，运行管理方便；</w:t>
      </w:r>
    </w:p>
    <w:p>
      <w:pPr>
        <w:pStyle w:val="ListParagraph"/>
        <w:numPr>
          <w:ilvl w:val="0"/>
          <w:numId w:val="6"/>
        </w:numPr>
        <w:tabs>
          <w:tab w:val="left" w:pos="1612"/>
          <w:tab w:val="left" w:pos="1613"/>
        </w:tabs>
        <w:spacing w:before="227" w:after="0" w:line="372" w:lineRule="auto"/>
        <w:ind w:left="1612" w:right="1145" w:hanging="472"/>
        <w:jc w:val="left"/>
        <w:rPr>
          <w:sz w:val="36"/>
        </w:rPr>
      </w:pPr>
      <w:r>
        <w:rPr>
          <w:spacing w:val="-1"/>
          <w:sz w:val="36"/>
        </w:rPr>
        <w:t>由于生物接触氧化池内生物固体量多，水流属于完全混合型，因此生物接触</w:t>
      </w:r>
      <w:r>
        <w:rPr>
          <w:sz w:val="36"/>
        </w:rPr>
        <w:t>氧化池对水质水量的骤变有较强的适应能力；</w:t>
      </w:r>
    </w:p>
    <w:p>
      <w:pPr>
        <w:pStyle w:val="ListParagraph"/>
        <w:numPr>
          <w:ilvl w:val="0"/>
          <w:numId w:val="6"/>
        </w:numPr>
        <w:tabs>
          <w:tab w:val="left" w:pos="1612"/>
          <w:tab w:val="left" w:pos="1613"/>
        </w:tabs>
        <w:spacing w:before="0" w:after="0" w:line="436" w:lineRule="exact"/>
        <w:ind w:left="1612" w:right="0" w:hanging="473"/>
        <w:jc w:val="left"/>
        <w:rPr>
          <w:sz w:val="36"/>
        </w:rPr>
      </w:pPr>
      <w:r>
        <w:rPr>
          <w:spacing w:val="-3"/>
          <w:sz w:val="36"/>
        </w:rPr>
        <w:t xml:space="preserve">由于生物接触氧化池内生物固体量多，当有机物容积负荷较高时，其 </w:t>
      </w:r>
      <w:r>
        <w:rPr>
          <w:sz w:val="36"/>
        </w:rPr>
        <w:t>F/M（F</w:t>
      </w:r>
    </w:p>
    <w:p>
      <w:pPr>
        <w:pStyle w:val="BodyText"/>
        <w:spacing w:before="255" w:line="364" w:lineRule="auto"/>
        <w:ind w:left="1612" w:right="1036"/>
      </w:pPr>
      <w:r>
        <w:rPr>
          <w:spacing w:val="-4"/>
        </w:rPr>
        <w:t>为有机基质量，</w:t>
      </w:r>
      <w:r>
        <w:rPr>
          <w:spacing w:val="-27"/>
        </w:rPr>
        <w:t>M</w:t>
      </w:r>
      <w:r>
        <w:rPr>
          <w:spacing w:val="-16"/>
        </w:rPr>
        <w:t xml:space="preserve"> 为微生物量</w:t>
      </w:r>
      <w:r>
        <w:rPr>
          <w:spacing w:val="-54"/>
        </w:rPr>
        <w:t>）</w:t>
      </w:r>
      <w:r>
        <w:rPr>
          <w:spacing w:val="-6"/>
        </w:rPr>
        <w:t>比可以保持在一定水平，因此污泥产量可相当</w:t>
      </w:r>
      <w:r>
        <w:t>于或低于活性污泥法；</w:t>
      </w:r>
    </w:p>
    <w:p>
      <w:pPr>
        <w:pStyle w:val="ListParagraph"/>
        <w:numPr>
          <w:ilvl w:val="0"/>
          <w:numId w:val="6"/>
        </w:numPr>
        <w:tabs>
          <w:tab w:val="left" w:pos="1612"/>
          <w:tab w:val="left" w:pos="1613"/>
        </w:tabs>
        <w:spacing w:before="0" w:after="0" w:line="449" w:lineRule="exact"/>
        <w:ind w:left="1612" w:right="0" w:hanging="473"/>
        <w:jc w:val="left"/>
        <w:rPr>
          <w:sz w:val="36"/>
        </w:rPr>
      </w:pPr>
      <w:r>
        <w:rPr>
          <w:sz w:val="36"/>
        </w:rPr>
        <w:t>因装载填料，生物接触氧化池单位制造成本略高，一般适用于中小型</w:t>
      </w:r>
    </w:p>
    <w:p>
      <w:pPr>
        <w:pStyle w:val="BodyText"/>
        <w:spacing w:before="255" w:line="364" w:lineRule="auto"/>
        <w:ind w:left="1140" w:right="8009" w:firstLine="471"/>
      </w:pPr>
      <w:r>
        <w:t>（Qd≤2500m</w:t>
      </w:r>
      <w:r>
        <w:rPr>
          <w:position w:val="3"/>
          <w:sz w:val="29"/>
        </w:rPr>
        <w:t>3</w:t>
      </w:r>
      <w:r>
        <w:t>/d）污水处理站。B）常规活性污泥法</w:t>
      </w:r>
    </w:p>
    <w:p>
      <w:pPr>
        <w:pStyle w:val="BodyText"/>
        <w:spacing w:before="2" w:line="364" w:lineRule="auto"/>
        <w:ind w:left="1140" w:right="898" w:firstLine="719"/>
      </w:pPr>
      <w:r>
        <w:t>活性污泥法在大中型污水处理中是一种应用最广的废水好氧生物处理技术。活性污泥处理系统有效运行的基本条件和特点是：</w:t>
      </w:r>
    </w:p>
    <w:p>
      <w:pPr>
        <w:pStyle w:val="ListParagraph"/>
        <w:numPr>
          <w:ilvl w:val="0"/>
          <w:numId w:val="6"/>
        </w:numPr>
        <w:tabs>
          <w:tab w:val="left" w:pos="1612"/>
          <w:tab w:val="left" w:pos="1613"/>
        </w:tabs>
        <w:spacing w:before="0" w:after="0" w:line="449" w:lineRule="exact"/>
        <w:ind w:left="1612" w:right="0" w:hanging="473"/>
        <w:jc w:val="left"/>
        <w:rPr>
          <w:sz w:val="36"/>
        </w:rPr>
      </w:pPr>
      <w:r>
        <w:rPr>
          <w:sz w:val="36"/>
        </w:rPr>
        <w:t>废水中应有足够的可溶性易降解物质，作为微生物生理活动必需的营养物，</w:t>
      </w:r>
    </w:p>
    <w:p>
      <w:pPr>
        <w:pStyle w:val="BodyText"/>
        <w:spacing w:before="255" w:line="364" w:lineRule="auto"/>
        <w:ind w:left="1612" w:right="1145"/>
      </w:pPr>
      <w:r>
        <w:t>一般活性污泥法必须定期投加按一定配比的营养物质，这样增加了运行费用和管理难度；</w:t>
      </w:r>
    </w:p>
    <w:p>
      <w:pPr>
        <w:pStyle w:val="ListParagraph"/>
        <w:numPr>
          <w:ilvl w:val="0"/>
          <w:numId w:val="6"/>
        </w:numPr>
        <w:tabs>
          <w:tab w:val="left" w:pos="1612"/>
          <w:tab w:val="left" w:pos="1613"/>
        </w:tabs>
        <w:spacing w:before="0" w:after="0" w:line="449" w:lineRule="exact"/>
        <w:ind w:left="1612" w:right="0" w:hanging="473"/>
        <w:jc w:val="left"/>
        <w:rPr>
          <w:sz w:val="36"/>
        </w:rPr>
      </w:pPr>
      <w:r>
        <w:rPr>
          <w:sz w:val="36"/>
        </w:rPr>
        <w:t>混合液必须含有足够的溶解氧，活性污泥池长有好氧原生动物，氧的需求量</w:t>
      </w:r>
    </w:p>
    <w:p>
      <w:pPr>
        <w:pStyle w:val="BodyText"/>
        <w:spacing w:before="255"/>
        <w:ind w:left="1612"/>
      </w:pPr>
      <w:r>
        <w:t>较大；</w:t>
      </w:r>
    </w:p>
    <w:p>
      <w:pPr>
        <w:pStyle w:val="ListParagraph"/>
        <w:numPr>
          <w:ilvl w:val="0"/>
          <w:numId w:val="6"/>
        </w:numPr>
        <w:tabs>
          <w:tab w:val="left" w:pos="1612"/>
          <w:tab w:val="left" w:pos="1613"/>
        </w:tabs>
        <w:spacing w:before="227" w:after="0" w:line="240" w:lineRule="auto"/>
        <w:ind w:left="1612" w:right="0" w:hanging="473"/>
        <w:jc w:val="left"/>
        <w:rPr>
          <w:sz w:val="36"/>
        </w:rPr>
      </w:pPr>
      <w:r>
        <w:rPr>
          <w:sz w:val="36"/>
        </w:rPr>
        <w:t>活性污泥在池内应呈悬浮状态，能充分与水接触和混合；</w:t>
      </w:r>
    </w:p>
    <w:p>
      <w:pPr>
        <w:pStyle w:val="ListParagraph"/>
        <w:numPr>
          <w:ilvl w:val="0"/>
          <w:numId w:val="6"/>
        </w:numPr>
        <w:tabs>
          <w:tab w:val="left" w:pos="1612"/>
          <w:tab w:val="left" w:pos="1613"/>
        </w:tabs>
        <w:spacing w:before="240" w:after="0" w:line="240" w:lineRule="auto"/>
        <w:ind w:left="1612" w:right="0" w:hanging="473"/>
        <w:jc w:val="left"/>
        <w:rPr>
          <w:sz w:val="36"/>
        </w:rPr>
      </w:pPr>
      <w:r>
        <w:rPr>
          <w:sz w:val="36"/>
        </w:rPr>
        <w:t>活性污泥连续回流，及时排除剩余污泥，使混合液保持一定的活性污泥浓度；</w:t>
      </w:r>
    </w:p>
    <w:p>
      <w:pPr>
        <w:pStyle w:val="ListParagraph"/>
        <w:numPr>
          <w:ilvl w:val="0"/>
          <w:numId w:val="6"/>
        </w:numPr>
        <w:tabs>
          <w:tab w:val="left" w:pos="1612"/>
          <w:tab w:val="left" w:pos="1613"/>
        </w:tabs>
        <w:spacing w:before="242" w:after="0" w:line="240" w:lineRule="auto"/>
        <w:ind w:left="1612" w:right="0" w:hanging="473"/>
        <w:jc w:val="left"/>
        <w:rPr>
          <w:sz w:val="36"/>
        </w:rPr>
      </w:pPr>
      <w:r>
        <w:rPr>
          <w:sz w:val="36"/>
        </w:rPr>
        <w:t>活性污泥生长周期长，对温度、水质和水量的骤变适应能力差；</w:t>
      </w:r>
    </w:p>
    <w:p>
      <w:pPr>
        <w:pStyle w:val="ListParagraph"/>
        <w:numPr>
          <w:ilvl w:val="0"/>
          <w:numId w:val="6"/>
        </w:numPr>
        <w:tabs>
          <w:tab w:val="left" w:pos="1612"/>
          <w:tab w:val="left" w:pos="1613"/>
        </w:tabs>
        <w:spacing w:before="241" w:after="0" w:line="240" w:lineRule="auto"/>
        <w:ind w:left="1612" w:right="0" w:hanging="473"/>
        <w:jc w:val="left"/>
        <w:rPr>
          <w:sz w:val="36"/>
        </w:rPr>
      </w:pPr>
      <w:r>
        <w:rPr>
          <w:sz w:val="36"/>
        </w:rPr>
        <w:t>对微生物有毒害的物质应严格控制在允许浓度以内；</w:t>
      </w:r>
    </w:p>
    <w:p>
      <w:pPr>
        <w:pStyle w:val="ListParagraph"/>
        <w:numPr>
          <w:ilvl w:val="0"/>
          <w:numId w:val="6"/>
        </w:numPr>
        <w:tabs>
          <w:tab w:val="left" w:pos="1612"/>
          <w:tab w:val="left" w:pos="1613"/>
        </w:tabs>
        <w:spacing w:before="241" w:after="0" w:line="372" w:lineRule="auto"/>
        <w:ind w:left="1860" w:right="1042" w:hanging="720"/>
        <w:jc w:val="left"/>
        <w:rPr>
          <w:sz w:val="36"/>
        </w:rPr>
      </w:pPr>
      <w:r>
        <w:rPr>
          <w:sz w:val="36"/>
        </w:rPr>
        <w:t xml:space="preserve">活性污泥法处理负荷较低，造成设施的体积增大，土建投资也相应增加。 </w:t>
      </w:r>
      <w:r>
        <w:rPr>
          <w:spacing w:val="-9"/>
          <w:sz w:val="36"/>
        </w:rPr>
        <w:t>正因为有以上的必要条件和特点，所以活性污泥法运行管理比较专业。另外</w:t>
      </w:r>
    </w:p>
    <w:p>
      <w:pPr>
        <w:pStyle w:val="BodyText"/>
        <w:spacing w:line="450" w:lineRule="exact"/>
        <w:ind w:left="1140"/>
      </w:pPr>
      <w:r>
        <w:t>活性污泥法易产生污泥膨胀，处理负荷较低，不易控制管理，故近年来在中小型</w:t>
      </w:r>
    </w:p>
    <w:p>
      <w:pPr>
        <w:pStyle w:val="BodyText"/>
        <w:spacing w:before="240"/>
        <w:ind w:left="1140"/>
      </w:pPr>
      <w:r>
        <w:t>污水处理站中的使用越来越少。</w:t>
      </w:r>
    </w:p>
    <w:p>
      <w:pPr>
        <w:spacing w:after="0"/>
        <w:sectPr>
          <w:headerReference w:type="default" r:id="rId24"/>
          <w:footerReference w:type="default" r:id="rId25"/>
          <w:pgSz w:w="17860" w:h="25260"/>
          <w:pgMar w:top="1400" w:right="1660" w:bottom="2020" w:left="1560" w:header="1054" w:footer="1831"/>
          <w:pgNumType w:start="10"/>
          <w:cols w:space="708"/>
        </w:sectPr>
      </w:pPr>
    </w:p>
    <w:p>
      <w:pPr>
        <w:pStyle w:val="BodyText"/>
        <w:rPr>
          <w:sz w:val="20"/>
        </w:rPr>
      </w:pPr>
    </w:p>
    <w:p>
      <w:pPr>
        <w:pStyle w:val="BodyText"/>
        <w:spacing w:before="11"/>
        <w:rPr>
          <w:sz w:val="20"/>
        </w:rPr>
      </w:pPr>
    </w:p>
    <w:p>
      <w:pPr>
        <w:pStyle w:val="BodyText"/>
        <w:spacing w:before="49"/>
        <w:ind w:left="1140"/>
      </w:pPr>
      <w:r>
        <w:t>C）SBR 法</w:t>
      </w:r>
    </w:p>
    <w:p>
      <w:pPr>
        <w:pStyle w:val="BodyText"/>
        <w:spacing w:before="242" w:line="364" w:lineRule="auto"/>
        <w:ind w:left="1140" w:right="860" w:firstLine="809"/>
      </w:pPr>
      <w:r>
        <w:t>SBR</w:t>
      </w:r>
      <w:r>
        <w:rPr>
          <w:spacing w:val="-16"/>
        </w:rPr>
        <w:t xml:space="preserve"> 法是近年发展起来的一种较为先进的活性污泥处理法，该处理工艺集曝气池、沉淀池为一体，连续进水，间歇曝气，停气时污水沉淀，撇除上清液，成</w:t>
      </w:r>
      <w:r>
        <w:rPr>
          <w:spacing w:val="-17"/>
        </w:rPr>
        <w:t>为一个周期，周而复始。</w:t>
      </w:r>
      <w:r>
        <w:t>SBR</w:t>
      </w:r>
      <w:r>
        <w:rPr>
          <w:spacing w:val="-6"/>
        </w:rPr>
        <w:t xml:space="preserve"> 法不设沉淀池，无污泥回流设备，但</w:t>
      </w:r>
      <w:r>
        <w:t>SBR</w:t>
      </w:r>
      <w:r>
        <w:rPr>
          <w:spacing w:val="-18"/>
        </w:rPr>
        <w:t xml:space="preserve"> 法为间隙运行，需设多个处理单元，进水和曝气相互切换，造成控制较为复杂。为了保证</w:t>
      </w:r>
      <w:r>
        <w:rPr>
          <w:spacing w:val="-15"/>
        </w:rPr>
        <w:t>溢流率，</w:t>
      </w:r>
      <w:r>
        <w:rPr>
          <w:spacing w:val="-5"/>
        </w:rPr>
        <w:t>SBR</w:t>
      </w:r>
      <w:r>
        <w:rPr>
          <w:spacing w:val="-10"/>
        </w:rPr>
        <w:t xml:space="preserve"> 法对滗水器设备制造要求高，制作时必须精益求精，否则极易造成</w:t>
      </w:r>
      <w:r>
        <w:rPr>
          <w:spacing w:val="-23"/>
        </w:rPr>
        <w:t xml:space="preserve">最终出水水质不达标。国内目前还没有质量较好的滗水设备，进口设备采购麻烦， </w:t>
      </w:r>
      <w:r>
        <w:rPr>
          <w:spacing w:val="-3"/>
        </w:rPr>
        <w:t>且价格昂贵，同时今后维修费用也高。</w:t>
      </w:r>
      <w:r>
        <w:t>SBR</w:t>
      </w:r>
      <w:r>
        <w:rPr>
          <w:spacing w:val="-10"/>
        </w:rPr>
        <w:t xml:space="preserve"> 法池内污泥浓度由浓度仪测定以便控制排出多余污泥量，目前国内浓度仪质量不过关，造成污泥排放控制较困难。</w:t>
      </w:r>
    </w:p>
    <w:p>
      <w:pPr>
        <w:pStyle w:val="BodyText"/>
        <w:spacing w:before="8" w:line="364" w:lineRule="auto"/>
        <w:ind w:left="1860" w:right="1035"/>
      </w:pPr>
      <w:r>
        <w:t>SBR</w:t>
      </w:r>
      <w:r>
        <w:rPr>
          <w:spacing w:val="-16"/>
        </w:rPr>
        <w:t xml:space="preserve"> 池溢流率低</w:t>
      </w:r>
      <w:r>
        <w:t>（</w:t>
      </w:r>
      <w:r>
        <w:rPr>
          <w:spacing w:val="-15"/>
        </w:rPr>
        <w:t xml:space="preserve">一般不超过 </w:t>
      </w:r>
      <w:r>
        <w:t>40%），设施体积较大，造成土建投资较高。</w:t>
      </w:r>
      <w:r>
        <w:rPr>
          <w:spacing w:val="-13"/>
        </w:rPr>
        <w:t xml:space="preserve">由于存在超高必须较高的技术性问题，活性污泥池和 </w:t>
      </w:r>
      <w:r>
        <w:t>SBR</w:t>
      </w:r>
      <w:r>
        <w:rPr>
          <w:spacing w:val="-14"/>
        </w:rPr>
        <w:t xml:space="preserve"> 池一般只能露天设</w:t>
      </w:r>
    </w:p>
    <w:p>
      <w:pPr>
        <w:pStyle w:val="BodyText"/>
        <w:spacing w:before="2" w:line="364" w:lineRule="auto"/>
        <w:ind w:left="1140" w:right="896"/>
      </w:pPr>
      <w:r>
        <w:t>置，这样局部影响环境美感（埋地设置时土建投资将大大增加）。接触氧化工艺各池体可采用埋地设置，设备上方可设置道路或绿化带，总体布置美观大方。</w:t>
      </w:r>
    </w:p>
    <w:p>
      <w:pPr>
        <w:pStyle w:val="BodyText"/>
        <w:spacing w:before="1"/>
        <w:ind w:left="1860"/>
      </w:pPr>
      <w:r>
        <w:t>综上所述，本工程生物处理拟采用 A/O 生物接触氧化法。</w:t>
      </w:r>
    </w:p>
    <w:p>
      <w:pPr>
        <w:pStyle w:val="BodyText"/>
        <w:spacing w:before="241" w:line="364" w:lineRule="auto"/>
        <w:ind w:left="1140" w:right="1078" w:firstLine="719"/>
      </w:pPr>
      <w:r>
        <w:t>采用 A/O 生物处理工艺是近几年来国内外环保工作者用以解决污水脱氮的主要方法，该方法具有如下特点：</w:t>
      </w:r>
    </w:p>
    <w:p>
      <w:pPr>
        <w:pStyle w:val="ListParagraph"/>
        <w:numPr>
          <w:ilvl w:val="0"/>
          <w:numId w:val="6"/>
        </w:numPr>
        <w:tabs>
          <w:tab w:val="left" w:pos="1612"/>
          <w:tab w:val="left" w:pos="1613"/>
        </w:tabs>
        <w:spacing w:before="0" w:after="0" w:line="449" w:lineRule="exact"/>
        <w:ind w:left="1612" w:right="0" w:hanging="473"/>
        <w:jc w:val="left"/>
        <w:rPr>
          <w:sz w:val="36"/>
        </w:rPr>
      </w:pPr>
      <w:r>
        <w:rPr>
          <w:sz w:val="36"/>
        </w:rPr>
        <w:t>利用系统中培养的硝化菌及脱氮菌，同时达到去除污水中含碳有机物及氨氮</w:t>
      </w:r>
    </w:p>
    <w:p>
      <w:pPr>
        <w:pStyle w:val="BodyText"/>
        <w:spacing w:before="255" w:line="364" w:lineRule="auto"/>
        <w:ind w:left="1612" w:right="1145"/>
      </w:pPr>
      <w:r>
        <w:t>的目的，与经普通活性污泥法处理后再增加脱氮三级处理系统相比，基建投资省、运行费用低、电耗低、占地面积少。</w:t>
      </w:r>
    </w:p>
    <w:p>
      <w:pPr>
        <w:pStyle w:val="ListParagraph"/>
        <w:numPr>
          <w:ilvl w:val="0"/>
          <w:numId w:val="6"/>
        </w:numPr>
        <w:tabs>
          <w:tab w:val="left" w:pos="1612"/>
          <w:tab w:val="left" w:pos="1613"/>
        </w:tabs>
        <w:spacing w:before="0" w:after="0" w:line="449" w:lineRule="exact"/>
        <w:ind w:left="1612" w:right="0" w:hanging="473"/>
        <w:jc w:val="left"/>
        <w:rPr>
          <w:sz w:val="36"/>
        </w:rPr>
      </w:pPr>
      <w:r>
        <w:rPr>
          <w:sz w:val="36"/>
        </w:rPr>
        <w:t>A/O</w:t>
      </w:r>
      <w:r>
        <w:rPr>
          <w:spacing w:val="-16"/>
          <w:sz w:val="36"/>
        </w:rPr>
        <w:t xml:space="preserve"> 生物处理系统产生的剩余污泥量较一般生物处理系统少，而且污泥沉降性</w:t>
      </w:r>
    </w:p>
    <w:p>
      <w:pPr>
        <w:pStyle w:val="BodyText"/>
        <w:spacing w:before="255"/>
        <w:ind w:left="1612"/>
      </w:pPr>
      <w:r>
        <w:t>能好，易于脱水。</w:t>
      </w:r>
    </w:p>
    <w:p>
      <w:pPr>
        <w:pStyle w:val="ListParagraph"/>
        <w:numPr>
          <w:ilvl w:val="0"/>
          <w:numId w:val="6"/>
        </w:numPr>
        <w:tabs>
          <w:tab w:val="left" w:pos="1612"/>
          <w:tab w:val="left" w:pos="1613"/>
        </w:tabs>
        <w:spacing w:before="227" w:after="0" w:line="240" w:lineRule="auto"/>
        <w:ind w:left="1612" w:right="0" w:hanging="473"/>
        <w:jc w:val="left"/>
        <w:rPr>
          <w:sz w:val="36"/>
        </w:rPr>
      </w:pPr>
      <w:r>
        <w:rPr>
          <w:sz w:val="36"/>
        </w:rPr>
        <w:t>A/O</w:t>
      </w:r>
      <w:r>
        <w:rPr>
          <w:spacing w:val="-10"/>
          <w:sz w:val="36"/>
        </w:rPr>
        <w:t xml:space="preserve"> 生物法较一般生物处理系统相比耐冲击负荷高，运行稳定。</w:t>
      </w:r>
    </w:p>
    <w:p>
      <w:pPr>
        <w:pStyle w:val="ListParagraph"/>
        <w:numPr>
          <w:ilvl w:val="0"/>
          <w:numId w:val="6"/>
        </w:numPr>
        <w:tabs>
          <w:tab w:val="left" w:pos="1612"/>
          <w:tab w:val="left" w:pos="1613"/>
        </w:tabs>
        <w:spacing w:before="245" w:after="0" w:line="399" w:lineRule="exact"/>
        <w:ind w:left="1612" w:right="0" w:hanging="473"/>
        <w:jc w:val="left"/>
        <w:rPr>
          <w:sz w:val="36"/>
        </w:rPr>
      </w:pPr>
      <w:r>
        <w:rPr>
          <w:position w:val="1"/>
          <w:sz w:val="36"/>
        </w:rPr>
        <w:t>A/O</w:t>
      </w:r>
      <w:r>
        <w:rPr>
          <w:spacing w:val="-16"/>
          <w:position w:val="1"/>
          <w:sz w:val="36"/>
        </w:rPr>
        <w:t xml:space="preserve"> 生物处理系统因将 </w:t>
      </w:r>
      <w:r>
        <w:rPr>
          <w:position w:val="1"/>
          <w:sz w:val="36"/>
        </w:rPr>
        <w:t>NO</w:t>
      </w:r>
      <w:r>
        <w:rPr>
          <w:spacing w:val="-90"/>
          <w:position w:val="1"/>
          <w:sz w:val="36"/>
        </w:rPr>
        <w:t xml:space="preserve"> </w:t>
      </w:r>
      <w:r>
        <w:rPr>
          <w:sz w:val="36"/>
        </w:rPr>
        <w:t>-N</w:t>
      </w:r>
      <w:r>
        <w:rPr>
          <w:spacing w:val="-29"/>
          <w:sz w:val="36"/>
        </w:rPr>
        <w:t xml:space="preserve"> 转化成 </w:t>
      </w:r>
      <w:r>
        <w:rPr>
          <w:sz w:val="36"/>
        </w:rPr>
        <w:t>N</w:t>
      </w:r>
      <w:r>
        <w:rPr>
          <w:spacing w:val="-14"/>
          <w:sz w:val="36"/>
        </w:rPr>
        <w:t xml:space="preserve"> ，因此不会出现硝化过程中产生 </w:t>
      </w:r>
      <w:r>
        <w:rPr>
          <w:sz w:val="36"/>
        </w:rPr>
        <w:t>NO</w:t>
      </w:r>
      <w:r>
        <w:rPr>
          <w:spacing w:val="-90"/>
          <w:sz w:val="36"/>
        </w:rPr>
        <w:t xml:space="preserve"> </w:t>
      </w:r>
      <w:r>
        <w:rPr>
          <w:sz w:val="36"/>
        </w:rPr>
        <w:t>-N</w:t>
      </w:r>
    </w:p>
    <w:p>
      <w:pPr>
        <w:tabs>
          <w:tab w:val="left" w:pos="7549"/>
          <w:tab w:val="left" w:pos="13152"/>
        </w:tabs>
        <w:spacing w:before="0" w:line="206" w:lineRule="exact"/>
        <w:ind w:left="5616" w:right="0" w:firstLine="0"/>
        <w:jc w:val="left"/>
        <w:rPr>
          <w:sz w:val="18"/>
        </w:rPr>
      </w:pPr>
      <w:r>
        <w:rPr>
          <w:sz w:val="18"/>
        </w:rPr>
        <w:t>2</w:t>
        <w:tab/>
        <w:t>2</w:t>
        <w:tab/>
        <w:t>2</w:t>
      </w:r>
    </w:p>
    <w:p>
      <w:pPr>
        <w:pStyle w:val="BodyText"/>
        <w:spacing w:before="109" w:line="412" w:lineRule="exact"/>
        <w:ind w:left="1612"/>
      </w:pPr>
      <w:r>
        <w:rPr>
          <w:spacing w:val="-25"/>
        </w:rPr>
        <w:t xml:space="preserve">的积累，而 </w:t>
      </w:r>
      <w:r>
        <w:t>1mg/NO</w:t>
      </w:r>
      <w:r>
        <w:rPr>
          <w:spacing w:val="-90"/>
        </w:rPr>
        <w:t xml:space="preserve"> </w:t>
      </w:r>
      <w:r>
        <w:t>-N</w:t>
      </w:r>
      <w:r>
        <w:rPr>
          <w:spacing w:val="-37"/>
        </w:rPr>
        <w:t xml:space="preserve"> 会引起 </w:t>
      </w:r>
      <w:r>
        <w:t>1.14mgCOD</w:t>
      </w:r>
      <w:r>
        <w:rPr>
          <w:spacing w:val="-15"/>
        </w:rPr>
        <w:t xml:space="preserve"> 值，因此只硝化时，虽然氨氮浓度可</w:t>
      </w:r>
    </w:p>
    <w:p>
      <w:pPr>
        <w:spacing w:before="0" w:line="182" w:lineRule="exact"/>
        <w:ind w:left="4529" w:right="0" w:firstLine="0"/>
        <w:jc w:val="left"/>
        <w:rPr>
          <w:sz w:val="18"/>
        </w:rPr>
      </w:pPr>
      <w:r>
        <w:rPr>
          <w:sz w:val="18"/>
        </w:rPr>
        <w:t>2</w:t>
      </w:r>
    </w:p>
    <w:p>
      <w:pPr>
        <w:pStyle w:val="BodyText"/>
        <w:spacing w:before="108" w:line="364" w:lineRule="auto"/>
        <w:ind w:left="1612" w:right="856"/>
      </w:pPr>
      <w:r>
        <w:rPr>
          <w:spacing w:val="-11"/>
        </w:rPr>
        <w:t xml:space="preserve">能达标，但 </w:t>
      </w:r>
      <w:r>
        <w:t>COD</w:t>
      </w:r>
      <w:r>
        <w:rPr>
          <w:spacing w:val="-12"/>
        </w:rPr>
        <w:t xml:space="preserve"> 浓度却往往超标严重。采用 </w:t>
      </w:r>
      <w:r>
        <w:t>A/O</w:t>
      </w:r>
      <w:r>
        <w:rPr>
          <w:spacing w:val="-8"/>
        </w:rPr>
        <w:t xml:space="preserve"> 生物处理系统不仅能解决有</w:t>
      </w:r>
      <w:r>
        <w:rPr>
          <w:spacing w:val="-15"/>
        </w:rPr>
        <w:t xml:space="preserve">机污染，而且还能解决氮和磷的污染，使氨氮的出水指标小于 </w:t>
      </w:r>
      <w:r>
        <w:t>10mg/l</w:t>
      </w:r>
      <w:r>
        <w:rPr>
          <w:spacing w:val="-19"/>
        </w:rPr>
        <w:t xml:space="preserve">。总之， </w:t>
      </w:r>
      <w:r>
        <w:t>经过本工艺流程，出水的各项指标均能达到《肉类加工工业水污染物排放</w:t>
      </w:r>
    </w:p>
    <w:p>
      <w:pPr>
        <w:pStyle w:val="BodyText"/>
        <w:spacing w:before="2"/>
        <w:ind w:left="1612"/>
      </w:pPr>
      <w:r>
        <w:t>标准》（</w:t>
      </w:r>
      <w:r>
        <w:rPr>
          <w:spacing w:val="-123"/>
        </w:rPr>
        <w:t xml:space="preserve"> </w:t>
      </w:r>
      <w:r>
        <w:t>GB18918-2002）中二级标准。</w:t>
      </w:r>
    </w:p>
    <w:p>
      <w:pPr>
        <w:spacing w:after="0"/>
        <w:sectPr>
          <w:headerReference w:type="default" r:id="rId26"/>
          <w:footerReference w:type="default" r:id="rId27"/>
          <w:pgSz w:w="17860" w:h="25260"/>
          <w:pgMar w:top="1400" w:right="1660" w:bottom="2020" w:left="1560" w:header="1054" w:footer="1831"/>
          <w:pgNumType w:start="11"/>
          <w:cols w:space="708"/>
        </w:sectPr>
      </w:pPr>
    </w:p>
    <w:p>
      <w:pPr>
        <w:pStyle w:val="BodyText"/>
        <w:spacing w:before="7"/>
        <w:rPr>
          <w:sz w:val="26"/>
        </w:rPr>
      </w:pPr>
    </w:p>
    <w:p>
      <w:pPr>
        <w:pStyle w:val="Heading2"/>
        <w:numPr>
          <w:ilvl w:val="1"/>
          <w:numId w:val="7"/>
        </w:numPr>
        <w:tabs>
          <w:tab w:val="left" w:pos="1933"/>
        </w:tabs>
        <w:spacing w:before="37" w:after="0" w:line="240" w:lineRule="auto"/>
        <w:ind w:left="1932" w:right="0" w:hanging="793"/>
        <w:jc w:val="left"/>
      </w:pPr>
      <w:bookmarkStart w:id="13" w:name="_TOC_250000"/>
      <w:bookmarkEnd w:id="13"/>
      <w:r>
        <w:t>工艺推荐</w:t>
      </w:r>
    </w:p>
    <w:p>
      <w:pPr>
        <w:pStyle w:val="BodyText"/>
        <w:spacing w:before="8"/>
        <w:rPr>
          <w:b/>
          <w:sz w:val="38"/>
        </w:rPr>
      </w:pPr>
    </w:p>
    <w:p>
      <w:pPr>
        <w:pStyle w:val="BodyText"/>
        <w:spacing w:line="364" w:lineRule="auto"/>
        <w:ind w:left="1140" w:right="1235" w:firstLine="719"/>
      </w:pPr>
      <w:r>
        <w:rPr>
          <w:spacing w:val="-8"/>
        </w:rPr>
        <w:t>生化处理单元运用先进的生物接触氧化法，主要由厌氧、两级好氧、二次沉淀、消毒等工艺组成。这是一种处理效果好、污泥量少、动力消耗低的较为</w:t>
      </w:r>
      <w:r>
        <w:rPr>
          <w:spacing w:val="-16"/>
        </w:rPr>
        <w:t>先进的生化处理工艺，通过选用具有针对性的高效微生物制剂和生物酶制剂组</w:t>
      </w:r>
      <w:r>
        <w:rPr>
          <w:spacing w:val="-14"/>
        </w:rPr>
        <w:t>合，使传统意义上很难或不能为微生物降解的有机污染物得到了快速且较为完</w:t>
      </w:r>
      <w:r>
        <w:rPr>
          <w:spacing w:val="-22"/>
        </w:rPr>
        <w:t>全的生物降解，并且改善寒冷气候时的运行，减轻意外事故及有毒物冲击影响。</w:t>
      </w:r>
      <w:r>
        <w:rPr>
          <w:spacing w:val="-14"/>
        </w:rPr>
        <w:t>同时，将微生物和生物酶固定在特制专利载体上，使微生物的负载量比传统生</w:t>
      </w:r>
      <w:r>
        <w:rPr>
          <w:spacing w:val="-22"/>
        </w:rPr>
        <w:t xml:space="preserve">物处理工艺提高了 </w:t>
      </w:r>
      <w:r>
        <w:t>10～20</w:t>
      </w:r>
      <w:r>
        <w:rPr>
          <w:spacing w:val="-10"/>
        </w:rPr>
        <w:t xml:space="preserve"> 倍，使微生物对污水中有机物的降解速度比传统方</w:t>
      </w:r>
      <w:r>
        <w:rPr>
          <w:spacing w:val="-27"/>
        </w:rPr>
        <w:t xml:space="preserve">法提高了 </w:t>
      </w:r>
      <w:r>
        <w:t>100</w:t>
      </w:r>
      <w:r>
        <w:rPr>
          <w:spacing w:val="-17"/>
        </w:rPr>
        <w:t xml:space="preserve"> 倍，从而大大提高了处理速度和处理效果并有效避免了生物量的流失。</w:t>
      </w:r>
    </w:p>
    <w:p>
      <w:pPr>
        <w:pStyle w:val="ListParagraph"/>
        <w:numPr>
          <w:ilvl w:val="2"/>
          <w:numId w:val="7"/>
        </w:numPr>
        <w:tabs>
          <w:tab w:val="left" w:pos="2297"/>
        </w:tabs>
        <w:spacing w:before="33" w:after="0" w:line="240" w:lineRule="auto"/>
        <w:ind w:left="2296" w:right="0" w:hanging="1157"/>
        <w:jc w:val="left"/>
        <w:rPr>
          <w:sz w:val="42"/>
        </w:rPr>
      </w:pPr>
      <w:r>
        <w:rPr>
          <w:sz w:val="42"/>
        </w:rPr>
        <w:t>微生物生化处理的特点</w:t>
      </w:r>
    </w:p>
    <w:p>
      <w:pPr>
        <w:pStyle w:val="BodyText"/>
        <w:spacing w:before="8"/>
        <w:rPr>
          <w:sz w:val="40"/>
        </w:rPr>
      </w:pPr>
    </w:p>
    <w:p>
      <w:pPr>
        <w:pStyle w:val="ListParagraph"/>
        <w:numPr>
          <w:ilvl w:val="3"/>
          <w:numId w:val="7"/>
        </w:numPr>
        <w:tabs>
          <w:tab w:val="left" w:pos="2762"/>
        </w:tabs>
        <w:spacing w:before="1" w:after="0" w:line="364" w:lineRule="auto"/>
        <w:ind w:left="1140" w:right="896" w:firstLine="719"/>
        <w:jc w:val="left"/>
        <w:rPr>
          <w:sz w:val="36"/>
        </w:rPr>
      </w:pPr>
      <w:r>
        <w:rPr>
          <w:sz w:val="36"/>
        </w:rPr>
        <w:t>出水水质好且水质稳定。专用高效微生物、生物酶制剂能够分解脂肪</w:t>
      </w:r>
      <w:r>
        <w:rPr>
          <w:spacing w:val="-1"/>
          <w:sz w:val="36"/>
        </w:rPr>
        <w:t>酸、表面活性剂、碳氢化合物、酚类化合物、酮以及不易分解的有机物，增加原</w:t>
      </w:r>
      <w:r>
        <w:rPr>
          <w:spacing w:val="-10"/>
          <w:sz w:val="36"/>
        </w:rPr>
        <w:t>生动物的数量和多样性，减少水质变化对出水质量造成的影响。由于高比表面积</w:t>
      </w:r>
      <w:r>
        <w:rPr>
          <w:spacing w:val="-17"/>
          <w:sz w:val="36"/>
        </w:rPr>
        <w:t>亲水性新型专利填料的设置，提供了巨大的生物栖息空间，使大量微生物得以附着生存。并且生物膜比较稳定，易于保证生物活性和利于生物量的提高。</w:t>
      </w:r>
    </w:p>
    <w:p>
      <w:pPr>
        <w:pStyle w:val="ListParagraph"/>
        <w:numPr>
          <w:ilvl w:val="3"/>
          <w:numId w:val="7"/>
        </w:numPr>
        <w:tabs>
          <w:tab w:val="left" w:pos="2762"/>
        </w:tabs>
        <w:spacing w:before="156" w:after="0" w:line="364" w:lineRule="auto"/>
        <w:ind w:left="1140" w:right="1040" w:firstLine="719"/>
        <w:jc w:val="both"/>
        <w:rPr>
          <w:sz w:val="36"/>
        </w:rPr>
      </w:pPr>
      <w:r>
        <w:rPr>
          <w:sz w:val="36"/>
        </w:rPr>
        <w:t>节省运行费用。由于新型填料的设置及气水的相对运动，对气泡起到</w:t>
      </w:r>
      <w:r>
        <w:rPr>
          <w:spacing w:val="-12"/>
          <w:sz w:val="36"/>
        </w:rPr>
        <w:t>切割和阻挡作用，使气泡的停留时间和气液接触的面积增加，实测证明提供了氧</w:t>
      </w:r>
      <w:r>
        <w:rPr>
          <w:spacing w:val="-6"/>
          <w:sz w:val="36"/>
        </w:rPr>
        <w:t xml:space="preserve">的吸收能力，即氧的利用率可达 </w:t>
      </w:r>
      <w:r>
        <w:rPr>
          <w:sz w:val="36"/>
        </w:rPr>
        <w:t>25～30％，</w:t>
      </w:r>
      <w:r>
        <w:rPr>
          <w:spacing w:val="-9"/>
          <w:sz w:val="36"/>
        </w:rPr>
        <w:t xml:space="preserve">曝气量比一般方法降低 </w:t>
      </w:r>
      <w:r>
        <w:rPr>
          <w:sz w:val="36"/>
        </w:rPr>
        <w:t>2</w:t>
      </w:r>
      <w:r>
        <w:rPr>
          <w:spacing w:val="-19"/>
          <w:sz w:val="36"/>
        </w:rPr>
        <w:t xml:space="preserve"> 倍以上。</w:t>
      </w:r>
    </w:p>
    <w:p>
      <w:pPr>
        <w:pStyle w:val="ListParagraph"/>
        <w:numPr>
          <w:ilvl w:val="3"/>
          <w:numId w:val="7"/>
        </w:numPr>
        <w:tabs>
          <w:tab w:val="left" w:pos="2762"/>
        </w:tabs>
        <w:spacing w:before="150" w:after="0" w:line="364" w:lineRule="auto"/>
        <w:ind w:left="1140" w:right="896" w:firstLine="719"/>
        <w:jc w:val="left"/>
        <w:rPr>
          <w:sz w:val="36"/>
        </w:rPr>
      </w:pPr>
      <w:r>
        <w:rPr>
          <w:spacing w:val="1"/>
          <w:sz w:val="36"/>
        </w:rPr>
        <w:t>耐冲击负荷。曝气强度相对增加</w:t>
      </w:r>
      <w:r>
        <w:rPr>
          <w:sz w:val="36"/>
        </w:rPr>
        <w:t>2～4</w:t>
      </w:r>
      <w:r>
        <w:rPr>
          <w:spacing w:val="-10"/>
          <w:sz w:val="36"/>
        </w:rPr>
        <w:t xml:space="preserve"> 倍，这样水流剧烈搅动，对生物</w:t>
      </w:r>
      <w:r>
        <w:rPr>
          <w:spacing w:val="-11"/>
          <w:sz w:val="36"/>
        </w:rPr>
        <w:t>膜表面冲刷加强，使生物膜更新快、年龄短，因而活性高；生物膜表面代谢物质</w:t>
      </w:r>
      <w:r>
        <w:rPr>
          <w:spacing w:val="-10"/>
          <w:sz w:val="36"/>
        </w:rPr>
        <w:t>的流动和更新速度快，浓度梯度大，因而加快了传质速度。在一定范围内去除率</w:t>
      </w:r>
      <w:r>
        <w:rPr>
          <w:spacing w:val="-51"/>
          <w:sz w:val="36"/>
        </w:rPr>
        <w:t xml:space="preserve">随 </w:t>
      </w:r>
      <w:r>
        <w:rPr>
          <w:sz w:val="36"/>
        </w:rPr>
        <w:t>COD</w:t>
      </w:r>
      <w:r>
        <w:rPr>
          <w:spacing w:val="-16"/>
          <w:sz w:val="36"/>
        </w:rPr>
        <w:t xml:space="preserve"> 容积负荷的增大而升高，对波动较大的冲击负荷有良好的适应性。专用高效微生物、生物酶制剂能迅速从由于负荷和毒物导致的故障中恢复。</w:t>
      </w:r>
    </w:p>
    <w:p>
      <w:pPr>
        <w:pStyle w:val="ListParagraph"/>
        <w:numPr>
          <w:ilvl w:val="3"/>
          <w:numId w:val="7"/>
        </w:numPr>
        <w:tabs>
          <w:tab w:val="left" w:pos="2762"/>
        </w:tabs>
        <w:spacing w:before="157" w:after="0" w:line="367" w:lineRule="auto"/>
        <w:ind w:left="1140" w:right="1078" w:firstLine="719"/>
        <w:jc w:val="left"/>
        <w:rPr>
          <w:sz w:val="36"/>
        </w:rPr>
      </w:pPr>
      <w:r>
        <w:rPr>
          <w:spacing w:val="-1"/>
          <w:sz w:val="36"/>
        </w:rPr>
        <w:t>该处理装置结构紧凑，占地面积小，可和其它传统工艺组合使用，对</w:t>
      </w:r>
      <w:r>
        <w:rPr>
          <w:sz w:val="36"/>
        </w:rPr>
        <w:t>一些老厂进行技术改造，避免了浪费。</w:t>
      </w:r>
    </w:p>
    <w:p>
      <w:pPr>
        <w:pStyle w:val="ListParagraph"/>
        <w:numPr>
          <w:ilvl w:val="3"/>
          <w:numId w:val="7"/>
        </w:numPr>
        <w:tabs>
          <w:tab w:val="left" w:pos="2762"/>
        </w:tabs>
        <w:spacing w:before="144" w:after="0" w:line="364" w:lineRule="auto"/>
        <w:ind w:left="1140" w:right="1036" w:firstLine="719"/>
        <w:jc w:val="left"/>
        <w:rPr>
          <w:sz w:val="36"/>
        </w:rPr>
      </w:pPr>
      <w:r>
        <w:rPr>
          <w:spacing w:val="-4"/>
          <w:sz w:val="36"/>
        </w:rPr>
        <w:t>去除无机离子和重金属离子,运行中不产生不良气体，能驱除池蝇， 美化环境。</w:t>
      </w:r>
    </w:p>
    <w:p>
      <w:pPr>
        <w:spacing w:after="0" w:line="364" w:lineRule="auto"/>
        <w:jc w:val="left"/>
        <w:rPr>
          <w:sz w:val="36"/>
        </w:rPr>
        <w:sectPr>
          <w:headerReference w:type="default" r:id="rId28"/>
          <w:footerReference w:type="default" r:id="rId29"/>
          <w:pgSz w:w="17860" w:h="25260"/>
          <w:pgMar w:top="1400" w:right="1660" w:bottom="2020" w:left="1560" w:header="1054" w:footer="1831"/>
          <w:pgNumType w:start="12"/>
          <w:cols w:space="708"/>
        </w:sectPr>
      </w:pPr>
    </w:p>
    <w:p>
      <w:pPr>
        <w:pStyle w:val="BodyText"/>
        <w:spacing w:before="7"/>
        <w:rPr>
          <w:sz w:val="26"/>
        </w:rPr>
      </w:pPr>
    </w:p>
    <w:p>
      <w:pPr>
        <w:pStyle w:val="Heading2"/>
        <w:numPr>
          <w:ilvl w:val="1"/>
          <w:numId w:val="7"/>
        </w:numPr>
        <w:tabs>
          <w:tab w:val="left" w:pos="1933"/>
        </w:tabs>
        <w:spacing w:before="37" w:after="0" w:line="240" w:lineRule="auto"/>
        <w:ind w:left="1932" w:right="0" w:hanging="793"/>
        <w:jc w:val="left"/>
      </w:pPr>
      <w:r>
        <w:t>本工艺采取措施</w:t>
      </w:r>
    </w:p>
    <w:p>
      <w:pPr>
        <w:pStyle w:val="BodyText"/>
        <w:spacing w:before="8"/>
        <w:rPr>
          <w:b/>
          <w:sz w:val="38"/>
        </w:rPr>
      </w:pPr>
    </w:p>
    <w:p>
      <w:pPr>
        <w:pStyle w:val="BodyText"/>
        <w:spacing w:line="364" w:lineRule="auto"/>
        <w:ind w:left="1140" w:right="1240" w:firstLine="719"/>
      </w:pPr>
      <w:r>
        <w:rPr>
          <w:spacing w:val="-21"/>
        </w:rPr>
        <w:t xml:space="preserve">⑴动物毛、食物残渣、碎肉、骨渣等易堵塞泵，会影响整个后续工艺处理， </w:t>
      </w:r>
      <w:r>
        <w:t>故方案中采用粗、细格栅。</w:t>
      </w:r>
    </w:p>
    <w:p>
      <w:pPr>
        <w:pStyle w:val="BodyText"/>
        <w:spacing w:before="2" w:line="364" w:lineRule="auto"/>
        <w:ind w:left="1140" w:right="1419" w:firstLine="719"/>
        <w:jc w:val="both"/>
      </w:pPr>
      <w:r>
        <w:rPr>
          <w:spacing w:val="-15"/>
        </w:rPr>
        <w:t>⑵有机物含量较高，采用气浮处理，去除大部分悬浮物和大部分不溶性有机物，并降低乳化状油脂，改善污水中油脂对后续固定化微生物曝气生化单元</w:t>
      </w:r>
      <w:r>
        <w:t>处理的影响。</w:t>
      </w:r>
    </w:p>
    <w:p>
      <w:pPr>
        <w:pStyle w:val="BodyText"/>
        <w:spacing w:before="2" w:line="364" w:lineRule="auto"/>
        <w:ind w:left="1140" w:right="1978" w:firstLine="719"/>
      </w:pPr>
      <w:r>
        <w:t>⑶采用微生物曝气生化处理系统，降低污染物浓度，并增加硝化段， 提高污水处理效果，并确保氨氮能达标排放。</w:t>
      </w:r>
    </w:p>
    <w:p>
      <w:pPr>
        <w:pStyle w:val="BodyText"/>
        <w:spacing w:before="3" w:line="364" w:lineRule="auto"/>
        <w:ind w:left="1140" w:right="1438" w:firstLine="719"/>
      </w:pPr>
      <w:r>
        <w:t>⑷ 为了进一步确保水质达标，本工艺采用了两物化与生化相结合的处理工艺，保证了出水达标排放。</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https://d.book118.com/486052220145010031</w:t>
        </w:r>
      </w:hyperlink>
    </w:p>
    <w:p>
      <w:pPr>
        <w:spacing w:after="0" w:line="364" w:lineRule="auto"/>
      </w:pPr>
    </w:p>
    <w:sectPr>
      <w:headerReference w:type="default" r:id="rId31"/>
      <w:footerReference w:type="default" r:id="rId32"/>
      <w:pgSz w:w="17860" w:h="25260"/>
      <w:pgMar w:top="1400" w:right="1660" w:bottom="2020" w:left="1560" w:header="1054" w:footer="1831"/>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MS Gothic">
    <w:altName w:val="MS Gothic"/>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35.55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235.55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235.55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35.55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235.55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235.55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35.55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235.55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235.55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235.55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235.55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235.55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235.55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学习参考</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07.5pt;height:17.2pt;margin-top:51.69pt;margin-left:396.33pt;mso-position-horizontal-relative:page;mso-position-vertical-relative:page;position:absolute;z-index:-2516572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31289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2897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07.5pt;height:17.2pt;margin-top:51.69pt;margin-left:396.33pt;mso-position-horizontal-relative:page;mso-position-vertical-relative:page;position:absolute;z-index:-25165516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312493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493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07.5pt;height:17.2pt;margin-top:51.69pt;margin-left:396.33pt;mso-position-horizontal-relative:page;mso-position-vertical-relative:page;position:absolute;z-index:-2516531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67953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538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07.5pt;height:17.2pt;margin-top:51.69pt;margin-left:396.33pt;mso-position-horizontal-relative:page;mso-position-vertical-relative:page;position:absolute;z-index:-25165107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815826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58263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07.5pt;height:17.2pt;margin-top:51.69pt;margin-left:396.33pt;mso-position-horizontal-relative:page;mso-position-vertical-relative:page;position:absolute;z-index:-25164902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265429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5429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07.5pt;height:17.2pt;margin-top:51.69pt;margin-left:396.33pt;mso-position-horizontal-relative:page;mso-position-vertical-relative:page;position:absolute;z-index:-25164697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202760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27608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07.5pt;height:17.2pt;margin-top:51.69pt;margin-left:396.33pt;mso-position-horizontal-relative:page;mso-position-vertical-relative:page;position:absolute;z-index:-25164492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89997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9977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07.5pt;height:17.2pt;margin-top:51.69pt;margin-left:396.33pt;mso-position-horizontal-relative:page;mso-position-vertical-relative:page;position:absolute;z-index:-25164288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880170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01703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07.5pt;height:17.2pt;margin-top:51.69pt;margin-left:396.33pt;mso-position-horizontal-relative:page;mso-position-vertical-relative:page;position:absolute;z-index:-25164083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64233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233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07.5pt;height:17.2pt;margin-top:51.69pt;margin-left:396.33pt;mso-position-horizontal-relative:page;mso-position-vertical-relative:page;position:absolute;z-index:-25163878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27142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142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07.5pt;height:17.2pt;margin-top:51.69pt;margin-left:396.33pt;mso-position-horizontal-relative:page;mso-position-vertical-relative:page;position:absolute;z-index:-25163673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833561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35610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07.5pt;height:17.2pt;margin-top:51.69pt;margin-left:396.33pt;mso-position-horizontal-relative:page;mso-position-vertical-relative:page;position:absolute;z-index:-25163468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62545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45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07.5pt;height:17.2pt;margin-top:51.69pt;margin-left:396.33pt;mso-position-horizontal-relative:page;mso-position-vertical-relative:page;position:absolute;z-index:-25163264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 整理版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D4074"/>
    <w:multiLevelType w:val="hybridMultilevel"/>
    <w:tmpl w:val="00000000"/>
    <w:lvl w:ilvl="0">
      <w:start w:val="0"/>
      <w:numFmt w:val="bullet"/>
      <w:lvlText w:val=""/>
      <w:lvlJc w:val="left"/>
      <w:pPr>
        <w:ind w:left="1612" w:hanging="472"/>
      </w:pPr>
      <w:rPr>
        <w:rFonts w:ascii="Wingdings" w:eastAsia="Wingdings" w:hAnsi="Wingdings" w:cs="Wingdings" w:hint="default"/>
        <w:w w:val="100"/>
        <w:sz w:val="36"/>
        <w:szCs w:val="36"/>
      </w:rPr>
    </w:lvl>
    <w:lvl w:ilvl="1">
      <w:start w:val="0"/>
      <w:numFmt w:val="bullet"/>
      <w:lvlText w:val="•"/>
      <w:lvlJc w:val="left"/>
      <w:pPr>
        <w:ind w:left="2921" w:hanging="472"/>
      </w:pPr>
      <w:rPr>
        <w:rFonts w:hint="default"/>
      </w:rPr>
    </w:lvl>
    <w:lvl w:ilvl="2">
      <w:start w:val="0"/>
      <w:numFmt w:val="bullet"/>
      <w:lvlText w:val="•"/>
      <w:lvlJc w:val="left"/>
      <w:pPr>
        <w:ind w:left="4223" w:hanging="472"/>
      </w:pPr>
      <w:rPr>
        <w:rFonts w:hint="default"/>
      </w:rPr>
    </w:lvl>
    <w:lvl w:ilvl="3">
      <w:start w:val="0"/>
      <w:numFmt w:val="bullet"/>
      <w:lvlText w:val="•"/>
      <w:lvlJc w:val="left"/>
      <w:pPr>
        <w:ind w:left="5525" w:hanging="472"/>
      </w:pPr>
      <w:rPr>
        <w:rFonts w:hint="default"/>
      </w:rPr>
    </w:lvl>
    <w:lvl w:ilvl="4">
      <w:start w:val="0"/>
      <w:numFmt w:val="bullet"/>
      <w:lvlText w:val="•"/>
      <w:lvlJc w:val="left"/>
      <w:pPr>
        <w:ind w:left="6827" w:hanging="472"/>
      </w:pPr>
      <w:rPr>
        <w:rFonts w:hint="default"/>
      </w:rPr>
    </w:lvl>
    <w:lvl w:ilvl="5">
      <w:start w:val="0"/>
      <w:numFmt w:val="bullet"/>
      <w:lvlText w:val="•"/>
      <w:lvlJc w:val="left"/>
      <w:pPr>
        <w:ind w:left="8129" w:hanging="472"/>
      </w:pPr>
      <w:rPr>
        <w:rFonts w:hint="default"/>
      </w:rPr>
    </w:lvl>
    <w:lvl w:ilvl="6">
      <w:start w:val="0"/>
      <w:numFmt w:val="bullet"/>
      <w:lvlText w:val="•"/>
      <w:lvlJc w:val="left"/>
      <w:pPr>
        <w:ind w:left="9431" w:hanging="472"/>
      </w:pPr>
      <w:rPr>
        <w:rFonts w:hint="default"/>
      </w:rPr>
    </w:lvl>
    <w:lvl w:ilvl="7">
      <w:start w:val="0"/>
      <w:numFmt w:val="bullet"/>
      <w:lvlText w:val="•"/>
      <w:lvlJc w:val="left"/>
      <w:pPr>
        <w:ind w:left="10733" w:hanging="472"/>
      </w:pPr>
      <w:rPr>
        <w:rFonts w:hint="default"/>
      </w:rPr>
    </w:lvl>
    <w:lvl w:ilvl="8">
      <w:start w:val="0"/>
      <w:numFmt w:val="bullet"/>
      <w:lvlText w:val="•"/>
      <w:lvlJc w:val="left"/>
      <w:pPr>
        <w:ind w:left="12035" w:hanging="472"/>
      </w:pPr>
      <w:rPr>
        <w:rFonts w:hint="default"/>
      </w:rPr>
    </w:lvl>
  </w:abstractNum>
  <w:abstractNum w:abstractNumId="1">
    <w:nsid w:val="24287B6A"/>
    <w:multiLevelType w:val="hybridMultilevel"/>
    <w:tmpl w:val="00000000"/>
    <w:lvl w:ilvl="0">
      <w:start w:val="6"/>
      <w:numFmt w:val="decimal"/>
      <w:lvlText w:val="%1"/>
      <w:lvlJc w:val="left"/>
      <w:pPr>
        <w:ind w:left="1821" w:hanging="681"/>
        <w:jc w:val="left"/>
      </w:pPr>
      <w:rPr>
        <w:rFonts w:hint="default"/>
      </w:rPr>
    </w:lvl>
    <w:lvl w:ilvl="1">
      <w:start w:val="1"/>
      <w:numFmt w:val="decimal"/>
      <w:lvlText w:val="%1.%2"/>
      <w:lvlJc w:val="left"/>
      <w:pPr>
        <w:ind w:left="1821" w:hanging="681"/>
        <w:jc w:val="left"/>
      </w:pPr>
      <w:rPr>
        <w:rFonts w:ascii="楷体" w:eastAsia="楷体" w:hAnsi="楷体" w:cs="楷体" w:hint="default"/>
        <w:b/>
        <w:bCs/>
        <w:w w:val="99"/>
        <w:sz w:val="43"/>
        <w:szCs w:val="43"/>
      </w:rPr>
    </w:lvl>
    <w:lvl w:ilvl="2">
      <w:start w:val="0"/>
      <w:numFmt w:val="bullet"/>
      <w:lvlText w:val="•"/>
      <w:lvlJc w:val="left"/>
      <w:pPr>
        <w:ind w:left="4383" w:hanging="681"/>
      </w:pPr>
      <w:rPr>
        <w:rFonts w:hint="default"/>
      </w:rPr>
    </w:lvl>
    <w:lvl w:ilvl="3">
      <w:start w:val="0"/>
      <w:numFmt w:val="bullet"/>
      <w:lvlText w:val="•"/>
      <w:lvlJc w:val="left"/>
      <w:pPr>
        <w:ind w:left="5665" w:hanging="681"/>
      </w:pPr>
      <w:rPr>
        <w:rFonts w:hint="default"/>
      </w:rPr>
    </w:lvl>
    <w:lvl w:ilvl="4">
      <w:start w:val="0"/>
      <w:numFmt w:val="bullet"/>
      <w:lvlText w:val="•"/>
      <w:lvlJc w:val="left"/>
      <w:pPr>
        <w:ind w:left="6947" w:hanging="681"/>
      </w:pPr>
      <w:rPr>
        <w:rFonts w:hint="default"/>
      </w:rPr>
    </w:lvl>
    <w:lvl w:ilvl="5">
      <w:start w:val="0"/>
      <w:numFmt w:val="bullet"/>
      <w:lvlText w:val="•"/>
      <w:lvlJc w:val="left"/>
      <w:pPr>
        <w:ind w:left="8229" w:hanging="681"/>
      </w:pPr>
      <w:rPr>
        <w:rFonts w:hint="default"/>
      </w:rPr>
    </w:lvl>
    <w:lvl w:ilvl="6">
      <w:start w:val="0"/>
      <w:numFmt w:val="bullet"/>
      <w:lvlText w:val="•"/>
      <w:lvlJc w:val="left"/>
      <w:pPr>
        <w:ind w:left="9511" w:hanging="681"/>
      </w:pPr>
      <w:rPr>
        <w:rFonts w:hint="default"/>
      </w:rPr>
    </w:lvl>
    <w:lvl w:ilvl="7">
      <w:start w:val="0"/>
      <w:numFmt w:val="bullet"/>
      <w:lvlText w:val="•"/>
      <w:lvlJc w:val="left"/>
      <w:pPr>
        <w:ind w:left="10793" w:hanging="681"/>
      </w:pPr>
      <w:rPr>
        <w:rFonts w:hint="default"/>
      </w:rPr>
    </w:lvl>
    <w:lvl w:ilvl="8">
      <w:start w:val="0"/>
      <w:numFmt w:val="bullet"/>
      <w:lvlText w:val="•"/>
      <w:lvlJc w:val="left"/>
      <w:pPr>
        <w:ind w:left="12075" w:hanging="681"/>
      </w:pPr>
      <w:rPr>
        <w:rFonts w:hint="default"/>
      </w:rPr>
    </w:lvl>
  </w:abstractNum>
  <w:abstractNum w:abstractNumId="2">
    <w:nsid w:val="321067DD"/>
    <w:multiLevelType w:val="hybridMultilevel"/>
    <w:tmpl w:val="00000000"/>
    <w:lvl w:ilvl="0">
      <w:start w:val="1"/>
      <w:numFmt w:val="decimal"/>
      <w:lvlText w:val="%1"/>
      <w:lvlJc w:val="left"/>
      <w:pPr>
        <w:ind w:left="2314" w:hanging="630"/>
        <w:jc w:val="left"/>
      </w:pPr>
      <w:rPr>
        <w:rFonts w:hint="default"/>
      </w:rPr>
    </w:lvl>
    <w:lvl w:ilvl="1">
      <w:start w:val="1"/>
      <w:numFmt w:val="decimal"/>
      <w:lvlText w:val="%1.%2"/>
      <w:lvlJc w:val="left"/>
      <w:pPr>
        <w:ind w:left="2314" w:hanging="630"/>
        <w:jc w:val="right"/>
      </w:pPr>
      <w:rPr>
        <w:rFonts w:ascii="楷体" w:eastAsia="楷体" w:hAnsi="楷体" w:cs="楷体" w:hint="default"/>
        <w:w w:val="102"/>
        <w:sz w:val="31"/>
        <w:szCs w:val="31"/>
      </w:rPr>
    </w:lvl>
    <w:lvl w:ilvl="2">
      <w:start w:val="0"/>
      <w:numFmt w:val="bullet"/>
      <w:lvlText w:val="•"/>
      <w:lvlJc w:val="left"/>
      <w:pPr>
        <w:ind w:left="4783" w:hanging="630"/>
      </w:pPr>
      <w:rPr>
        <w:rFonts w:hint="default"/>
      </w:rPr>
    </w:lvl>
    <w:lvl w:ilvl="3">
      <w:start w:val="0"/>
      <w:numFmt w:val="bullet"/>
      <w:lvlText w:val="•"/>
      <w:lvlJc w:val="left"/>
      <w:pPr>
        <w:ind w:left="6015" w:hanging="630"/>
      </w:pPr>
      <w:rPr>
        <w:rFonts w:hint="default"/>
      </w:rPr>
    </w:lvl>
    <w:lvl w:ilvl="4">
      <w:start w:val="0"/>
      <w:numFmt w:val="bullet"/>
      <w:lvlText w:val="•"/>
      <w:lvlJc w:val="left"/>
      <w:pPr>
        <w:ind w:left="7247" w:hanging="630"/>
      </w:pPr>
      <w:rPr>
        <w:rFonts w:hint="default"/>
      </w:rPr>
    </w:lvl>
    <w:lvl w:ilvl="5">
      <w:start w:val="0"/>
      <w:numFmt w:val="bullet"/>
      <w:lvlText w:val="•"/>
      <w:lvlJc w:val="left"/>
      <w:pPr>
        <w:ind w:left="8479" w:hanging="630"/>
      </w:pPr>
      <w:rPr>
        <w:rFonts w:hint="default"/>
      </w:rPr>
    </w:lvl>
    <w:lvl w:ilvl="6">
      <w:start w:val="0"/>
      <w:numFmt w:val="bullet"/>
      <w:lvlText w:val="•"/>
      <w:lvlJc w:val="left"/>
      <w:pPr>
        <w:ind w:left="9711" w:hanging="630"/>
      </w:pPr>
      <w:rPr>
        <w:rFonts w:hint="default"/>
      </w:rPr>
    </w:lvl>
    <w:lvl w:ilvl="7">
      <w:start w:val="0"/>
      <w:numFmt w:val="bullet"/>
      <w:lvlText w:val="•"/>
      <w:lvlJc w:val="left"/>
      <w:pPr>
        <w:ind w:left="10943" w:hanging="630"/>
      </w:pPr>
      <w:rPr>
        <w:rFonts w:hint="default"/>
      </w:rPr>
    </w:lvl>
    <w:lvl w:ilvl="8">
      <w:start w:val="0"/>
      <w:numFmt w:val="bullet"/>
      <w:lvlText w:val="•"/>
      <w:lvlJc w:val="left"/>
      <w:pPr>
        <w:ind w:left="12175" w:hanging="630"/>
      </w:pPr>
      <w:rPr>
        <w:rFonts w:hint="default"/>
      </w:rPr>
    </w:lvl>
  </w:abstractNum>
  <w:abstractNum w:abstractNumId="3">
    <w:nsid w:val="3A367B86"/>
    <w:multiLevelType w:val="hybridMultilevel"/>
    <w:tmpl w:val="00000000"/>
    <w:lvl w:ilvl="0">
      <w:start w:val="2"/>
      <w:numFmt w:val="decimal"/>
      <w:lvlText w:val="%1"/>
      <w:lvlJc w:val="left"/>
      <w:pPr>
        <w:ind w:left="2325" w:hanging="555"/>
        <w:jc w:val="left"/>
      </w:pPr>
      <w:rPr>
        <w:rFonts w:hint="default"/>
      </w:rPr>
    </w:lvl>
    <w:lvl w:ilvl="1">
      <w:start w:val="1"/>
      <w:numFmt w:val="decimal"/>
      <w:lvlText w:val="%1.%2"/>
      <w:lvlJc w:val="left"/>
      <w:pPr>
        <w:ind w:left="2325" w:hanging="555"/>
        <w:jc w:val="left"/>
      </w:pPr>
      <w:rPr>
        <w:rFonts w:ascii="楷体" w:eastAsia="楷体" w:hAnsi="楷体" w:cs="楷体" w:hint="default"/>
        <w:w w:val="102"/>
        <w:sz w:val="31"/>
        <w:szCs w:val="31"/>
      </w:rPr>
    </w:lvl>
    <w:lvl w:ilvl="2">
      <w:start w:val="0"/>
      <w:numFmt w:val="bullet"/>
      <w:lvlText w:val="•"/>
      <w:lvlJc w:val="left"/>
      <w:pPr>
        <w:ind w:left="4783" w:hanging="555"/>
      </w:pPr>
      <w:rPr>
        <w:rFonts w:hint="default"/>
      </w:rPr>
    </w:lvl>
    <w:lvl w:ilvl="3">
      <w:start w:val="0"/>
      <w:numFmt w:val="bullet"/>
      <w:lvlText w:val="•"/>
      <w:lvlJc w:val="left"/>
      <w:pPr>
        <w:ind w:left="6015" w:hanging="555"/>
      </w:pPr>
      <w:rPr>
        <w:rFonts w:hint="default"/>
      </w:rPr>
    </w:lvl>
    <w:lvl w:ilvl="4">
      <w:start w:val="0"/>
      <w:numFmt w:val="bullet"/>
      <w:lvlText w:val="•"/>
      <w:lvlJc w:val="left"/>
      <w:pPr>
        <w:ind w:left="7247" w:hanging="555"/>
      </w:pPr>
      <w:rPr>
        <w:rFonts w:hint="default"/>
      </w:rPr>
    </w:lvl>
    <w:lvl w:ilvl="5">
      <w:start w:val="0"/>
      <w:numFmt w:val="bullet"/>
      <w:lvlText w:val="•"/>
      <w:lvlJc w:val="left"/>
      <w:pPr>
        <w:ind w:left="8479" w:hanging="555"/>
      </w:pPr>
      <w:rPr>
        <w:rFonts w:hint="default"/>
      </w:rPr>
    </w:lvl>
    <w:lvl w:ilvl="6">
      <w:start w:val="0"/>
      <w:numFmt w:val="bullet"/>
      <w:lvlText w:val="•"/>
      <w:lvlJc w:val="left"/>
      <w:pPr>
        <w:ind w:left="9711" w:hanging="555"/>
      </w:pPr>
      <w:rPr>
        <w:rFonts w:hint="default"/>
      </w:rPr>
    </w:lvl>
    <w:lvl w:ilvl="7">
      <w:start w:val="0"/>
      <w:numFmt w:val="bullet"/>
      <w:lvlText w:val="•"/>
      <w:lvlJc w:val="left"/>
      <w:pPr>
        <w:ind w:left="10943" w:hanging="555"/>
      </w:pPr>
      <w:rPr>
        <w:rFonts w:hint="default"/>
      </w:rPr>
    </w:lvl>
    <w:lvl w:ilvl="8">
      <w:start w:val="0"/>
      <w:numFmt w:val="bullet"/>
      <w:lvlText w:val="•"/>
      <w:lvlJc w:val="left"/>
      <w:pPr>
        <w:ind w:left="12175" w:hanging="555"/>
      </w:pPr>
      <w:rPr>
        <w:rFonts w:hint="default"/>
      </w:rPr>
    </w:lvl>
  </w:abstractNum>
  <w:abstractNum w:abstractNumId="4">
    <w:nsid w:val="3AE09D13"/>
    <w:multiLevelType w:val="hybridMultilevel"/>
    <w:tmpl w:val="00000000"/>
    <w:lvl w:ilvl="0">
      <w:start w:val="1"/>
      <w:numFmt w:val="decimal"/>
      <w:lvlText w:val="（%1）"/>
      <w:lvlJc w:val="left"/>
      <w:pPr>
        <w:ind w:left="2196" w:hanging="1056"/>
        <w:jc w:val="left"/>
      </w:pPr>
      <w:rPr>
        <w:rFonts w:ascii="楷体" w:eastAsia="楷体" w:hAnsi="楷体" w:cs="楷体" w:hint="default"/>
        <w:b/>
        <w:bCs/>
        <w:spacing w:val="-2"/>
        <w:w w:val="99"/>
        <w:sz w:val="40"/>
        <w:szCs w:val="40"/>
      </w:rPr>
    </w:lvl>
    <w:lvl w:ilvl="1">
      <w:start w:val="0"/>
      <w:numFmt w:val="bullet"/>
      <w:lvlText w:val="•"/>
      <w:lvlJc w:val="left"/>
      <w:pPr>
        <w:ind w:left="3443" w:hanging="1056"/>
      </w:pPr>
      <w:rPr>
        <w:rFonts w:hint="default"/>
      </w:rPr>
    </w:lvl>
    <w:lvl w:ilvl="2">
      <w:start w:val="0"/>
      <w:numFmt w:val="bullet"/>
      <w:lvlText w:val="•"/>
      <w:lvlJc w:val="left"/>
      <w:pPr>
        <w:ind w:left="4687" w:hanging="1056"/>
      </w:pPr>
      <w:rPr>
        <w:rFonts w:hint="default"/>
      </w:rPr>
    </w:lvl>
    <w:lvl w:ilvl="3">
      <w:start w:val="0"/>
      <w:numFmt w:val="bullet"/>
      <w:lvlText w:val="•"/>
      <w:lvlJc w:val="left"/>
      <w:pPr>
        <w:ind w:left="5931" w:hanging="1056"/>
      </w:pPr>
      <w:rPr>
        <w:rFonts w:hint="default"/>
      </w:rPr>
    </w:lvl>
    <w:lvl w:ilvl="4">
      <w:start w:val="0"/>
      <w:numFmt w:val="bullet"/>
      <w:lvlText w:val="•"/>
      <w:lvlJc w:val="left"/>
      <w:pPr>
        <w:ind w:left="7175" w:hanging="1056"/>
      </w:pPr>
      <w:rPr>
        <w:rFonts w:hint="default"/>
      </w:rPr>
    </w:lvl>
    <w:lvl w:ilvl="5">
      <w:start w:val="0"/>
      <w:numFmt w:val="bullet"/>
      <w:lvlText w:val="•"/>
      <w:lvlJc w:val="left"/>
      <w:pPr>
        <w:ind w:left="8419" w:hanging="1056"/>
      </w:pPr>
      <w:rPr>
        <w:rFonts w:hint="default"/>
      </w:rPr>
    </w:lvl>
    <w:lvl w:ilvl="6">
      <w:start w:val="0"/>
      <w:numFmt w:val="bullet"/>
      <w:lvlText w:val="•"/>
      <w:lvlJc w:val="left"/>
      <w:pPr>
        <w:ind w:left="9663" w:hanging="1056"/>
      </w:pPr>
      <w:rPr>
        <w:rFonts w:hint="default"/>
      </w:rPr>
    </w:lvl>
    <w:lvl w:ilvl="7">
      <w:start w:val="0"/>
      <w:numFmt w:val="bullet"/>
      <w:lvlText w:val="•"/>
      <w:lvlJc w:val="left"/>
      <w:pPr>
        <w:ind w:left="10907" w:hanging="1056"/>
      </w:pPr>
      <w:rPr>
        <w:rFonts w:hint="default"/>
      </w:rPr>
    </w:lvl>
    <w:lvl w:ilvl="8">
      <w:start w:val="0"/>
      <w:numFmt w:val="bullet"/>
      <w:lvlText w:val="•"/>
      <w:lvlJc w:val="left"/>
      <w:pPr>
        <w:ind w:left="12151" w:hanging="1056"/>
      </w:pPr>
      <w:rPr>
        <w:rFonts w:hint="default"/>
      </w:rPr>
    </w:lvl>
  </w:abstractNum>
  <w:abstractNum w:abstractNumId="5">
    <w:nsid w:val="515892ED"/>
    <w:multiLevelType w:val="hybridMultilevel"/>
    <w:tmpl w:val="00000000"/>
    <w:lvl w:ilvl="0">
      <w:start w:val="2"/>
      <w:numFmt w:val="decimal"/>
      <w:lvlText w:val="%1"/>
      <w:lvlJc w:val="left"/>
      <w:pPr>
        <w:ind w:left="1932" w:hanging="792"/>
        <w:jc w:val="left"/>
      </w:pPr>
      <w:rPr>
        <w:rFonts w:hint="default"/>
      </w:rPr>
    </w:lvl>
    <w:lvl w:ilvl="1">
      <w:start w:val="1"/>
      <w:numFmt w:val="decimal"/>
      <w:lvlText w:val="%1.%2"/>
      <w:lvlJc w:val="left"/>
      <w:pPr>
        <w:ind w:left="1932" w:hanging="792"/>
        <w:jc w:val="left"/>
      </w:pPr>
      <w:rPr>
        <w:rFonts w:ascii="楷体" w:eastAsia="楷体" w:hAnsi="楷体" w:cs="楷体" w:hint="default"/>
        <w:b/>
        <w:bCs/>
        <w:w w:val="99"/>
        <w:sz w:val="45"/>
        <w:szCs w:val="45"/>
      </w:rPr>
    </w:lvl>
    <w:lvl w:ilvl="2">
      <w:start w:val="1"/>
      <w:numFmt w:val="decimal"/>
      <w:lvlText w:val="%1.%2.%3"/>
      <w:lvlJc w:val="left"/>
      <w:pPr>
        <w:ind w:left="1140" w:hanging="1102"/>
        <w:jc w:val="left"/>
      </w:pPr>
      <w:rPr>
        <w:rFonts w:ascii="楷体" w:eastAsia="楷体" w:hAnsi="楷体" w:cs="楷体" w:hint="default"/>
        <w:w w:val="100"/>
        <w:sz w:val="36"/>
        <w:szCs w:val="36"/>
      </w:rPr>
    </w:lvl>
    <w:lvl w:ilvl="3">
      <w:start w:val="0"/>
      <w:numFmt w:val="bullet"/>
      <w:lvlText w:val="•"/>
      <w:lvlJc w:val="left"/>
      <w:pPr>
        <w:ind w:left="4762" w:hanging="1102"/>
      </w:pPr>
      <w:rPr>
        <w:rFonts w:hint="default"/>
      </w:rPr>
    </w:lvl>
    <w:lvl w:ilvl="4">
      <w:start w:val="0"/>
      <w:numFmt w:val="bullet"/>
      <w:lvlText w:val="•"/>
      <w:lvlJc w:val="left"/>
      <w:pPr>
        <w:ind w:left="6173" w:hanging="1102"/>
      </w:pPr>
      <w:rPr>
        <w:rFonts w:hint="default"/>
      </w:rPr>
    </w:lvl>
    <w:lvl w:ilvl="5">
      <w:start w:val="0"/>
      <w:numFmt w:val="bullet"/>
      <w:lvlText w:val="•"/>
      <w:lvlJc w:val="left"/>
      <w:pPr>
        <w:ind w:left="7584" w:hanging="1102"/>
      </w:pPr>
      <w:rPr>
        <w:rFonts w:hint="default"/>
      </w:rPr>
    </w:lvl>
    <w:lvl w:ilvl="6">
      <w:start w:val="0"/>
      <w:numFmt w:val="bullet"/>
      <w:lvlText w:val="•"/>
      <w:lvlJc w:val="left"/>
      <w:pPr>
        <w:ind w:left="8995" w:hanging="1102"/>
      </w:pPr>
      <w:rPr>
        <w:rFonts w:hint="default"/>
      </w:rPr>
    </w:lvl>
    <w:lvl w:ilvl="7">
      <w:start w:val="0"/>
      <w:numFmt w:val="bullet"/>
      <w:lvlText w:val="•"/>
      <w:lvlJc w:val="left"/>
      <w:pPr>
        <w:ind w:left="10406" w:hanging="1102"/>
      </w:pPr>
      <w:rPr>
        <w:rFonts w:hint="default"/>
      </w:rPr>
    </w:lvl>
    <w:lvl w:ilvl="8">
      <w:start w:val="0"/>
      <w:numFmt w:val="bullet"/>
      <w:lvlText w:val="•"/>
      <w:lvlJc w:val="left"/>
      <w:pPr>
        <w:ind w:left="11817" w:hanging="1102"/>
      </w:pPr>
      <w:rPr>
        <w:rFonts w:hint="default"/>
      </w:rPr>
    </w:lvl>
  </w:abstractNum>
  <w:abstractNum w:abstractNumId="6">
    <w:nsid w:val="58039894"/>
    <w:multiLevelType w:val="hybridMultilevel"/>
    <w:tmpl w:val="00000000"/>
    <w:lvl w:ilvl="0">
      <w:start w:val="1"/>
      <w:numFmt w:val="decimal"/>
      <w:lvlText w:val="%1"/>
      <w:lvlJc w:val="left"/>
      <w:pPr>
        <w:ind w:left="2314" w:hanging="630"/>
        <w:jc w:val="left"/>
      </w:pPr>
      <w:rPr>
        <w:rFonts w:hint="default"/>
      </w:rPr>
    </w:lvl>
    <w:lvl w:ilvl="1">
      <w:start w:val="1"/>
      <w:numFmt w:val="decimal"/>
      <w:lvlText w:val="%1.%2"/>
      <w:lvlJc w:val="left"/>
      <w:pPr>
        <w:ind w:left="2314" w:hanging="630"/>
        <w:jc w:val="right"/>
      </w:pPr>
      <w:rPr>
        <w:rFonts w:ascii="楷体" w:eastAsia="楷体" w:hAnsi="楷体" w:cs="楷体" w:hint="default"/>
        <w:w w:val="102"/>
        <w:sz w:val="31"/>
        <w:szCs w:val="31"/>
      </w:rPr>
    </w:lvl>
    <w:lvl w:ilvl="2">
      <w:start w:val="0"/>
      <w:numFmt w:val="bullet"/>
      <w:lvlText w:val="•"/>
      <w:lvlJc w:val="left"/>
      <w:pPr>
        <w:ind w:left="4783" w:hanging="630"/>
      </w:pPr>
      <w:rPr>
        <w:rFonts w:hint="default"/>
      </w:rPr>
    </w:lvl>
    <w:lvl w:ilvl="3">
      <w:start w:val="0"/>
      <w:numFmt w:val="bullet"/>
      <w:lvlText w:val="•"/>
      <w:lvlJc w:val="left"/>
      <w:pPr>
        <w:ind w:left="6015" w:hanging="630"/>
      </w:pPr>
      <w:rPr>
        <w:rFonts w:hint="default"/>
      </w:rPr>
    </w:lvl>
    <w:lvl w:ilvl="4">
      <w:start w:val="0"/>
      <w:numFmt w:val="bullet"/>
      <w:lvlText w:val="•"/>
      <w:lvlJc w:val="left"/>
      <w:pPr>
        <w:ind w:left="7247" w:hanging="630"/>
      </w:pPr>
      <w:rPr>
        <w:rFonts w:hint="default"/>
      </w:rPr>
    </w:lvl>
    <w:lvl w:ilvl="5">
      <w:start w:val="0"/>
      <w:numFmt w:val="bullet"/>
      <w:lvlText w:val="•"/>
      <w:lvlJc w:val="left"/>
      <w:pPr>
        <w:ind w:left="8479" w:hanging="630"/>
      </w:pPr>
      <w:rPr>
        <w:rFonts w:hint="default"/>
      </w:rPr>
    </w:lvl>
    <w:lvl w:ilvl="6">
      <w:start w:val="0"/>
      <w:numFmt w:val="bullet"/>
      <w:lvlText w:val="•"/>
      <w:lvlJc w:val="left"/>
      <w:pPr>
        <w:ind w:left="9711" w:hanging="630"/>
      </w:pPr>
      <w:rPr>
        <w:rFonts w:hint="default"/>
      </w:rPr>
    </w:lvl>
    <w:lvl w:ilvl="7">
      <w:start w:val="0"/>
      <w:numFmt w:val="bullet"/>
      <w:lvlText w:val="•"/>
      <w:lvlJc w:val="left"/>
      <w:pPr>
        <w:ind w:left="10943" w:hanging="630"/>
      </w:pPr>
      <w:rPr>
        <w:rFonts w:hint="default"/>
      </w:rPr>
    </w:lvl>
    <w:lvl w:ilvl="8">
      <w:start w:val="0"/>
      <w:numFmt w:val="bullet"/>
      <w:lvlText w:val="•"/>
      <w:lvlJc w:val="left"/>
      <w:pPr>
        <w:ind w:left="12175" w:hanging="630"/>
      </w:pPr>
      <w:rPr>
        <w:rFonts w:hint="default"/>
      </w:rPr>
    </w:lvl>
  </w:abstractNum>
  <w:abstractNum w:abstractNumId="7">
    <w:nsid w:val="59434104"/>
    <w:multiLevelType w:val="hybridMultilevel"/>
    <w:tmpl w:val="00000000"/>
    <w:lvl w:ilvl="0">
      <w:start w:val="2"/>
      <w:numFmt w:val="decimal"/>
      <w:lvlText w:val="%1"/>
      <w:lvlJc w:val="left"/>
      <w:pPr>
        <w:ind w:left="1932" w:hanging="792"/>
        <w:jc w:val="left"/>
      </w:pPr>
      <w:rPr>
        <w:rFonts w:hint="default"/>
      </w:rPr>
    </w:lvl>
    <w:lvl w:ilvl="1">
      <w:start w:val="1"/>
      <w:numFmt w:val="decimal"/>
      <w:lvlText w:val="%1.%2"/>
      <w:lvlJc w:val="left"/>
      <w:pPr>
        <w:ind w:left="1932" w:hanging="792"/>
        <w:jc w:val="left"/>
      </w:pPr>
      <w:rPr>
        <w:rFonts w:ascii="楷体" w:eastAsia="楷体" w:hAnsi="楷体" w:cs="楷体" w:hint="default"/>
        <w:b/>
        <w:bCs/>
        <w:w w:val="99"/>
        <w:sz w:val="45"/>
        <w:szCs w:val="45"/>
      </w:rPr>
    </w:lvl>
    <w:lvl w:ilvl="2">
      <w:start w:val="1"/>
      <w:numFmt w:val="decimal"/>
      <w:lvlText w:val="%1.%2.%3"/>
      <w:lvlJc w:val="left"/>
      <w:pPr>
        <w:ind w:left="1140" w:hanging="1102"/>
        <w:jc w:val="left"/>
      </w:pPr>
      <w:rPr>
        <w:rFonts w:ascii="楷体" w:eastAsia="楷体" w:hAnsi="楷体" w:cs="楷体" w:hint="default"/>
        <w:w w:val="100"/>
        <w:sz w:val="36"/>
        <w:szCs w:val="36"/>
      </w:rPr>
    </w:lvl>
    <w:lvl w:ilvl="3">
      <w:start w:val="0"/>
      <w:numFmt w:val="bullet"/>
      <w:lvlText w:val="•"/>
      <w:lvlJc w:val="left"/>
      <w:pPr>
        <w:ind w:left="4762" w:hanging="1102"/>
      </w:pPr>
      <w:rPr>
        <w:rFonts w:hint="default"/>
      </w:rPr>
    </w:lvl>
    <w:lvl w:ilvl="4">
      <w:start w:val="0"/>
      <w:numFmt w:val="bullet"/>
      <w:lvlText w:val="•"/>
      <w:lvlJc w:val="left"/>
      <w:pPr>
        <w:ind w:left="6173" w:hanging="1102"/>
      </w:pPr>
      <w:rPr>
        <w:rFonts w:hint="default"/>
      </w:rPr>
    </w:lvl>
    <w:lvl w:ilvl="5">
      <w:start w:val="0"/>
      <w:numFmt w:val="bullet"/>
      <w:lvlText w:val="•"/>
      <w:lvlJc w:val="left"/>
      <w:pPr>
        <w:ind w:left="7584" w:hanging="1102"/>
      </w:pPr>
      <w:rPr>
        <w:rFonts w:hint="default"/>
      </w:rPr>
    </w:lvl>
    <w:lvl w:ilvl="6">
      <w:start w:val="0"/>
      <w:numFmt w:val="bullet"/>
      <w:lvlText w:val="•"/>
      <w:lvlJc w:val="left"/>
      <w:pPr>
        <w:ind w:left="8995" w:hanging="1102"/>
      </w:pPr>
      <w:rPr>
        <w:rFonts w:hint="default"/>
      </w:rPr>
    </w:lvl>
    <w:lvl w:ilvl="7">
      <w:start w:val="0"/>
      <w:numFmt w:val="bullet"/>
      <w:lvlText w:val="•"/>
      <w:lvlJc w:val="left"/>
      <w:pPr>
        <w:ind w:left="10406" w:hanging="1102"/>
      </w:pPr>
      <w:rPr>
        <w:rFonts w:hint="default"/>
      </w:rPr>
    </w:lvl>
    <w:lvl w:ilvl="8">
      <w:start w:val="0"/>
      <w:numFmt w:val="bullet"/>
      <w:lvlText w:val="•"/>
      <w:lvlJc w:val="left"/>
      <w:pPr>
        <w:ind w:left="11817" w:hanging="1102"/>
      </w:pPr>
      <w:rPr>
        <w:rFonts w:hint="default"/>
      </w:rPr>
    </w:lvl>
  </w:abstractNum>
  <w:abstractNum w:abstractNumId="8">
    <w:nsid w:val="59880181"/>
    <w:multiLevelType w:val="hybridMultilevel"/>
    <w:tmpl w:val="00000000"/>
    <w:lvl w:ilvl="0">
      <w:start w:val="1"/>
      <w:numFmt w:val="decimal"/>
      <w:lvlText w:val="%1"/>
      <w:lvlJc w:val="left"/>
      <w:pPr>
        <w:ind w:left="2047" w:hanging="907"/>
        <w:jc w:val="left"/>
      </w:pPr>
      <w:rPr>
        <w:rFonts w:hint="default"/>
      </w:rPr>
    </w:lvl>
    <w:lvl w:ilvl="1">
      <w:start w:val="1"/>
      <w:numFmt w:val="decimal"/>
      <w:lvlText w:val="%1.%2"/>
      <w:lvlJc w:val="left"/>
      <w:pPr>
        <w:ind w:left="2047" w:hanging="907"/>
        <w:jc w:val="left"/>
      </w:pPr>
      <w:rPr>
        <w:rFonts w:ascii="楷体" w:eastAsia="楷体" w:hAnsi="楷体" w:cs="楷体" w:hint="default"/>
        <w:b/>
        <w:bCs/>
        <w:w w:val="99"/>
        <w:sz w:val="45"/>
        <w:szCs w:val="45"/>
      </w:rPr>
    </w:lvl>
    <w:lvl w:ilvl="2">
      <w:start w:val="0"/>
      <w:numFmt w:val="bullet"/>
      <w:lvlText w:val="•"/>
      <w:lvlJc w:val="left"/>
      <w:pPr>
        <w:ind w:left="4559" w:hanging="907"/>
      </w:pPr>
      <w:rPr>
        <w:rFonts w:hint="default"/>
      </w:rPr>
    </w:lvl>
    <w:lvl w:ilvl="3">
      <w:start w:val="0"/>
      <w:numFmt w:val="bullet"/>
      <w:lvlText w:val="•"/>
      <w:lvlJc w:val="left"/>
      <w:pPr>
        <w:ind w:left="5819" w:hanging="907"/>
      </w:pPr>
      <w:rPr>
        <w:rFonts w:hint="default"/>
      </w:rPr>
    </w:lvl>
    <w:lvl w:ilvl="4">
      <w:start w:val="0"/>
      <w:numFmt w:val="bullet"/>
      <w:lvlText w:val="•"/>
      <w:lvlJc w:val="left"/>
      <w:pPr>
        <w:ind w:left="7079" w:hanging="907"/>
      </w:pPr>
      <w:rPr>
        <w:rFonts w:hint="default"/>
      </w:rPr>
    </w:lvl>
    <w:lvl w:ilvl="5">
      <w:start w:val="0"/>
      <w:numFmt w:val="bullet"/>
      <w:lvlText w:val="•"/>
      <w:lvlJc w:val="left"/>
      <w:pPr>
        <w:ind w:left="8339" w:hanging="907"/>
      </w:pPr>
      <w:rPr>
        <w:rFonts w:hint="default"/>
      </w:rPr>
    </w:lvl>
    <w:lvl w:ilvl="6">
      <w:start w:val="0"/>
      <w:numFmt w:val="bullet"/>
      <w:lvlText w:val="•"/>
      <w:lvlJc w:val="left"/>
      <w:pPr>
        <w:ind w:left="9599" w:hanging="907"/>
      </w:pPr>
      <w:rPr>
        <w:rFonts w:hint="default"/>
      </w:rPr>
    </w:lvl>
    <w:lvl w:ilvl="7">
      <w:start w:val="0"/>
      <w:numFmt w:val="bullet"/>
      <w:lvlText w:val="•"/>
      <w:lvlJc w:val="left"/>
      <w:pPr>
        <w:ind w:left="10859" w:hanging="907"/>
      </w:pPr>
      <w:rPr>
        <w:rFonts w:hint="default"/>
      </w:rPr>
    </w:lvl>
    <w:lvl w:ilvl="8">
      <w:start w:val="0"/>
      <w:numFmt w:val="bullet"/>
      <w:lvlText w:val="•"/>
      <w:lvlJc w:val="left"/>
      <w:pPr>
        <w:ind w:left="12119" w:hanging="907"/>
      </w:pPr>
      <w:rPr>
        <w:rFonts w:hint="default"/>
      </w:rPr>
    </w:lvl>
  </w:abstractNum>
  <w:abstractNum w:abstractNumId="9">
    <w:nsid w:val="626C34E4"/>
    <w:multiLevelType w:val="hybridMultilevel"/>
    <w:tmpl w:val="00000000"/>
    <w:lvl w:ilvl="0">
      <w:start w:val="4"/>
      <w:numFmt w:val="decimal"/>
      <w:lvlText w:val="%1"/>
      <w:lvlJc w:val="left"/>
      <w:pPr>
        <w:ind w:left="2047" w:hanging="907"/>
        <w:jc w:val="left"/>
      </w:pPr>
      <w:rPr>
        <w:rFonts w:hint="default"/>
      </w:rPr>
    </w:lvl>
    <w:lvl w:ilvl="1">
      <w:start w:val="1"/>
      <w:numFmt w:val="decimal"/>
      <w:lvlText w:val="%1.%2"/>
      <w:lvlJc w:val="left"/>
      <w:pPr>
        <w:ind w:left="2047" w:hanging="907"/>
        <w:jc w:val="left"/>
      </w:pPr>
      <w:rPr>
        <w:rFonts w:ascii="楷体" w:eastAsia="楷体" w:hAnsi="楷体" w:cs="楷体" w:hint="default"/>
        <w:b/>
        <w:bCs/>
        <w:w w:val="99"/>
        <w:sz w:val="45"/>
        <w:szCs w:val="45"/>
      </w:rPr>
    </w:lvl>
    <w:lvl w:ilvl="2">
      <w:start w:val="0"/>
      <w:numFmt w:val="bullet"/>
      <w:lvlText w:val="•"/>
      <w:lvlJc w:val="left"/>
      <w:pPr>
        <w:ind w:left="4559" w:hanging="907"/>
      </w:pPr>
      <w:rPr>
        <w:rFonts w:hint="default"/>
      </w:rPr>
    </w:lvl>
    <w:lvl w:ilvl="3">
      <w:start w:val="0"/>
      <w:numFmt w:val="bullet"/>
      <w:lvlText w:val="•"/>
      <w:lvlJc w:val="left"/>
      <w:pPr>
        <w:ind w:left="5819" w:hanging="907"/>
      </w:pPr>
      <w:rPr>
        <w:rFonts w:hint="default"/>
      </w:rPr>
    </w:lvl>
    <w:lvl w:ilvl="4">
      <w:start w:val="0"/>
      <w:numFmt w:val="bullet"/>
      <w:lvlText w:val="•"/>
      <w:lvlJc w:val="left"/>
      <w:pPr>
        <w:ind w:left="7079" w:hanging="907"/>
      </w:pPr>
      <w:rPr>
        <w:rFonts w:hint="default"/>
      </w:rPr>
    </w:lvl>
    <w:lvl w:ilvl="5">
      <w:start w:val="0"/>
      <w:numFmt w:val="bullet"/>
      <w:lvlText w:val="•"/>
      <w:lvlJc w:val="left"/>
      <w:pPr>
        <w:ind w:left="8339" w:hanging="907"/>
      </w:pPr>
      <w:rPr>
        <w:rFonts w:hint="default"/>
      </w:rPr>
    </w:lvl>
    <w:lvl w:ilvl="6">
      <w:start w:val="0"/>
      <w:numFmt w:val="bullet"/>
      <w:lvlText w:val="•"/>
      <w:lvlJc w:val="left"/>
      <w:pPr>
        <w:ind w:left="9599" w:hanging="907"/>
      </w:pPr>
      <w:rPr>
        <w:rFonts w:hint="default"/>
      </w:rPr>
    </w:lvl>
    <w:lvl w:ilvl="7">
      <w:start w:val="0"/>
      <w:numFmt w:val="bullet"/>
      <w:lvlText w:val="•"/>
      <w:lvlJc w:val="left"/>
      <w:pPr>
        <w:ind w:left="10859" w:hanging="907"/>
      </w:pPr>
      <w:rPr>
        <w:rFonts w:hint="default"/>
      </w:rPr>
    </w:lvl>
    <w:lvl w:ilvl="8">
      <w:start w:val="0"/>
      <w:numFmt w:val="bullet"/>
      <w:lvlText w:val="•"/>
      <w:lvlJc w:val="left"/>
      <w:pPr>
        <w:ind w:left="12119" w:hanging="907"/>
      </w:pPr>
      <w:rPr>
        <w:rFonts w:hint="default"/>
      </w:rPr>
    </w:lvl>
  </w:abstractNum>
  <w:abstractNum w:abstractNumId="10">
    <w:nsid w:val="6313D465"/>
    <w:multiLevelType w:val="hybridMultilevel"/>
    <w:tmpl w:val="00000000"/>
    <w:lvl w:ilvl="0">
      <w:start w:val="3"/>
      <w:numFmt w:val="decimal"/>
      <w:lvlText w:val="%1"/>
      <w:lvlJc w:val="left"/>
      <w:pPr>
        <w:ind w:left="1932" w:hanging="792"/>
        <w:jc w:val="left"/>
      </w:pPr>
      <w:rPr>
        <w:rFonts w:hint="default"/>
      </w:rPr>
    </w:lvl>
    <w:lvl w:ilvl="1">
      <w:start w:val="1"/>
      <w:numFmt w:val="decimal"/>
      <w:lvlText w:val="%1.%2"/>
      <w:lvlJc w:val="left"/>
      <w:pPr>
        <w:ind w:left="1932" w:hanging="792"/>
        <w:jc w:val="left"/>
      </w:pPr>
      <w:rPr>
        <w:rFonts w:ascii="楷体" w:eastAsia="楷体" w:hAnsi="楷体" w:cs="楷体" w:hint="default"/>
        <w:b/>
        <w:bCs/>
        <w:w w:val="99"/>
        <w:sz w:val="45"/>
        <w:szCs w:val="45"/>
      </w:rPr>
    </w:lvl>
    <w:lvl w:ilvl="2">
      <w:start w:val="1"/>
      <w:numFmt w:val="decimal"/>
      <w:lvlText w:val="%1.%2.%3"/>
      <w:lvlJc w:val="left"/>
      <w:pPr>
        <w:ind w:left="2296" w:hanging="1156"/>
        <w:jc w:val="left"/>
      </w:pPr>
      <w:rPr>
        <w:rFonts w:ascii="楷体" w:eastAsia="楷体" w:hAnsi="楷体" w:cs="楷体" w:hint="default"/>
        <w:w w:val="100"/>
        <w:sz w:val="42"/>
        <w:szCs w:val="42"/>
      </w:rPr>
    </w:lvl>
    <w:lvl w:ilvl="3">
      <w:start w:val="1"/>
      <w:numFmt w:val="decimal"/>
      <w:lvlText w:val="（%4）"/>
      <w:lvlJc w:val="left"/>
      <w:pPr>
        <w:ind w:left="1140" w:hanging="901"/>
        <w:jc w:val="left"/>
      </w:pPr>
      <w:rPr>
        <w:rFonts w:ascii="楷体" w:eastAsia="楷体" w:hAnsi="楷体" w:cs="楷体" w:hint="default"/>
        <w:w w:val="100"/>
        <w:sz w:val="34"/>
        <w:szCs w:val="34"/>
      </w:rPr>
    </w:lvl>
    <w:lvl w:ilvl="4">
      <w:start w:val="0"/>
      <w:numFmt w:val="bullet"/>
      <w:lvlText w:val="•"/>
      <w:lvlJc w:val="left"/>
      <w:pPr>
        <w:ind w:left="5384" w:hanging="901"/>
      </w:pPr>
      <w:rPr>
        <w:rFonts w:hint="default"/>
      </w:rPr>
    </w:lvl>
    <w:lvl w:ilvl="5">
      <w:start w:val="0"/>
      <w:numFmt w:val="bullet"/>
      <w:lvlText w:val="•"/>
      <w:lvlJc w:val="left"/>
      <w:pPr>
        <w:ind w:left="6927" w:hanging="901"/>
      </w:pPr>
      <w:rPr>
        <w:rFonts w:hint="default"/>
      </w:rPr>
    </w:lvl>
    <w:lvl w:ilvl="6">
      <w:start w:val="0"/>
      <w:numFmt w:val="bullet"/>
      <w:lvlText w:val="•"/>
      <w:lvlJc w:val="left"/>
      <w:pPr>
        <w:ind w:left="8469" w:hanging="901"/>
      </w:pPr>
      <w:rPr>
        <w:rFonts w:hint="default"/>
      </w:rPr>
    </w:lvl>
    <w:lvl w:ilvl="7">
      <w:start w:val="0"/>
      <w:numFmt w:val="bullet"/>
      <w:lvlText w:val="•"/>
      <w:lvlJc w:val="left"/>
      <w:pPr>
        <w:ind w:left="10012" w:hanging="901"/>
      </w:pPr>
      <w:rPr>
        <w:rFonts w:hint="default"/>
      </w:rPr>
    </w:lvl>
    <w:lvl w:ilvl="8">
      <w:start w:val="0"/>
      <w:numFmt w:val="bullet"/>
      <w:lvlText w:val="•"/>
      <w:lvlJc w:val="left"/>
      <w:pPr>
        <w:ind w:left="11554" w:hanging="901"/>
      </w:pPr>
      <w:rPr>
        <w:rFonts w:hint="default"/>
      </w:rPr>
    </w:lvl>
  </w:abstractNum>
  <w:abstractNum w:abstractNumId="11">
    <w:nsid w:val="6A860C7F"/>
    <w:multiLevelType w:val="hybridMultilevel"/>
    <w:tmpl w:val="00000000"/>
    <w:lvl w:ilvl="0">
      <w:start w:val="3"/>
      <w:numFmt w:val="decimal"/>
      <w:lvlText w:val="%1"/>
      <w:lvlJc w:val="left"/>
      <w:pPr>
        <w:ind w:left="2325" w:hanging="555"/>
        <w:jc w:val="left"/>
      </w:pPr>
      <w:rPr>
        <w:rFonts w:hint="default"/>
      </w:rPr>
    </w:lvl>
    <w:lvl w:ilvl="1">
      <w:start w:val="1"/>
      <w:numFmt w:val="decimal"/>
      <w:lvlText w:val="%1.%2"/>
      <w:lvlJc w:val="left"/>
      <w:pPr>
        <w:ind w:left="2325" w:hanging="555"/>
        <w:jc w:val="left"/>
      </w:pPr>
      <w:rPr>
        <w:rFonts w:ascii="楷体" w:eastAsia="楷体" w:hAnsi="楷体" w:cs="楷体" w:hint="default"/>
        <w:w w:val="102"/>
        <w:sz w:val="31"/>
        <w:szCs w:val="31"/>
      </w:rPr>
    </w:lvl>
    <w:lvl w:ilvl="2">
      <w:start w:val="0"/>
      <w:numFmt w:val="bullet"/>
      <w:lvlText w:val="•"/>
      <w:lvlJc w:val="left"/>
      <w:pPr>
        <w:ind w:left="4783" w:hanging="555"/>
      </w:pPr>
      <w:rPr>
        <w:rFonts w:hint="default"/>
      </w:rPr>
    </w:lvl>
    <w:lvl w:ilvl="3">
      <w:start w:val="0"/>
      <w:numFmt w:val="bullet"/>
      <w:lvlText w:val="•"/>
      <w:lvlJc w:val="left"/>
      <w:pPr>
        <w:ind w:left="6015" w:hanging="555"/>
      </w:pPr>
      <w:rPr>
        <w:rFonts w:hint="default"/>
      </w:rPr>
    </w:lvl>
    <w:lvl w:ilvl="4">
      <w:start w:val="0"/>
      <w:numFmt w:val="bullet"/>
      <w:lvlText w:val="•"/>
      <w:lvlJc w:val="left"/>
      <w:pPr>
        <w:ind w:left="7247" w:hanging="555"/>
      </w:pPr>
      <w:rPr>
        <w:rFonts w:hint="default"/>
      </w:rPr>
    </w:lvl>
    <w:lvl w:ilvl="5">
      <w:start w:val="0"/>
      <w:numFmt w:val="bullet"/>
      <w:lvlText w:val="•"/>
      <w:lvlJc w:val="left"/>
      <w:pPr>
        <w:ind w:left="8479" w:hanging="555"/>
      </w:pPr>
      <w:rPr>
        <w:rFonts w:hint="default"/>
      </w:rPr>
    </w:lvl>
    <w:lvl w:ilvl="6">
      <w:start w:val="0"/>
      <w:numFmt w:val="bullet"/>
      <w:lvlText w:val="•"/>
      <w:lvlJc w:val="left"/>
      <w:pPr>
        <w:ind w:left="9711" w:hanging="555"/>
      </w:pPr>
      <w:rPr>
        <w:rFonts w:hint="default"/>
      </w:rPr>
    </w:lvl>
    <w:lvl w:ilvl="7">
      <w:start w:val="0"/>
      <w:numFmt w:val="bullet"/>
      <w:lvlText w:val="•"/>
      <w:lvlJc w:val="left"/>
      <w:pPr>
        <w:ind w:left="10943" w:hanging="555"/>
      </w:pPr>
      <w:rPr>
        <w:rFonts w:hint="default"/>
      </w:rPr>
    </w:lvl>
    <w:lvl w:ilvl="8">
      <w:start w:val="0"/>
      <w:numFmt w:val="bullet"/>
      <w:lvlText w:val="•"/>
      <w:lvlJc w:val="left"/>
      <w:pPr>
        <w:ind w:left="12175" w:hanging="555"/>
      </w:pPr>
      <w:rPr>
        <w:rFonts w:hint="default"/>
      </w:rPr>
    </w:lvl>
  </w:abstractNum>
  <w:abstractNum w:abstractNumId="12">
    <w:nsid w:val="6ECE6956"/>
    <w:multiLevelType w:val="hybridMultilevel"/>
    <w:tmpl w:val="00000000"/>
    <w:lvl w:ilvl="0">
      <w:start w:val="1"/>
      <w:numFmt w:val="decimal"/>
      <w:lvlText w:val="（%1）"/>
      <w:lvlJc w:val="left"/>
      <w:pPr>
        <w:ind w:left="1346" w:hanging="1052"/>
        <w:jc w:val="left"/>
      </w:pPr>
      <w:rPr>
        <w:rFonts w:ascii="楷体" w:eastAsia="楷体" w:hAnsi="楷体" w:cs="楷体" w:hint="default"/>
        <w:spacing w:val="-2"/>
        <w:w w:val="100"/>
        <w:sz w:val="40"/>
        <w:szCs w:val="40"/>
      </w:rPr>
    </w:lvl>
    <w:lvl w:ilvl="1">
      <w:start w:val="0"/>
      <w:numFmt w:val="bullet"/>
      <w:lvlText w:val="•"/>
      <w:lvlJc w:val="left"/>
      <w:pPr>
        <w:ind w:left="2669" w:hanging="1052"/>
      </w:pPr>
      <w:rPr>
        <w:rFonts w:hint="default"/>
      </w:rPr>
    </w:lvl>
    <w:lvl w:ilvl="2">
      <w:start w:val="0"/>
      <w:numFmt w:val="bullet"/>
      <w:lvlText w:val="•"/>
      <w:lvlJc w:val="left"/>
      <w:pPr>
        <w:ind w:left="3999" w:hanging="1052"/>
      </w:pPr>
      <w:rPr>
        <w:rFonts w:hint="default"/>
      </w:rPr>
    </w:lvl>
    <w:lvl w:ilvl="3">
      <w:start w:val="0"/>
      <w:numFmt w:val="bullet"/>
      <w:lvlText w:val="•"/>
      <w:lvlJc w:val="left"/>
      <w:pPr>
        <w:ind w:left="5329" w:hanging="1052"/>
      </w:pPr>
      <w:rPr>
        <w:rFonts w:hint="default"/>
      </w:rPr>
    </w:lvl>
    <w:lvl w:ilvl="4">
      <w:start w:val="0"/>
      <w:numFmt w:val="bullet"/>
      <w:lvlText w:val="•"/>
      <w:lvlJc w:val="left"/>
      <w:pPr>
        <w:ind w:left="6659" w:hanging="1052"/>
      </w:pPr>
      <w:rPr>
        <w:rFonts w:hint="default"/>
      </w:rPr>
    </w:lvl>
    <w:lvl w:ilvl="5">
      <w:start w:val="0"/>
      <w:numFmt w:val="bullet"/>
      <w:lvlText w:val="•"/>
      <w:lvlJc w:val="left"/>
      <w:pPr>
        <w:ind w:left="7989" w:hanging="1052"/>
      </w:pPr>
      <w:rPr>
        <w:rFonts w:hint="default"/>
      </w:rPr>
    </w:lvl>
    <w:lvl w:ilvl="6">
      <w:start w:val="0"/>
      <w:numFmt w:val="bullet"/>
      <w:lvlText w:val="•"/>
      <w:lvlJc w:val="left"/>
      <w:pPr>
        <w:ind w:left="9319" w:hanging="1052"/>
      </w:pPr>
      <w:rPr>
        <w:rFonts w:hint="default"/>
      </w:rPr>
    </w:lvl>
    <w:lvl w:ilvl="7">
      <w:start w:val="0"/>
      <w:numFmt w:val="bullet"/>
      <w:lvlText w:val="•"/>
      <w:lvlJc w:val="left"/>
      <w:pPr>
        <w:ind w:left="10649" w:hanging="1052"/>
      </w:pPr>
      <w:rPr>
        <w:rFonts w:hint="default"/>
      </w:rPr>
    </w:lvl>
    <w:lvl w:ilvl="8">
      <w:start w:val="0"/>
      <w:numFmt w:val="bullet"/>
      <w:lvlText w:val="•"/>
      <w:lvlJc w:val="left"/>
      <w:pPr>
        <w:ind w:left="11979" w:hanging="1052"/>
      </w:pPr>
      <w:rPr>
        <w:rFonts w:hint="default"/>
      </w:rPr>
    </w:lvl>
  </w:abstractNum>
  <w:abstractNum w:abstractNumId="13">
    <w:nsid w:val="73E85EF3"/>
    <w:multiLevelType w:val="hybridMultilevel"/>
    <w:tmpl w:val="00000000"/>
    <w:lvl w:ilvl="0">
      <w:start w:val="5"/>
      <w:numFmt w:val="decimal"/>
      <w:lvlText w:val="%1"/>
      <w:lvlJc w:val="left"/>
      <w:pPr>
        <w:ind w:left="1821" w:hanging="681"/>
        <w:jc w:val="left"/>
      </w:pPr>
      <w:rPr>
        <w:rFonts w:hint="default"/>
      </w:rPr>
    </w:lvl>
    <w:lvl w:ilvl="1">
      <w:start w:val="1"/>
      <w:numFmt w:val="decimal"/>
      <w:lvlText w:val="%1.%2"/>
      <w:lvlJc w:val="left"/>
      <w:pPr>
        <w:ind w:left="1821" w:hanging="681"/>
        <w:jc w:val="right"/>
      </w:pPr>
      <w:rPr>
        <w:rFonts w:ascii="楷体" w:eastAsia="楷体" w:hAnsi="楷体" w:cs="楷体" w:hint="default"/>
        <w:b/>
        <w:bCs/>
        <w:w w:val="99"/>
        <w:sz w:val="43"/>
        <w:szCs w:val="43"/>
      </w:rPr>
    </w:lvl>
    <w:lvl w:ilvl="2">
      <w:start w:val="0"/>
      <w:numFmt w:val="bullet"/>
      <w:lvlText w:val="•"/>
      <w:lvlJc w:val="left"/>
      <w:pPr>
        <w:ind w:left="4383" w:hanging="681"/>
      </w:pPr>
      <w:rPr>
        <w:rFonts w:hint="default"/>
      </w:rPr>
    </w:lvl>
    <w:lvl w:ilvl="3">
      <w:start w:val="0"/>
      <w:numFmt w:val="bullet"/>
      <w:lvlText w:val="•"/>
      <w:lvlJc w:val="left"/>
      <w:pPr>
        <w:ind w:left="5665" w:hanging="681"/>
      </w:pPr>
      <w:rPr>
        <w:rFonts w:hint="default"/>
      </w:rPr>
    </w:lvl>
    <w:lvl w:ilvl="4">
      <w:start w:val="0"/>
      <w:numFmt w:val="bullet"/>
      <w:lvlText w:val="•"/>
      <w:lvlJc w:val="left"/>
      <w:pPr>
        <w:ind w:left="6947" w:hanging="681"/>
      </w:pPr>
      <w:rPr>
        <w:rFonts w:hint="default"/>
      </w:rPr>
    </w:lvl>
    <w:lvl w:ilvl="5">
      <w:start w:val="0"/>
      <w:numFmt w:val="bullet"/>
      <w:lvlText w:val="•"/>
      <w:lvlJc w:val="left"/>
      <w:pPr>
        <w:ind w:left="8229" w:hanging="681"/>
      </w:pPr>
      <w:rPr>
        <w:rFonts w:hint="default"/>
      </w:rPr>
    </w:lvl>
    <w:lvl w:ilvl="6">
      <w:start w:val="0"/>
      <w:numFmt w:val="bullet"/>
      <w:lvlText w:val="•"/>
      <w:lvlJc w:val="left"/>
      <w:pPr>
        <w:ind w:left="9511" w:hanging="681"/>
      </w:pPr>
      <w:rPr>
        <w:rFonts w:hint="default"/>
      </w:rPr>
    </w:lvl>
    <w:lvl w:ilvl="7">
      <w:start w:val="0"/>
      <w:numFmt w:val="bullet"/>
      <w:lvlText w:val="•"/>
      <w:lvlJc w:val="left"/>
      <w:pPr>
        <w:ind w:left="10793" w:hanging="681"/>
      </w:pPr>
      <w:rPr>
        <w:rFonts w:hint="default"/>
      </w:rPr>
    </w:lvl>
    <w:lvl w:ilvl="8">
      <w:start w:val="0"/>
      <w:numFmt w:val="bullet"/>
      <w:lvlText w:val="•"/>
      <w:lvlJc w:val="left"/>
      <w:pPr>
        <w:ind w:left="12075" w:hanging="681"/>
      </w:pPr>
      <w:rPr>
        <w:rFonts w:hint="default"/>
      </w:rPr>
    </w:lvl>
  </w:abstractNum>
  <w:abstractNum w:abstractNumId="14">
    <w:nsid w:val="776FA4A8"/>
    <w:multiLevelType w:val="hybridMultilevel"/>
    <w:tmpl w:val="00000000"/>
    <w:lvl w:ilvl="0">
      <w:start w:val="1"/>
      <w:numFmt w:val="decimal"/>
      <w:lvlText w:val="%1"/>
      <w:lvlJc w:val="left"/>
      <w:pPr>
        <w:ind w:left="2047" w:hanging="907"/>
        <w:jc w:val="left"/>
      </w:pPr>
      <w:rPr>
        <w:rFonts w:hint="default"/>
      </w:rPr>
    </w:lvl>
    <w:lvl w:ilvl="1">
      <w:start w:val="1"/>
      <w:numFmt w:val="decimal"/>
      <w:lvlText w:val="%1.%2"/>
      <w:lvlJc w:val="left"/>
      <w:pPr>
        <w:ind w:left="2047" w:hanging="907"/>
        <w:jc w:val="left"/>
      </w:pPr>
      <w:rPr>
        <w:rFonts w:ascii="楷体" w:eastAsia="楷体" w:hAnsi="楷体" w:cs="楷体" w:hint="default"/>
        <w:b/>
        <w:bCs/>
        <w:w w:val="99"/>
        <w:sz w:val="45"/>
        <w:szCs w:val="45"/>
      </w:rPr>
    </w:lvl>
    <w:lvl w:ilvl="2">
      <w:start w:val="0"/>
      <w:numFmt w:val="bullet"/>
      <w:lvlText w:val="•"/>
      <w:lvlJc w:val="left"/>
      <w:pPr>
        <w:ind w:left="4559" w:hanging="907"/>
      </w:pPr>
      <w:rPr>
        <w:rFonts w:hint="default"/>
      </w:rPr>
    </w:lvl>
    <w:lvl w:ilvl="3">
      <w:start w:val="0"/>
      <w:numFmt w:val="bullet"/>
      <w:lvlText w:val="•"/>
      <w:lvlJc w:val="left"/>
      <w:pPr>
        <w:ind w:left="5819" w:hanging="907"/>
      </w:pPr>
      <w:rPr>
        <w:rFonts w:hint="default"/>
      </w:rPr>
    </w:lvl>
    <w:lvl w:ilvl="4">
      <w:start w:val="0"/>
      <w:numFmt w:val="bullet"/>
      <w:lvlText w:val="•"/>
      <w:lvlJc w:val="left"/>
      <w:pPr>
        <w:ind w:left="7079" w:hanging="907"/>
      </w:pPr>
      <w:rPr>
        <w:rFonts w:hint="default"/>
      </w:rPr>
    </w:lvl>
    <w:lvl w:ilvl="5">
      <w:start w:val="0"/>
      <w:numFmt w:val="bullet"/>
      <w:lvlText w:val="•"/>
      <w:lvlJc w:val="left"/>
      <w:pPr>
        <w:ind w:left="8339" w:hanging="907"/>
      </w:pPr>
      <w:rPr>
        <w:rFonts w:hint="default"/>
      </w:rPr>
    </w:lvl>
    <w:lvl w:ilvl="6">
      <w:start w:val="0"/>
      <w:numFmt w:val="bullet"/>
      <w:lvlText w:val="•"/>
      <w:lvlJc w:val="left"/>
      <w:pPr>
        <w:ind w:left="9599" w:hanging="907"/>
      </w:pPr>
      <w:rPr>
        <w:rFonts w:hint="default"/>
      </w:rPr>
    </w:lvl>
    <w:lvl w:ilvl="7">
      <w:start w:val="0"/>
      <w:numFmt w:val="bullet"/>
      <w:lvlText w:val="•"/>
      <w:lvlJc w:val="left"/>
      <w:pPr>
        <w:ind w:left="10859" w:hanging="907"/>
      </w:pPr>
      <w:rPr>
        <w:rFonts w:hint="default"/>
      </w:rPr>
    </w:lvl>
    <w:lvl w:ilvl="8">
      <w:start w:val="0"/>
      <w:numFmt w:val="bullet"/>
      <w:lvlText w:val="•"/>
      <w:lvlJc w:val="left"/>
      <w:pPr>
        <w:ind w:left="12119" w:hanging="907"/>
      </w:pPr>
      <w:rPr>
        <w:rFonts w:hint="default"/>
      </w:rPr>
    </w:lvl>
  </w:abstractNum>
  <w:num w:numId="1">
    <w:abstractNumId w:val="1"/>
  </w:num>
  <w:num w:numId="2">
    <w:abstractNumId w:val="4"/>
  </w:num>
  <w:num w:numId="3">
    <w:abstractNumId w:val="13"/>
  </w:num>
  <w:num w:numId="4">
    <w:abstractNumId w:val="12"/>
  </w:num>
  <w:num w:numId="5">
    <w:abstractNumId w:val="9"/>
  </w:num>
  <w:num w:numId="6">
    <w:abstractNumId w:val="0"/>
  </w:num>
  <w:num w:numId="7">
    <w:abstractNumId w:val="10"/>
  </w:num>
  <w:num w:numId="8">
    <w:abstractNumId w:val="7"/>
  </w:num>
  <w:num w:numId="9">
    <w:abstractNumId w:val="14"/>
  </w:num>
  <w:num w:numId="10">
    <w:abstractNumId w:val="11"/>
  </w:num>
  <w:num w:numId="11">
    <w:abstractNumId w:val="3"/>
  </w:num>
  <w:num w:numId="12">
    <w:abstractNumId w:val="2"/>
  </w:num>
  <w:num w:numId="13">
    <w:abstractNumId w:val="6"/>
  </w:num>
  <w:num w:numId="14">
    <w:abstractNumId w:val="8"/>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163"/>
      <w:ind w:left="321" w:right="229"/>
      <w:jc w:val="center"/>
      <w:outlineLvl w:val="0"/>
    </w:pPr>
    <w:rPr>
      <w:rFonts w:ascii="楷体" w:eastAsia="楷体" w:hAnsi="楷体" w:cs="楷体"/>
      <w:b/>
      <w:bCs/>
      <w:sz w:val="54"/>
      <w:szCs w:val="54"/>
    </w:rPr>
  </w:style>
  <w:style w:type="paragraph" w:styleId="Heading2">
    <w:name w:val="heading 2"/>
    <w:basedOn w:val="Normal"/>
    <w:uiPriority w:val="1"/>
    <w:qFormat/>
    <w:pPr>
      <w:ind w:left="1932" w:hanging="793"/>
      <w:outlineLvl w:val="1"/>
    </w:pPr>
    <w:rPr>
      <w:rFonts w:ascii="楷体" w:eastAsia="楷体" w:hAnsi="楷体" w:cs="楷体"/>
      <w:b/>
      <w:bCs/>
      <w:sz w:val="45"/>
      <w:szCs w:val="45"/>
    </w:rPr>
  </w:style>
  <w:style w:type="paragraph" w:styleId="Heading3">
    <w:name w:val="heading 3"/>
    <w:basedOn w:val="Normal"/>
    <w:uiPriority w:val="1"/>
    <w:qFormat/>
    <w:pPr>
      <w:spacing w:before="279"/>
      <w:ind w:left="2196" w:hanging="1057"/>
      <w:outlineLvl w:val="2"/>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0"/>
      <w:ind w:left="1140"/>
    </w:pPr>
    <w:rPr>
      <w:rFonts w:ascii="楷体" w:eastAsia="楷体" w:hAnsi="楷体" w:cs="楷体"/>
      <w:sz w:val="31"/>
      <w:szCs w:val="31"/>
    </w:rPr>
  </w:style>
  <w:style w:type="paragraph" w:styleId="TOC2">
    <w:name w:val="toc 2"/>
    <w:basedOn w:val="Normal"/>
    <w:uiPriority w:val="1"/>
    <w:qFormat/>
    <w:pPr>
      <w:spacing w:before="71"/>
      <w:ind w:left="2314" w:hanging="631"/>
    </w:pPr>
    <w:rPr>
      <w:rFonts w:ascii="楷体" w:eastAsia="楷体" w:hAnsi="楷体" w:cs="楷体"/>
      <w:sz w:val="31"/>
      <w:szCs w:val="31"/>
    </w:rPr>
  </w:style>
  <w:style w:type="paragraph" w:styleId="TOC3">
    <w:name w:val="toc 3"/>
    <w:basedOn w:val="Normal"/>
    <w:uiPriority w:val="1"/>
    <w:qFormat/>
    <w:pPr>
      <w:spacing w:before="71"/>
      <w:ind w:left="2325" w:hanging="555"/>
    </w:pPr>
    <w:rPr>
      <w:rFonts w:ascii="楷体" w:eastAsia="楷体" w:hAnsi="楷体" w:cs="楷体"/>
      <w:sz w:val="31"/>
      <w:szCs w:val="31"/>
    </w:rPr>
  </w:style>
  <w:style w:type="paragraph" w:styleId="BodyText">
    <w:name w:val="Body Text"/>
    <w:basedOn w:val="Normal"/>
    <w:uiPriority w:val="1"/>
    <w:qFormat/>
    <w:rPr>
      <w:rFonts w:ascii="楷体" w:eastAsia="楷体" w:hAnsi="楷体" w:cs="楷体"/>
      <w:sz w:val="36"/>
      <w:szCs w:val="36"/>
    </w:rPr>
  </w:style>
  <w:style w:type="paragraph" w:styleId="Title">
    <w:name w:val="Title"/>
    <w:basedOn w:val="Normal"/>
    <w:uiPriority w:val="1"/>
    <w:qFormat/>
    <w:pPr>
      <w:ind w:left="6555" w:right="6641"/>
      <w:jc w:val="both"/>
    </w:pPr>
    <w:rPr>
      <w:rFonts w:ascii="楷体" w:eastAsia="楷体" w:hAnsi="楷体" w:cs="楷体"/>
      <w:b/>
      <w:bCs/>
      <w:sz w:val="144"/>
      <w:szCs w:val="144"/>
    </w:rPr>
  </w:style>
  <w:style w:type="paragraph" w:styleId="ListParagraph">
    <w:name w:val="List Paragraph"/>
    <w:basedOn w:val="Normal"/>
    <w:uiPriority w:val="1"/>
    <w:qFormat/>
    <w:pPr>
      <w:ind w:left="1140" w:hanging="473"/>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3.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yperlink" Target="https://d.book118.com/486052220145010031" TargetMode="Externa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2023-12-18T17:12:32Z</dcterms:created>
  <dcterms:modified xsi:type="dcterms:W3CDTF">2023-12-18T17:12:32Z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LastSaved">
    <vt:filetime>2023-12-18T00:00:00Z</vt:filetime>
  </property>
</Properties>
</file>