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1"/>
        <w:ind w:left="3169"/>
      </w:pPr>
      <w:r>
        <w:t>周界防盗报警系统安装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4"/>
        </w:rPr>
      </w:pPr>
    </w:p>
    <w:p>
      <w:pPr>
        <w:spacing w:before="6"/>
        <w:ind w:left="837" w:right="0" w:firstLine="0"/>
        <w:jc w:val="left"/>
        <w:rPr>
          <w:sz w:val="66"/>
        </w:rPr>
      </w:pPr>
      <w:r>
        <w:rPr>
          <w:sz w:val="66"/>
        </w:rPr>
        <w:t>综述：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5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1711579</wp:posOffset>
            </wp:positionH>
            <wp:positionV relativeFrom="paragraph">
              <wp:posOffset>232806</wp:posOffset>
            </wp:positionV>
            <wp:extent cx="7883563" cy="3125724"/>
            <wp:effectExtent l="0" t="0" r="0" b="0"/>
            <wp:wrapTopAndBottom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jpe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83563" cy="31257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Heading1"/>
        <w:spacing w:before="319"/>
        <w:ind w:left="837"/>
      </w:pPr>
      <w:r>
        <w:t>一、管路敷设</w:t>
      </w:r>
    </w:p>
    <w:p>
      <w:pPr>
        <w:pStyle w:val="ListParagraph"/>
        <w:numPr>
          <w:ilvl w:val="0"/>
          <w:numId w:val="10"/>
        </w:numPr>
        <w:tabs>
          <w:tab w:val="left" w:pos="2098"/>
        </w:tabs>
        <w:spacing w:before="650" w:after="0" w:line="240" w:lineRule="auto"/>
        <w:ind w:left="2098" w:right="0" w:hanging="541"/>
        <w:jc w:val="left"/>
        <w:rPr>
          <w:sz w:val="36"/>
        </w:rPr>
      </w:pPr>
      <w:r>
        <w:rPr>
          <w:spacing w:val="-13"/>
          <w:sz w:val="36"/>
        </w:rPr>
        <w:t xml:space="preserve">暗配管用硬质 </w:t>
      </w:r>
      <w:r>
        <w:rPr>
          <w:sz w:val="36"/>
        </w:rPr>
        <w:t>PVC</w:t>
      </w:r>
      <w:r>
        <w:rPr>
          <w:spacing w:val="-10"/>
          <w:sz w:val="36"/>
        </w:rPr>
        <w:t xml:space="preserve"> 管管材明配选用金属管。</w:t>
      </w:r>
    </w:p>
    <w:p>
      <w:pPr>
        <w:pStyle w:val="BodyText"/>
        <w:spacing w:before="12"/>
        <w:rPr>
          <w:sz w:val="31"/>
        </w:rPr>
      </w:pPr>
    </w:p>
    <w:p>
      <w:pPr>
        <w:pStyle w:val="ListParagraph"/>
        <w:numPr>
          <w:ilvl w:val="0"/>
          <w:numId w:val="10"/>
        </w:numPr>
        <w:tabs>
          <w:tab w:val="left" w:pos="2098"/>
        </w:tabs>
        <w:spacing w:before="0" w:after="0" w:line="453" w:lineRule="auto"/>
        <w:ind w:left="837" w:right="4180" w:firstLine="719"/>
        <w:jc w:val="left"/>
        <w:rPr>
          <w:sz w:val="36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2225929</wp:posOffset>
            </wp:positionH>
            <wp:positionV relativeFrom="paragraph">
              <wp:posOffset>1483995</wp:posOffset>
            </wp:positionV>
            <wp:extent cx="7854011" cy="4901053"/>
            <wp:effectExtent l="0" t="0" r="0" b="0"/>
            <wp:wrapNone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jpe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54011" cy="49010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  <w:sz w:val="36"/>
        </w:rPr>
        <w:t>暗配管管路宜沿最短的路由敷设，尽量减少弯曲。在相邻拉线</w:t>
      </w:r>
      <w:r>
        <w:rPr>
          <w:spacing w:val="-13"/>
          <w:sz w:val="36"/>
        </w:rPr>
        <w:t xml:space="preserve">盒之间，禁止 </w:t>
      </w:r>
      <w:r>
        <w:rPr>
          <w:sz w:val="36"/>
        </w:rPr>
        <w:t>S</w:t>
      </w:r>
      <w:r>
        <w:rPr>
          <w:spacing w:val="-45"/>
          <w:sz w:val="36"/>
        </w:rPr>
        <w:t xml:space="preserve"> 弯或 </w:t>
      </w:r>
      <w:r>
        <w:rPr>
          <w:sz w:val="36"/>
        </w:rPr>
        <w:t>U</w:t>
      </w:r>
      <w:r>
        <w:rPr>
          <w:spacing w:val="-10"/>
          <w:sz w:val="36"/>
        </w:rPr>
        <w:t xml:space="preserve"> 形弯。埋入墙体或混凝土构件内的暗配管，其</w:t>
      </w:r>
      <w:r>
        <w:rPr>
          <w:spacing w:val="-21"/>
          <w:sz w:val="36"/>
        </w:rPr>
        <w:t xml:space="preserve">保护层不应小于 </w:t>
      </w:r>
      <w:r>
        <w:rPr>
          <w:sz w:val="36"/>
        </w:rPr>
        <w:t>15mm。</w:t>
      </w:r>
    </w:p>
    <w:p>
      <w:pPr>
        <w:spacing w:after="0" w:line="453" w:lineRule="auto"/>
        <w:jc w:val="left"/>
        <w:rPr>
          <w:sz w:val="36"/>
        </w:rPr>
        <w:sectPr>
          <w:headerReference w:type="even" r:id="rId6"/>
          <w:headerReference w:type="default" r:id="rId7"/>
          <w:footerReference w:type="default" r:id="rId8"/>
          <w:type w:val="continuous"/>
          <w:pgSz w:w="17860" w:h="25260"/>
          <w:pgMar w:top="1400" w:right="0" w:bottom="2020" w:left="1860" w:header="1084" w:footer="1831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8"/>
        </w:rPr>
      </w:pPr>
    </w:p>
    <w:p>
      <w:pPr>
        <w:spacing w:before="62"/>
        <w:ind w:left="300" w:right="0" w:firstLine="0"/>
        <w:jc w:val="left"/>
        <w:rPr>
          <w:sz w:val="27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2225929</wp:posOffset>
            </wp:positionH>
            <wp:positionV relativeFrom="paragraph">
              <wp:posOffset>-7717026</wp:posOffset>
            </wp:positionV>
            <wp:extent cx="9114916" cy="9082276"/>
            <wp:effectExtent l="0" t="0" r="0" b="0"/>
            <wp:wrapNone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jpe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14916" cy="90822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7"/>
        </w:rPr>
        <w:t>文档大全</w:t>
      </w:r>
    </w:p>
    <w:p>
      <w:pPr>
        <w:spacing w:after="0"/>
        <w:jc w:val="left"/>
        <w:rPr>
          <w:sz w:val="27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pgSz w:w="17860" w:h="25260"/>
          <w:pgMar w:top="1400" w:right="0" w:bottom="280" w:left="1860" w:header="1084" w:footer="0"/>
          <w:pgNumType w:start="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Heading2"/>
        <w:spacing w:before="195"/>
      </w:pPr>
      <w:r>
        <w:t>二、穿线及线标对应</w:t>
      </w:r>
    </w:p>
    <w:p>
      <w:pPr>
        <w:pStyle w:val="BodyText"/>
        <w:spacing w:before="1"/>
        <w:rPr>
          <w:sz w:val="40"/>
        </w:rPr>
      </w:pPr>
    </w:p>
    <w:p>
      <w:pPr>
        <w:pStyle w:val="ListParagraph"/>
        <w:numPr>
          <w:ilvl w:val="0"/>
          <w:numId w:val="9"/>
        </w:numPr>
        <w:tabs>
          <w:tab w:val="left" w:pos="2098"/>
        </w:tabs>
        <w:spacing w:before="0" w:after="0" w:line="451" w:lineRule="auto"/>
        <w:ind w:left="837" w:right="2740" w:firstLine="719"/>
        <w:jc w:val="left"/>
        <w:rPr>
          <w:sz w:val="36"/>
        </w:rPr>
      </w:pPr>
      <w:r>
        <w:rPr>
          <w:spacing w:val="-1"/>
          <w:sz w:val="36"/>
        </w:rPr>
        <w:t>布放线缆前应对其进行绝缘测试，电线、电缆线间和线对地间绝缘电阻</w:t>
      </w:r>
      <w:r>
        <w:rPr>
          <w:spacing w:val="-16"/>
          <w:sz w:val="36"/>
        </w:rPr>
        <w:t xml:space="preserve">值必须大于 </w:t>
      </w:r>
      <w:r>
        <w:rPr>
          <w:sz w:val="36"/>
        </w:rPr>
        <w:t>0.5M</w:t>
      </w:r>
      <w:r>
        <w:rPr>
          <w:rFonts w:ascii="幼圆" w:eastAsia="幼圆" w:hAnsi="幼圆" w:hint="eastAsia"/>
          <w:sz w:val="36"/>
        </w:rPr>
        <w:t>Ω</w:t>
      </w:r>
      <w:r>
        <w:rPr>
          <w:sz w:val="36"/>
        </w:rPr>
        <w:t>，测试合格后方可敷设。</w:t>
      </w:r>
    </w:p>
    <w:p>
      <w:pPr>
        <w:pStyle w:val="ListParagraph"/>
        <w:numPr>
          <w:ilvl w:val="0"/>
          <w:numId w:val="9"/>
        </w:numPr>
        <w:tabs>
          <w:tab w:val="left" w:pos="2098"/>
        </w:tabs>
        <w:spacing w:before="5" w:after="0" w:line="240" w:lineRule="auto"/>
        <w:ind w:left="2098" w:right="0" w:hanging="541"/>
        <w:jc w:val="left"/>
        <w:rPr>
          <w:sz w:val="36"/>
        </w:rPr>
      </w:pPr>
      <w:r>
        <w:rPr>
          <w:spacing w:val="-5"/>
          <w:sz w:val="36"/>
        </w:rPr>
        <w:t>布放线缆应排列整齐，不拧绞，尽量减少交叉，交叉处粗线在下,细线在</w:t>
      </w:r>
    </w:p>
    <w:p>
      <w:pPr>
        <w:pStyle w:val="BodyText"/>
        <w:rPr>
          <w:sz w:val="32"/>
        </w:rPr>
      </w:pPr>
    </w:p>
    <w:p>
      <w:pPr>
        <w:pStyle w:val="BodyText"/>
        <w:ind w:left="837"/>
      </w:pPr>
      <w:r>
        <w:t>上.</w:t>
      </w:r>
    </w:p>
    <w:p>
      <w:pPr>
        <w:pStyle w:val="BodyText"/>
        <w:spacing w:before="9"/>
        <w:rPr>
          <w:sz w:val="31"/>
        </w:rPr>
      </w:pPr>
    </w:p>
    <w:p>
      <w:pPr>
        <w:pStyle w:val="ListParagraph"/>
        <w:numPr>
          <w:ilvl w:val="0"/>
          <w:numId w:val="9"/>
        </w:numPr>
        <w:tabs>
          <w:tab w:val="left" w:pos="2098"/>
        </w:tabs>
        <w:spacing w:before="0" w:after="0" w:line="240" w:lineRule="auto"/>
        <w:ind w:left="2098" w:right="0" w:hanging="541"/>
        <w:jc w:val="left"/>
        <w:rPr>
          <w:sz w:val="36"/>
        </w:rPr>
      </w:pPr>
      <w:r>
        <w:rPr>
          <w:sz w:val="36"/>
        </w:rPr>
        <w:t>管内线缆不得有接头，接头必须在盒(箱)处连接。</w:t>
      </w:r>
    </w:p>
    <w:p>
      <w:pPr>
        <w:pStyle w:val="BodyText"/>
        <w:spacing w:before="1"/>
        <w:rPr>
          <w:sz w:val="32"/>
        </w:rPr>
      </w:pPr>
    </w:p>
    <w:p>
      <w:pPr>
        <w:pStyle w:val="ListParagraph"/>
        <w:numPr>
          <w:ilvl w:val="0"/>
          <w:numId w:val="9"/>
        </w:numPr>
        <w:tabs>
          <w:tab w:val="left" w:pos="2098"/>
        </w:tabs>
        <w:spacing w:before="0" w:after="0" w:line="240" w:lineRule="auto"/>
        <w:ind w:left="2098" w:right="0" w:hanging="541"/>
        <w:jc w:val="left"/>
        <w:rPr>
          <w:sz w:val="36"/>
        </w:rPr>
      </w:pPr>
      <w:r>
        <w:rPr>
          <w:sz w:val="36"/>
        </w:rPr>
        <w:t>所敷设的线缆两端必须做好标记。</w:t>
      </w:r>
    </w:p>
    <w:p>
      <w:pPr>
        <w:pStyle w:val="BodyText"/>
        <w:rPr>
          <w:sz w:val="32"/>
        </w:rPr>
      </w:pPr>
    </w:p>
    <w:p>
      <w:pPr>
        <w:pStyle w:val="ListParagraph"/>
        <w:numPr>
          <w:ilvl w:val="0"/>
          <w:numId w:val="9"/>
        </w:numPr>
        <w:tabs>
          <w:tab w:val="left" w:pos="2098"/>
        </w:tabs>
        <w:spacing w:before="0" w:after="0" w:line="451" w:lineRule="auto"/>
        <w:ind w:left="837" w:right="2740" w:firstLine="719"/>
        <w:jc w:val="left"/>
        <w:rPr>
          <w:sz w:val="36"/>
        </w:rPr>
      </w:pPr>
      <w:r>
        <w:rPr>
          <w:spacing w:val="-1"/>
          <w:sz w:val="36"/>
        </w:rPr>
        <w:t>线管不能直接进入设备接线盒内时，线管出线口与设备接线之间，必须</w:t>
      </w:r>
      <w:r>
        <w:rPr>
          <w:spacing w:val="-5"/>
          <w:sz w:val="36"/>
        </w:rPr>
        <w:t xml:space="preserve">采用金属软管过渡连接，软管长度不得超过 </w:t>
      </w:r>
      <w:r>
        <w:rPr>
          <w:sz w:val="36"/>
        </w:rPr>
        <w:t>1m，并不得将线缆直接裸露。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7"/>
        </w:rPr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1619270</wp:posOffset>
            </wp:positionH>
            <wp:positionV relativeFrom="paragraph">
              <wp:posOffset>250404</wp:posOffset>
            </wp:positionV>
            <wp:extent cx="7774183" cy="5717286"/>
            <wp:effectExtent l="0" t="0" r="0" b="0"/>
            <wp:wrapTopAndBottom/>
            <wp:docPr id="15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7.jpe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4183" cy="57172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7"/>
        </w:rPr>
        <w:sectPr>
          <w:headerReference w:type="even" r:id="rId15"/>
          <w:headerReference w:type="default" r:id="rId16"/>
          <w:footerReference w:type="even" r:id="rId17"/>
          <w:footerReference w:type="default" r:id="rId18"/>
          <w:pgSz w:w="17860" w:h="25260"/>
          <w:pgMar w:top="1400" w:right="0" w:bottom="2020" w:left="1860" w:header="1084" w:footer="1831"/>
          <w:pgNumType w:start="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8"/>
        </w:rPr>
      </w:pPr>
    </w:p>
    <w:p>
      <w:pPr>
        <w:spacing w:before="62"/>
        <w:ind w:left="300" w:right="0" w:firstLine="0"/>
        <w:jc w:val="left"/>
        <w:rPr>
          <w:sz w:val="27"/>
        </w:rPr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2057400</wp:posOffset>
            </wp:positionH>
            <wp:positionV relativeFrom="paragraph">
              <wp:posOffset>-8151355</wp:posOffset>
            </wp:positionV>
            <wp:extent cx="9283445" cy="9606394"/>
            <wp:effectExtent l="0" t="0" r="0" b="0"/>
            <wp:wrapNone/>
            <wp:docPr id="17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8.jpe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83445" cy="96063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7"/>
        </w:rPr>
        <w:t>文档大全</w:t>
      </w:r>
    </w:p>
    <w:p>
      <w:pPr>
        <w:spacing w:after="0"/>
        <w:jc w:val="left"/>
        <w:rPr>
          <w:sz w:val="27"/>
        </w:rPr>
        <w:sectPr>
          <w:headerReference w:type="even" r:id="rId20"/>
          <w:headerReference w:type="default" r:id="rId21"/>
          <w:footerReference w:type="even" r:id="rId22"/>
          <w:footerReference w:type="default" r:id="rId23"/>
          <w:pgSz w:w="17860" w:h="25260"/>
          <w:pgMar w:top="1400" w:right="0" w:bottom="280" w:left="1860" w:header="1084" w:footer="0"/>
          <w:pgNumType w:start="4"/>
          <w:cols w:space="708"/>
        </w:sectPr>
      </w:pPr>
    </w:p>
    <w:p>
      <w:pPr>
        <w:pStyle w:val="BodyText"/>
        <w:spacing w:line="146" w:lineRule="exact"/>
        <w:ind w:left="680"/>
        <w:rPr>
          <w:sz w:val="14"/>
        </w:rPr>
      </w:pPr>
      <w:r>
        <w:pict>
          <v:group id="_x0000_s1025" style="width:893pt;height:743pt;margin-top:386pt;margin-left:0;mso-position-horizontal-relative:page;mso-position-vertical-relative:page;position:absolute;z-index:-251653120" coordorigin="0,7720" coordsize="17860,148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7860;height:14860;position:absolute;top:7720" stroked="f">
              <v:imagedata r:id="rId24" o:title=""/>
            </v:shape>
            <v:shape id="_x0000_s1027" type="#_x0000_t75" style="width:12465;height:9214;left:3235;position:absolute;top:13194" stroked="f">
              <v:imagedata r:id="rId25" o:title=""/>
            </v:shape>
          </v:group>
        </w:pict>
      </w:r>
      <w:r>
        <w:rPr>
          <w:position w:val="-2"/>
          <w:sz w:val="14"/>
        </w:rPr>
        <w:drawing>
          <wp:inline distT="0" distB="0" distL="0" distR="0">
            <wp:extent cx="8135792" cy="92963"/>
            <wp:effectExtent l="0" t="0" r="0" b="0"/>
            <wp:docPr id="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1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35792" cy="929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7"/>
        </w:rPr>
      </w:pPr>
    </w:p>
    <w:p>
      <w:pPr>
        <w:spacing w:before="6"/>
        <w:ind w:left="2158" w:right="0" w:firstLine="0"/>
        <w:jc w:val="left"/>
        <w:rPr>
          <w:sz w:val="66"/>
        </w:rPr>
      </w:pPr>
      <w:r>
        <w:rPr>
          <w:sz w:val="66"/>
        </w:rPr>
        <w:t>三、红外对射探头安装及初调</w:t>
      </w:r>
    </w:p>
    <w:p>
      <w:pPr>
        <w:pStyle w:val="ListParagraph"/>
        <w:numPr>
          <w:ilvl w:val="0"/>
          <w:numId w:val="8"/>
        </w:numPr>
        <w:tabs>
          <w:tab w:val="left" w:pos="2098"/>
        </w:tabs>
        <w:spacing w:before="579" w:after="0" w:line="453" w:lineRule="auto"/>
        <w:ind w:left="837" w:right="2646" w:firstLine="719"/>
        <w:jc w:val="both"/>
        <w:rPr>
          <w:sz w:val="36"/>
        </w:rPr>
      </w:pPr>
      <w:r>
        <w:rPr>
          <w:sz w:val="36"/>
        </w:rPr>
        <w:t>将不锈钢支架固定于墙上，将预留在盒内的导线从管内穿出用剥线钳剥</w:t>
      </w:r>
      <w:r>
        <w:rPr>
          <w:spacing w:val="1"/>
          <w:sz w:val="36"/>
        </w:rPr>
        <w:t xml:space="preserve">去绝缘外皮，露出线芯 </w:t>
      </w:r>
      <w:r>
        <w:rPr>
          <w:sz w:val="36"/>
        </w:rPr>
        <w:t>10mm～15mm(注意不要碰掉线号套管)，将盒内的线缆引</w:t>
      </w:r>
      <w:r>
        <w:rPr>
          <w:spacing w:val="-7"/>
          <w:sz w:val="36"/>
        </w:rPr>
        <w:t>出，压接在探测器的接线端子上，将余线缆盘回盒内，将探测器底座用螺钉固定</w:t>
      </w:r>
      <w:r>
        <w:rPr>
          <w:sz w:val="36"/>
        </w:rPr>
        <w:t>在盒上。固定要牢固可靠。</w:t>
      </w:r>
    </w:p>
    <w:p>
      <w:pPr>
        <w:pStyle w:val="ListParagraph"/>
        <w:numPr>
          <w:ilvl w:val="0"/>
          <w:numId w:val="8"/>
        </w:numPr>
        <w:tabs>
          <w:tab w:val="left" w:pos="2098"/>
        </w:tabs>
        <w:spacing w:before="0" w:after="0" w:line="453" w:lineRule="auto"/>
        <w:ind w:left="837" w:right="2740" w:firstLine="719"/>
        <w:jc w:val="left"/>
        <w:rPr>
          <w:sz w:val="36"/>
        </w:rPr>
      </w:pPr>
      <w:r>
        <w:rPr>
          <w:spacing w:val="-1"/>
          <w:sz w:val="36"/>
        </w:rPr>
        <w:t>主动红外探测器在安装时，收、发装置应相互正对，且中间不得有遮挡</w:t>
      </w:r>
      <w:r>
        <w:rPr>
          <w:sz w:val="36"/>
        </w:rPr>
        <w:t>物。</w:t>
      </w:r>
    </w:p>
    <w:p>
      <w:pPr>
        <w:pStyle w:val="ListParagraph"/>
        <w:numPr>
          <w:ilvl w:val="0"/>
          <w:numId w:val="8"/>
        </w:numPr>
        <w:tabs>
          <w:tab w:val="left" w:pos="2098"/>
        </w:tabs>
        <w:spacing w:before="0" w:after="0" w:line="453" w:lineRule="auto"/>
        <w:ind w:left="837" w:right="2691" w:firstLine="719"/>
        <w:jc w:val="left"/>
        <w:rPr>
          <w:sz w:val="36"/>
        </w:rPr>
      </w:pPr>
      <w:r>
        <w:rPr>
          <w:spacing w:val="-8"/>
          <w:sz w:val="36"/>
        </w:rPr>
        <w:t xml:space="preserve">一台防停电电源可带 </w:t>
      </w:r>
      <w:r>
        <w:rPr>
          <w:sz w:val="36"/>
        </w:rPr>
        <w:t>10</w:t>
      </w:r>
      <w:r>
        <w:rPr>
          <w:spacing w:val="-14"/>
          <w:sz w:val="36"/>
        </w:rPr>
        <w:t xml:space="preserve"> 对红外对射接口，若传输距离超过 </w:t>
      </w:r>
      <w:r>
        <w:rPr>
          <w:sz w:val="36"/>
        </w:rPr>
        <w:t>200m</w:t>
      </w:r>
      <w:r>
        <w:rPr>
          <w:spacing w:val="-24"/>
          <w:sz w:val="36"/>
        </w:rPr>
        <w:t xml:space="preserve"> 应分段</w:t>
      </w:r>
      <w:r>
        <w:rPr>
          <w:sz w:val="36"/>
        </w:rPr>
        <w:t>加装电源；红外对射探头需单独供电。其他有关要求见产品说明书。</w:t>
      </w:r>
    </w:p>
    <w:p>
      <w:pPr>
        <w:pStyle w:val="ListParagraph"/>
        <w:numPr>
          <w:ilvl w:val="0"/>
          <w:numId w:val="8"/>
        </w:numPr>
        <w:tabs>
          <w:tab w:val="left" w:pos="2098"/>
        </w:tabs>
        <w:spacing w:before="0" w:after="0" w:line="451" w:lineRule="auto"/>
        <w:ind w:left="837" w:right="2740" w:firstLine="719"/>
        <w:jc w:val="left"/>
        <w:rPr>
          <w:sz w:val="36"/>
        </w:rPr>
      </w:pPr>
      <w:r>
        <w:rPr>
          <w:spacing w:val="-1"/>
          <w:sz w:val="36"/>
        </w:rPr>
        <w:t>系统中每个边界接口应有惟一的编码与之对应，按照产品说明书进行编</w:t>
      </w:r>
      <w:r>
        <w:rPr>
          <w:sz w:val="36"/>
        </w:rPr>
        <w:t>码；在系统正常使用前必须对接人系统中的边界接口进行注册。</w:t>
      </w:r>
    </w:p>
    <w:p>
      <w:pPr>
        <w:spacing w:after="0" w:line="451" w:lineRule="auto"/>
        <w:jc w:val="left"/>
        <w:rPr>
          <w:sz w:val="36"/>
        </w:rPr>
        <w:sectPr>
          <w:headerReference w:type="even" r:id="rId27"/>
          <w:headerReference w:type="default" r:id="rId28"/>
          <w:footerReference w:type="even" r:id="rId29"/>
          <w:footerReference w:type="default" r:id="rId30"/>
          <w:pgSz w:w="17860" w:h="25260"/>
          <w:pgMar w:top="1340" w:right="0" w:bottom="2020" w:left="1860" w:header="1084" w:footer="1831"/>
          <w:pgNumType w:start="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0"/>
        </w:rPr>
      </w:pPr>
    </w:p>
    <w:p>
      <w:pPr>
        <w:spacing w:before="50" w:line="364" w:lineRule="auto"/>
        <w:ind w:left="1196" w:right="7221" w:firstLine="0"/>
        <w:jc w:val="left"/>
        <w:rPr>
          <w:sz w:val="36"/>
        </w:rPr>
      </w:pPr>
      <w:r>
        <w:rPr>
          <w:sz w:val="36"/>
        </w:rPr>
        <w:t>主动</w:t>
      </w:r>
      <w:r>
        <w:rPr>
          <w:b/>
          <w:sz w:val="36"/>
        </w:rPr>
        <w:t>红外对射</w:t>
      </w:r>
      <w:r>
        <w:rPr>
          <w:sz w:val="36"/>
        </w:rPr>
        <w:t>（</w:t>
      </w:r>
      <w:r>
        <w:rPr>
          <w:b/>
          <w:sz w:val="36"/>
        </w:rPr>
        <w:t>周界防范系统</w:t>
      </w:r>
      <w:r>
        <w:rPr>
          <w:sz w:val="36"/>
        </w:rPr>
        <w:t>）的安装调试指南一、</w:t>
      </w:r>
      <w:r>
        <w:rPr>
          <w:b/>
          <w:sz w:val="36"/>
        </w:rPr>
        <w:t>红外对射</w:t>
      </w:r>
      <w:r>
        <w:rPr>
          <w:sz w:val="36"/>
        </w:rPr>
        <w:t>的安装方法</w:t>
      </w:r>
    </w:p>
    <w:p>
      <w:pPr>
        <w:pStyle w:val="BodyText"/>
        <w:spacing w:before="2"/>
        <w:ind w:left="1557"/>
      </w:pPr>
      <w:r>
        <w:t>（一）支柱式安装 （详见图纸 ）</w:t>
      </w:r>
    </w:p>
    <w:p>
      <w:pPr>
        <w:pStyle w:val="BodyText"/>
        <w:spacing w:before="241" w:line="364" w:lineRule="auto"/>
        <w:ind w:left="837" w:right="2560" w:firstLine="719"/>
      </w:pPr>
      <w:r>
        <w:rPr>
          <w:spacing w:val="-7"/>
        </w:rPr>
        <w:t>比较流行的支柱有圆形和方形两种，早期比较流行的是圆形截面支柱，现在</w:t>
      </w:r>
      <w:r>
        <w:rPr>
          <w:spacing w:val="-14"/>
        </w:rPr>
        <w:t>的情况正好反过来了，方形支柱在工程界越来越流行。主要是探测器安装在方形</w:t>
      </w:r>
      <w:r>
        <w:rPr>
          <w:spacing w:val="-15"/>
        </w:rPr>
        <w:t>支柱上没有转动、不易移动。除此以外，有广泛的不锈钢、合金、铝合金型材可</w:t>
      </w:r>
      <w:r>
        <w:rPr>
          <w:spacing w:val="-8"/>
        </w:rPr>
        <w:t>供选择也是它的优势之一。在工种上的另外一种做法是选用角钢作为支柱，如果不能保证走线有效地穿管暗敷，让线路裸露在空中，这种方法是不能取的。</w:t>
      </w:r>
    </w:p>
    <w:p>
      <w:pPr>
        <w:pStyle w:val="BodyText"/>
        <w:spacing w:before="5" w:line="364" w:lineRule="auto"/>
        <w:ind w:left="837" w:right="2689" w:firstLine="719"/>
        <w:jc w:val="both"/>
      </w:pPr>
      <w:r>
        <w:t>支柱的形状可以是"1"</w:t>
      </w:r>
      <w:r>
        <w:rPr>
          <w:spacing w:val="-22"/>
        </w:rPr>
        <w:t>字形、</w:t>
      </w:r>
      <w:r>
        <w:t>"Z"</w:t>
      </w:r>
      <w:r>
        <w:rPr>
          <w:spacing w:val="-9"/>
        </w:rPr>
        <w:t>字形或者弯曲的，由建筑物的特点及防盗要</w:t>
      </w:r>
      <w:r>
        <w:rPr>
          <w:spacing w:val="-12"/>
        </w:rPr>
        <w:t>求而定，关键点在于支柱的固定必须坚固牢实，没有移位或摇晃，以利于安装和</w:t>
      </w:r>
      <w:r>
        <w:t>设防、减少误报。</w:t>
      </w:r>
    </w:p>
    <w:p>
      <w:pPr>
        <w:pStyle w:val="BodyText"/>
      </w:pPr>
    </w:p>
    <w:p>
      <w:pPr>
        <w:spacing w:before="244"/>
        <w:ind w:left="1557" w:right="0" w:firstLine="0"/>
        <w:jc w:val="left"/>
        <w:rPr>
          <w:sz w:val="36"/>
        </w:rPr>
      </w:pPr>
      <w:r>
        <w:rPr>
          <w:sz w:val="36"/>
        </w:rPr>
        <w:t>（三）</w:t>
      </w:r>
      <w:r>
        <w:rPr>
          <w:b/>
          <w:sz w:val="36"/>
        </w:rPr>
        <w:t>红外对射</w:t>
      </w:r>
      <w:r>
        <w:rPr>
          <w:sz w:val="36"/>
        </w:rPr>
        <w:t>安装的一般原则</w:t>
      </w:r>
    </w:p>
    <w:p>
      <w:pPr>
        <w:pStyle w:val="BodyText"/>
        <w:spacing w:before="240" w:line="364" w:lineRule="auto"/>
        <w:ind w:left="837" w:right="2560" w:firstLine="719"/>
      </w:pPr>
      <w:r>
        <w:t>设置在通道上的探测器，其主要功能式防备人的非法通行，为了防止宠物、小动物等引起误报，探头的位置一般应距离地面 50 ㎝以上。遮光时间应调整到较快的位置上，对非法入侵作出快速反应。</w:t>
      </w:r>
    </w:p>
    <w:p>
      <w:pPr>
        <w:pStyle w:val="BodyText"/>
        <w:spacing w:before="4" w:line="364" w:lineRule="auto"/>
        <w:ind w:left="837" w:right="2690" w:firstLine="719"/>
      </w:pPr>
      <w:r>
        <w:rPr>
          <w:spacing w:val="-10"/>
        </w:rPr>
        <w:t>设置在围墙上的探测器，其主要功能是防备人为的恶意翻越，顶上安装和侧</w:t>
      </w:r>
      <w:r>
        <w:t>面安装两种均可。</w:t>
      </w:r>
    </w:p>
    <w:p>
      <w:pPr>
        <w:pStyle w:val="BodyText"/>
        <w:spacing w:before="2" w:line="364" w:lineRule="auto"/>
        <w:ind w:left="837" w:right="2688" w:firstLine="719"/>
        <w:jc w:val="both"/>
      </w:pPr>
      <w:r>
        <w:rPr>
          <w:spacing w:val="-3"/>
        </w:rPr>
        <w:t xml:space="preserve">顶上安装的探测器，探头的位置应高出栅栏，围墙顶部 </w:t>
      </w:r>
      <w:r>
        <w:t>25</w:t>
      </w:r>
      <w:r>
        <w:rPr>
          <w:spacing w:val="-12"/>
        </w:rPr>
        <w:t xml:space="preserve"> ㎝，以减少在墙</w:t>
      </w:r>
      <w:r>
        <w:rPr>
          <w:spacing w:val="-9"/>
        </w:rPr>
        <w:t>上活动的小鸟、小猫等引起误报。四光束探测器的防误报能力比双光束强，双光</w:t>
      </w:r>
      <w:r>
        <w:t>束又比单光束强。</w:t>
      </w:r>
    </w:p>
    <w:p>
      <w:pPr>
        <w:pStyle w:val="BodyText"/>
        <w:spacing w:before="2" w:line="364" w:lineRule="auto"/>
        <w:ind w:left="837" w:right="2689" w:firstLine="719"/>
      </w:pPr>
      <w:r>
        <w:rPr>
          <w:spacing w:val="-9"/>
        </w:rPr>
        <w:t>侧面安装则是将探头安装在栅栏，围墙靠近顶部的侧面，一般是作墙壁式安</w:t>
      </w:r>
      <w:r>
        <w:t>装，安装于外侧的居多。这种方式能避开小鸟、小猫的活动干扰。</w:t>
      </w:r>
    </w:p>
    <w:p>
      <w:pPr>
        <w:pStyle w:val="BodyText"/>
        <w:spacing w:before="3" w:line="364" w:lineRule="auto"/>
        <w:ind w:left="837" w:right="2693" w:firstLine="719"/>
      </w:pPr>
      <w:r>
        <w:rPr>
          <w:spacing w:val="-9"/>
        </w:rPr>
        <w:t>每一种方式都又他们自己的优点或缺陷，工程商对每一种安装方式都又他们</w:t>
      </w:r>
      <w:r>
        <w:t>自己的偏爱。用户应根据自己建筑物的特点和防盗要求加以选用。</w:t>
      </w:r>
    </w:p>
    <w:p>
      <w:pPr>
        <w:pStyle w:val="BodyText"/>
        <w:spacing w:before="2"/>
        <w:ind w:left="1557"/>
      </w:pPr>
      <w:r>
        <w:t>（四）特别提醒</w:t>
      </w:r>
    </w:p>
    <w:p>
      <w:pPr>
        <w:pStyle w:val="ListParagraph"/>
        <w:numPr>
          <w:ilvl w:val="0"/>
          <w:numId w:val="7"/>
        </w:numPr>
        <w:tabs>
          <w:tab w:val="left" w:pos="2098"/>
        </w:tabs>
        <w:spacing w:before="241" w:after="0" w:line="364" w:lineRule="auto"/>
        <w:ind w:left="837" w:right="2695" w:firstLine="719"/>
        <w:jc w:val="left"/>
        <w:rPr>
          <w:sz w:val="36"/>
        </w:rPr>
      </w:pPr>
      <w:r>
        <w:rPr>
          <w:spacing w:val="1"/>
          <w:sz w:val="36"/>
        </w:rPr>
        <w:t>线路绝对不能明敷，必须穿管暗设，这是</w:t>
      </w:r>
      <w:r>
        <w:rPr>
          <w:b/>
          <w:spacing w:val="3"/>
          <w:sz w:val="36"/>
        </w:rPr>
        <w:t>红外对射</w:t>
      </w:r>
      <w:r>
        <w:rPr>
          <w:spacing w:val="-2"/>
          <w:sz w:val="36"/>
        </w:rPr>
        <w:t>工作安全性的最起码</w:t>
      </w:r>
      <w:r>
        <w:rPr>
          <w:sz w:val="36"/>
        </w:rPr>
        <w:t>的要求。</w:t>
      </w:r>
    </w:p>
    <w:p>
      <w:pPr>
        <w:pStyle w:val="ListParagraph"/>
        <w:numPr>
          <w:ilvl w:val="0"/>
          <w:numId w:val="7"/>
        </w:numPr>
        <w:tabs>
          <w:tab w:val="left" w:pos="2098"/>
        </w:tabs>
        <w:spacing w:before="1" w:after="0" w:line="240" w:lineRule="auto"/>
        <w:ind w:left="2098" w:right="0" w:hanging="541"/>
        <w:jc w:val="left"/>
        <w:rPr>
          <w:sz w:val="36"/>
        </w:rPr>
      </w:pPr>
      <w:r>
        <w:rPr>
          <w:spacing w:val="-4"/>
          <w:sz w:val="36"/>
        </w:rPr>
        <w:t xml:space="preserve">安装在围墙上的探测器，其射线距墙沿的最远水平距离不能大于 </w:t>
      </w:r>
      <w:r>
        <w:rPr>
          <w:sz w:val="36"/>
        </w:rPr>
        <w:t>30</w:t>
      </w:r>
      <w:r>
        <w:rPr>
          <w:spacing w:val="-30"/>
          <w:sz w:val="36"/>
        </w:rPr>
        <w:t xml:space="preserve"> ㎝，</w:t>
      </w:r>
    </w:p>
    <w:p>
      <w:pPr>
        <w:spacing w:after="0" w:line="240" w:lineRule="auto"/>
        <w:jc w:val="left"/>
        <w:rPr>
          <w:sz w:val="36"/>
        </w:rPr>
        <w:sectPr>
          <w:headerReference w:type="even" r:id="rId31"/>
          <w:headerReference w:type="default" r:id="rId32"/>
          <w:footerReference w:type="even" r:id="rId33"/>
          <w:footerReference w:type="default" r:id="rId34"/>
          <w:pgSz w:w="17860" w:h="25260"/>
          <w:pgMar w:top="1400" w:right="0" w:bottom="2020" w:left="1860" w:header="1084" w:footer="1831"/>
          <w:pgNumType w:start="6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50"/>
        <w:ind w:left="837"/>
      </w:pPr>
      <w:r>
        <w:t>这一点在围墙以弧形拐弯的地方需特别注意。</w:t>
      </w:r>
    </w:p>
    <w:p>
      <w:pPr>
        <w:pStyle w:val="ListParagraph"/>
        <w:numPr>
          <w:ilvl w:val="0"/>
          <w:numId w:val="11"/>
        </w:numPr>
        <w:tabs>
          <w:tab w:val="left" w:pos="2102"/>
        </w:tabs>
        <w:spacing w:before="241" w:after="0" w:line="364" w:lineRule="auto"/>
        <w:ind w:left="837" w:right="2738" w:firstLine="719"/>
        <w:jc w:val="left"/>
        <w:rPr>
          <w:sz w:val="36"/>
        </w:rPr>
      </w:pPr>
      <w:r>
        <w:rPr>
          <w:spacing w:val="-1"/>
          <w:sz w:val="36"/>
        </w:rPr>
        <w:t>配线接好后，请用万用表的电阻档测试探头的电源端①、②端子，确定</w:t>
      </w:r>
      <w:r>
        <w:rPr>
          <w:sz w:val="36"/>
        </w:rPr>
        <w:t>没有短路故障后方可接通电源进行调试。</w:t>
      </w:r>
    </w:p>
    <w:p>
      <w:pPr>
        <w:pStyle w:val="BodyText"/>
        <w:spacing w:before="2"/>
        <w:ind w:left="837"/>
      </w:pPr>
      <w:r>
        <w:t>二、红外对射的工程调试</w:t>
      </w:r>
    </w:p>
    <w:p>
      <w:pPr>
        <w:pStyle w:val="BodyText"/>
        <w:spacing w:before="241"/>
        <w:ind w:left="1557"/>
      </w:pPr>
      <w:r>
        <w:t>（一）投光器光轴调整</w:t>
      </w:r>
    </w:p>
    <w:p>
      <w:pPr>
        <w:pStyle w:val="BodyText"/>
        <w:spacing w:before="240" w:line="364" w:lineRule="auto"/>
        <w:ind w:left="837" w:right="2543" w:firstLine="719"/>
      </w:pPr>
      <w:r>
        <w:t>打开探头的外罩，把眼睛对准瞄准器，观察瞄准器内影响的情况，探头的光学镜片可以直接用手在 180°范围内左右调整，用螺丝刀调节镜片下方的上下调整螺丝，镜片系统有上下 12°的调整范围，反复调整使瞄准器中对方探测器的影响落入中央位置。</w:t>
      </w:r>
    </w:p>
    <w:p>
      <w:pPr>
        <w:pStyle w:val="BodyText"/>
        <w:spacing w:before="5"/>
        <w:ind w:left="1557"/>
      </w:pPr>
      <w:r>
        <w:t>在调整过程中注意不要遮住了光轴，以免影响调整工作。</w:t>
      </w:r>
    </w:p>
    <w:p>
      <w:pPr>
        <w:pStyle w:val="BodyText"/>
        <w:spacing w:before="241" w:line="364" w:lineRule="auto"/>
        <w:ind w:left="837" w:right="2693" w:firstLine="719"/>
      </w:pPr>
      <w:r>
        <w:rPr>
          <w:spacing w:val="-8"/>
        </w:rPr>
        <w:t>投光器光轴的调整对防区的感度性能影响很大，请一定要按照正确步骤仔细</w:t>
      </w:r>
      <w:r>
        <w:t>反复调整。</w:t>
      </w:r>
    </w:p>
    <w:p>
      <w:pPr>
        <w:pStyle w:val="BodyText"/>
        <w:spacing w:before="1"/>
        <w:ind w:left="1557"/>
      </w:pPr>
      <w:r>
        <w:t>（二）受光器光轴调整</w:t>
      </w:r>
    </w:p>
    <w:p>
      <w:pPr>
        <w:pStyle w:val="BodyText"/>
        <w:spacing w:before="241" w:line="364" w:lineRule="auto"/>
        <w:ind w:left="837" w:right="2559" w:firstLine="719"/>
      </w:pPr>
      <w:r>
        <w:t>第一步：按照"投光器光轴调整"一样的方法对受光器的光轴进行初步调整。此时受光器上红色警戒指示灯熄灭，绿色指示灯长亮，而且无闪烁现象，表示套头光轴重合正常，投光器、受光器功能正常。</w:t>
      </w:r>
    </w:p>
    <w:p>
      <w:pPr>
        <w:pStyle w:val="BodyText"/>
        <w:spacing w:before="3" w:line="364" w:lineRule="auto"/>
        <w:ind w:left="837" w:right="2691" w:firstLine="719"/>
      </w:pPr>
      <w:r>
        <w:t>第二步：受光器上有两个小孔，上面分别标有"+"和"－"，用于测试受光器</w:t>
      </w:r>
      <w:r>
        <w:rPr>
          <w:spacing w:val="-8"/>
        </w:rPr>
        <w:t>所感受的红外线强度，其值用电压来表示，称为感光电压。将万用表的测试表笔</w:t>
      </w:r>
    </w:p>
    <w:p>
      <w:pPr>
        <w:pStyle w:val="BodyText"/>
        <w:spacing w:before="2" w:line="364" w:lineRule="auto"/>
        <w:ind w:left="837" w:right="2729"/>
      </w:pPr>
      <w:r>
        <w:t>（红"+"、黑"－"）插入测量受光器的感光电压。反复调整镜片系统使感光电压值达到最大值。这样探头的工作状态达到了最佳状态。</w:t>
      </w:r>
    </w:p>
    <w:p>
      <w:pPr>
        <w:pStyle w:val="BodyText"/>
        <w:spacing w:before="2" w:line="364" w:lineRule="auto"/>
        <w:ind w:left="837" w:right="2560" w:firstLine="719"/>
        <w:jc w:val="both"/>
      </w:pPr>
      <w:r>
        <w:rPr>
          <w:spacing w:val="-7"/>
        </w:rPr>
        <w:t>注意事项：四光束探测器有两组光学系统，需要分别遮住受光器的上、下镜</w:t>
      </w:r>
      <w:r>
        <w:rPr>
          <w:spacing w:val="-14"/>
        </w:rPr>
        <w:t>片，调整至上、下感光电压值一致为止。较古老的四光束探测器两组光学系统是</w:t>
      </w:r>
      <w:r>
        <w:rPr>
          <w:spacing w:val="-15"/>
        </w:rPr>
        <w:t xml:space="preserve">分开调节，由于涉及到发射器和接受器两个探头共四个光学系统的相对应关系， </w:t>
      </w:r>
      <w:r>
        <w:rPr>
          <w:spacing w:val="-1"/>
        </w:rPr>
        <w:t>调节起来相当困难，需要特别仔细调节，处理不当就会出现误报或者防护死区。</w:t>
      </w:r>
      <w:r>
        <w:t>ABH</w:t>
      </w:r>
      <w:r>
        <w:rPr>
          <w:spacing w:val="-11"/>
        </w:rPr>
        <w:t xml:space="preserve"> 四光束探测器已把两个部分整合为一体调节，工程施工容易多了。</w:t>
      </w:r>
    </w:p>
    <w:p>
      <w:pPr>
        <w:pStyle w:val="BodyText"/>
        <w:spacing w:before="6"/>
        <w:ind w:left="1557"/>
      </w:pPr>
      <w:r>
        <w:t>（三）遮光时间调整</w:t>
      </w:r>
    </w:p>
    <w:p>
      <w:pPr>
        <w:pStyle w:val="BodyText"/>
        <w:spacing w:before="240" w:line="364" w:lineRule="auto"/>
        <w:ind w:left="837" w:right="2691" w:firstLine="719"/>
        <w:jc w:val="both"/>
      </w:pPr>
      <w:r>
        <w:rPr>
          <w:spacing w:val="1"/>
        </w:rPr>
        <w:t xml:space="preserve">在受光器上设有遮光时间调节钮，一般探头的遮光时间在 </w:t>
      </w:r>
      <w:r>
        <w:t xml:space="preserve">50m/s ~ 500m/s </w:t>
      </w:r>
      <w:r>
        <w:rPr>
          <w:spacing w:val="-13"/>
        </w:rPr>
        <w:t>间可调，探头在出厂时，工厂里将探头的遮光时间调节到一个标准位置上，在通</w:t>
      </w:r>
      <w:r>
        <w:rPr>
          <w:spacing w:val="-12"/>
        </w:rPr>
        <w:t>常情况下，这个位置是一种比较适中的状态，都考虑了环境情况和探头自身的特</w:t>
      </w:r>
    </w:p>
    <w:p>
      <w:pPr>
        <w:spacing w:after="0" w:line="364" w:lineRule="auto"/>
        <w:jc w:val="both"/>
        <w:sectPr>
          <w:headerReference w:type="even" r:id="rId35"/>
          <w:headerReference w:type="default" r:id="rId36"/>
          <w:footerReference w:type="even" r:id="rId37"/>
          <w:footerReference w:type="default" r:id="rId38"/>
          <w:pgSz w:w="17860" w:h="25260"/>
          <w:pgMar w:top="1400" w:right="0" w:bottom="2020" w:left="1860" w:header="1084" w:footer="1831"/>
          <w:pgNumType w:start="7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50" w:line="364" w:lineRule="auto"/>
        <w:ind w:left="837" w:right="2513"/>
      </w:pPr>
      <w:r>
        <w:rPr>
          <w:spacing w:val="-10"/>
        </w:rPr>
        <w:t>点，所以没有特殊的原因，也无须调节遮光时间。如果因设防的原因需要调节遮光时间，以适应环境的变化。一般而言，遮光时间短，探头敏感性就快，但对于</w:t>
      </w:r>
      <w:r>
        <w:rPr>
          <w:spacing w:val="-22"/>
        </w:rPr>
        <w:t xml:space="preserve">像飘落的树叶、飞过的小鸟等的敏感度也强，误报警的可能性增多。遮光时间长， </w:t>
      </w:r>
      <w:r>
        <w:rPr>
          <w:spacing w:val="-12"/>
        </w:rPr>
        <w:t>探头的敏感性降低，漏报的可能性增多。工程师应根据设防的实际需要调整遮光的时间。</w:t>
      </w:r>
    </w:p>
    <w:p>
      <w:pPr>
        <w:pStyle w:val="BodyText"/>
        <w:spacing w:before="5"/>
        <w:ind w:left="1557"/>
      </w:pPr>
      <w:r>
        <w:t>（四）与防盗主机的链接</w:t>
      </w:r>
    </w:p>
    <w:p>
      <w:pPr>
        <w:pStyle w:val="BodyText"/>
        <w:spacing w:before="241" w:line="364" w:lineRule="auto"/>
        <w:ind w:left="837" w:right="2513" w:firstLine="719"/>
      </w:pPr>
      <w:r>
        <w:rPr>
          <w:spacing w:val="-20"/>
        </w:rPr>
        <w:t xml:space="preserve">探头设定后，将防拆开关接入防区输入回路中，联线完毕，盖上探头的外壳， </w:t>
      </w:r>
      <w:r>
        <w:rPr>
          <w:spacing w:val="-5"/>
        </w:rPr>
        <w:t>拧紧紧固螺丝。要求在防盗主机上该防区警示灯无闪烁、不点亮，防区无报警指示输出。表示整个防区设置正常。否则，要对线路进行检查，对探头进行重新调试，重新对防区状态进行确定。</w:t>
      </w:r>
    </w:p>
    <w:p>
      <w:pPr>
        <w:pStyle w:val="BodyText"/>
        <w:spacing w:before="4"/>
        <w:ind w:left="1557"/>
      </w:pPr>
      <w:r>
        <w:t>（五）防盗性能测试</w:t>
      </w:r>
    </w:p>
    <w:p>
      <w:pPr>
        <w:pStyle w:val="BodyText"/>
        <w:spacing w:before="241" w:line="364" w:lineRule="auto"/>
        <w:ind w:left="837" w:right="2560" w:firstLine="719"/>
      </w:pPr>
      <w:r>
        <w:rPr>
          <w:spacing w:val="-1"/>
        </w:rPr>
        <w:t xml:space="preserve">防区工作状态正常后，应根据设防的要求，用与防范相似的所有可能尺寸， </w:t>
      </w:r>
      <w:r>
        <w:rPr>
          <w:spacing w:val="-9"/>
        </w:rPr>
        <w:t>形状的物体，用不同的速度、不同的方式遮挡探头的光轴，在报警现场用无线对</w:t>
      </w:r>
      <w:r>
        <w:rPr>
          <w:spacing w:val="-15"/>
        </w:rPr>
        <w:t>讲机与控制中心联系，检验报警情况是否正常，同时要仔细留心报警主机上有没</w:t>
      </w:r>
      <w:r>
        <w:rPr>
          <w:spacing w:val="-18"/>
        </w:rPr>
        <w:t>有闪动或不稳定状态。以免给报警系统留下隐患。我们口头上把这个过程称为发</w:t>
      </w:r>
      <w:r>
        <w:rPr>
          <w:spacing w:val="-14"/>
        </w:rPr>
        <w:t>炮试验。做发炮试验的目的就是要测试防区能否具有正常报警的能力，测试防区防护的范围是否能达到预定的要求，是否存在防护死区。</w:t>
      </w:r>
    </w:p>
    <w:p>
      <w:pPr>
        <w:pStyle w:val="BodyText"/>
        <w:spacing w:before="6"/>
        <w:ind w:left="1557"/>
      </w:pPr>
      <w:r>
        <w:t>三、周界对射的日常维护</w:t>
      </w:r>
    </w:p>
    <w:p>
      <w:pPr>
        <w:pStyle w:val="BodyText"/>
        <w:spacing w:before="241" w:line="364" w:lineRule="auto"/>
        <w:ind w:left="837" w:right="2560" w:firstLine="719"/>
      </w:pPr>
      <w:r>
        <w:rPr>
          <w:spacing w:val="-10"/>
        </w:rPr>
        <w:t>探测器在日常工作中，由于长期工作在室外，因此不可避免地受到大气中粉</w:t>
      </w:r>
      <w:r>
        <w:rPr>
          <w:spacing w:val="-11"/>
        </w:rPr>
        <w:t>尘、微生物以及雪、霜、雾的作用，长久以往，在探测器的外壁上往往会堆积一层粉尘样的硬壳，在比较潮湿的地方还会长出一层厚厚的藓苔，有时候小鸟也会</w:t>
      </w:r>
      <w:r>
        <w:rPr>
          <w:spacing w:val="-12"/>
        </w:rPr>
        <w:t>把排泄物拉到探测器上，这些东西会阻碍红外射线的发射和接受，造成误报警。</w:t>
      </w:r>
      <w:r>
        <w:rPr>
          <w:spacing w:val="-8"/>
        </w:rPr>
        <w:t>在日本的用户通常会委托工程公司维护，通常是在一个月左右蘸上清洁剂清洗干</w:t>
      </w:r>
      <w:r>
        <w:rPr>
          <w:spacing w:val="-15"/>
        </w:rPr>
        <w:t>净每一个探测器的外壳，然后擦干。大家建立了良好的信用关系，都会尽心尽力</w:t>
      </w:r>
      <w:r>
        <w:rPr>
          <w:spacing w:val="-20"/>
        </w:rPr>
        <w:t>地做好这一工作。除了清洁探测器外壳，每隔一个月要做一次发炮实验，检验防盗系统的报警性能。</w:t>
      </w:r>
    </w:p>
    <w:p>
      <w:pPr>
        <w:pStyle w:val="BodyText"/>
        <w:spacing w:before="8"/>
        <w:ind w:left="3901"/>
      </w:pPr>
      <w:r>
        <w:t>红外对射的接线图可以参考“</w:t>
      </w:r>
      <w:r>
        <w:rPr>
          <w:color w:val="323232"/>
        </w:rPr>
        <w:t>周界报警系统（红外对射）接</w:t>
      </w:r>
    </w:p>
    <w:p>
      <w:pPr>
        <w:pStyle w:val="BodyText"/>
        <w:spacing w:before="12"/>
        <w:rPr>
          <w:sz w:val="14"/>
        </w:rPr>
      </w:pPr>
    </w:p>
    <w:p>
      <w:pPr>
        <w:pStyle w:val="BodyText"/>
        <w:spacing w:before="49"/>
        <w:ind w:left="837"/>
      </w:pPr>
      <w:r>
        <w:rPr>
          <w:color w:val="323232"/>
        </w:rPr>
        <w:t>线图</w:t>
      </w:r>
      <w:r>
        <w:t>”。</w:t>
      </w:r>
    </w:p>
    <w:p>
      <w:pPr>
        <w:spacing w:after="0"/>
        <w:sectPr>
          <w:headerReference w:type="even" r:id="rId39"/>
          <w:headerReference w:type="default" r:id="rId40"/>
          <w:footerReference w:type="even" r:id="rId41"/>
          <w:footerReference w:type="default" r:id="rId42"/>
          <w:pgSz w:w="17860" w:h="25260"/>
          <w:pgMar w:top="1400" w:right="0" w:bottom="2020" w:left="1860" w:header="1084" w:footer="1831"/>
          <w:pgNumType w:start="8"/>
          <w:cols w:space="708"/>
        </w:sectPr>
      </w:pPr>
    </w:p>
    <w:p>
      <w:pPr>
        <w:pStyle w:val="Heading1"/>
      </w:pPr>
      <w:r>
        <w:t>四、安装前端设备箱及警灯</w:t>
      </w:r>
    </w:p>
    <w:p>
      <w:pPr>
        <w:pStyle w:val="BodyText"/>
        <w:spacing w:before="12"/>
        <w:rPr>
          <w:sz w:val="109"/>
        </w:rPr>
      </w:pPr>
    </w:p>
    <w:p>
      <w:pPr>
        <w:spacing w:before="0" w:line="388" w:lineRule="auto"/>
        <w:ind w:left="837" w:right="2693" w:firstLine="838"/>
        <w:jc w:val="left"/>
        <w:rPr>
          <w:sz w:val="42"/>
        </w:rPr>
      </w:pPr>
      <w:r>
        <w:rPr>
          <w:spacing w:val="-7"/>
          <w:sz w:val="42"/>
        </w:rPr>
        <w:t>注：将设备箱与警灯一对一安装至与之编号相对应的位置。</w:t>
      </w:r>
      <w:r>
        <w:rPr>
          <w:sz w:val="42"/>
        </w:rPr>
        <w:t>（</w:t>
      </w:r>
      <w:r>
        <w:rPr>
          <w:spacing w:val="-17"/>
          <w:sz w:val="42"/>
        </w:rPr>
        <w:t>安</w:t>
      </w:r>
      <w:r>
        <w:rPr>
          <w:sz w:val="42"/>
        </w:rPr>
        <w:t>装时注意防水处理）</w:t>
      </w:r>
    </w:p>
    <w:p>
      <w:pPr>
        <w:spacing w:before="0" w:line="537" w:lineRule="exact"/>
        <w:ind w:left="1675" w:right="0" w:firstLine="0"/>
        <w:jc w:val="left"/>
        <w:rPr>
          <w:sz w:val="42"/>
        </w:rPr>
      </w:pPr>
      <w:r>
        <w:rPr>
          <w:sz w:val="42"/>
        </w:rPr>
        <w:t>如图所示</w:t>
      </w:r>
    </w:p>
    <w:p>
      <w:pPr>
        <w:pStyle w:val="BodyText"/>
        <w:rPr>
          <w:sz w:val="42"/>
        </w:rPr>
      </w:pPr>
    </w:p>
    <w:p>
      <w:pPr>
        <w:pStyle w:val="BodyText"/>
        <w:spacing w:before="6"/>
        <w:rPr>
          <w:sz w:val="34"/>
        </w:rPr>
      </w:pPr>
    </w:p>
    <w:p>
      <w:pPr>
        <w:spacing w:before="0"/>
        <w:ind w:left="1917" w:right="0" w:firstLine="0"/>
        <w:jc w:val="left"/>
        <w:rPr>
          <w:sz w:val="54"/>
        </w:rPr>
      </w:pPr>
      <w:r>
        <w:rPr>
          <w:color w:val="FF0000"/>
          <w:sz w:val="54"/>
        </w:rPr>
        <w:t>当警灯报警时需人为打开箱体将开关复位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6"/>
        </w:rPr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1711579</wp:posOffset>
            </wp:positionH>
            <wp:positionV relativeFrom="paragraph">
              <wp:posOffset>155040</wp:posOffset>
            </wp:positionV>
            <wp:extent cx="7861326" cy="5658707"/>
            <wp:effectExtent l="0" t="0" r="0" b="0"/>
            <wp:wrapTopAndBottom/>
            <wp:docPr id="27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2.jpe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61326" cy="56587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6"/>
        </w:rPr>
      </w:pPr>
      <w:r>
        <w:rPr>
          <w:sz w:val="16"/>
        </w:rPr>
        <w:br/>
      </w:r>
      <w:r>
        <w:rPr>
          <w:sz w:val="1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https://d.book118.com/486140153121010053</w:t>
        </w:r>
      </w:hyperlink>
    </w:p>
    <w:p>
      <w:pPr>
        <w:spacing w:after="0"/>
        <w:rPr>
          <w:sz w:val="16"/>
        </w:rPr>
      </w:pPr>
    </w:p>
    <w:sectPr>
      <w:headerReference w:type="even" r:id="rId45"/>
      <w:headerReference w:type="default" r:id="rId46"/>
      <w:footerReference w:type="even" r:id="rId47"/>
      <w:footerReference w:type="default" r:id="rId48"/>
      <w:pgSz w:w="17860" w:h="25260"/>
      <w:pgMar w:top="1400" w:right="0" w:bottom="2020" w:left="1860" w:header="1084" w:footer="1831"/>
      <w:pgNumType w:start="9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56pt;height:15.5pt;margin-top:1160.35pt;margin-left:133.86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文档大全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56pt;height:15.5pt;margin-top:1160.35pt;margin-left:133.86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文档大全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56pt;height:15.5pt;margin-top:1160.35pt;margin-left:133.86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文档大全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56pt;height:15.5pt;margin-top:1160.35pt;margin-left:133.86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文档大全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56pt;height:15.5pt;margin-top:1160.35pt;margin-left:133.86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文档大全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56pt;height:15.5pt;margin-top:1160.35pt;margin-left:133.86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文档大全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56pt;height:15.5pt;margin-top:1160.35pt;margin-left:133.86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文档大全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56pt;height:15.5pt;margin-top:1160.35pt;margin-left:133.86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文档大全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56pt;height:15.5pt;margin-top:1160.35pt;margin-left:133.86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文档大全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56pt;height:15.5pt;margin-top:1160.35pt;margin-left:133.86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文档大全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56pt;height:15.5pt;margin-top:1160.35pt;margin-left:133.86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文档大全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56pt;height:15.5pt;margin-top:1160.35pt;margin-left:133.86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文档大全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56pt;height:15.5pt;margin-top:1160.35pt;margin-left:133.86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文档大全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56pt;height:15.5pt;margin-top:1160.35pt;margin-left:133.86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文档大全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1333500</wp:posOffset>
          </wp:positionH>
          <wp:positionV relativeFrom="page">
            <wp:posOffset>850900</wp:posOffset>
          </wp:positionV>
          <wp:extent cx="10007345" cy="38100"/>
          <wp:effectExtent l="0" t="0" r="0" b="0"/>
          <wp:wrapNone/>
          <wp:docPr id="3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007345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83pt;height:15.5pt;margin-top:53.2pt;margin-left:590.02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83pt;height:15.5pt;margin-top:53.2pt;margin-left:404.98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1333500</wp:posOffset>
          </wp:positionH>
          <wp:positionV relativeFrom="page">
            <wp:posOffset>850900</wp:posOffset>
          </wp:positionV>
          <wp:extent cx="10007345" cy="38100"/>
          <wp:effectExtent l="0" t="0" r="0" b="0"/>
          <wp:wrapNone/>
          <wp:docPr id="1074500625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4500625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007345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83pt;height:15.5pt;margin-top:53.2pt;margin-left:590.02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39363530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9363530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83pt;height:15.5pt;margin-top:53.2pt;margin-left:404.98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1333500</wp:posOffset>
          </wp:positionH>
          <wp:positionV relativeFrom="page">
            <wp:posOffset>850900</wp:posOffset>
          </wp:positionV>
          <wp:extent cx="10007345" cy="38100"/>
          <wp:effectExtent l="0" t="0" r="0" b="0"/>
          <wp:wrapNone/>
          <wp:docPr id="13" name="image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image6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007345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83pt;height:15.5pt;margin-top:53.2pt;margin-left:590.02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83pt;height:15.5pt;margin-top:53.2pt;margin-left:404.98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1333500</wp:posOffset>
          </wp:positionH>
          <wp:positionV relativeFrom="page">
            <wp:posOffset>850900</wp:posOffset>
          </wp:positionV>
          <wp:extent cx="10007345" cy="38100"/>
          <wp:effectExtent l="0" t="0" r="0" b="0"/>
          <wp:wrapNone/>
          <wp:docPr id="332079711" name="image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32079711" name="image6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007345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83pt;height:15.5pt;margin-top:53.2pt;margin-left:590.02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82030920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2030920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83pt;height:15.5pt;margin-top:53.2pt;margin-left:404.98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564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83pt;height:15.5pt;margin-top:53.2pt;margin-left:404.98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83pt;height:15.5pt;margin-top:53.2pt;margin-left:404.98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872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63355537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3355537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83pt;height:15.5pt;margin-top:53.2pt;margin-left:404.98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83pt;height:15.5pt;margin-top:53.2pt;margin-left:404.98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281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2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83pt;height:15.5pt;margin-top:53.2pt;margin-left:404.98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076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2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83pt;height:15.5pt;margin-top:53.2pt;margin-left:404.98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691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95240016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5240016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83pt;height:15.5pt;margin-top:53.2pt;margin-left:404.98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486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58904502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8904502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83pt;height:15.5pt;margin-top:53.2pt;margin-left:404.98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100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39306731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9306731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83pt;height:15.5pt;margin-top:53.2pt;margin-left:404.98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896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17127809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127809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83pt;height:15.5pt;margin-top:53.2pt;margin-left:404.98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E9512E"/>
    <w:multiLevelType w:val="hybridMultilevel"/>
    <w:tmpl w:val="00000000"/>
    <w:lvl w:ilvl="0">
      <w:start w:val="1"/>
      <w:numFmt w:val="decimal"/>
      <w:lvlText w:val="%1."/>
      <w:lvlJc w:val="left"/>
      <w:pPr>
        <w:ind w:left="837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355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71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87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0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1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3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51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67" w:hanging="541"/>
      </w:pPr>
      <w:rPr>
        <w:rFonts w:hint="default"/>
      </w:rPr>
    </w:lvl>
  </w:abstractNum>
  <w:abstractNum w:abstractNumId="1">
    <w:nsid w:val="124AF9D0"/>
    <w:multiLevelType w:val="hybridMultilevel"/>
    <w:tmpl w:val="00000000"/>
    <w:lvl w:ilvl="0">
      <w:start w:val="1"/>
      <w:numFmt w:val="decimal"/>
      <w:lvlText w:val="%1）"/>
      <w:lvlJc w:val="left"/>
      <w:pPr>
        <w:ind w:left="837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355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71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87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0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1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3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51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67" w:hanging="541"/>
      </w:pPr>
      <w:rPr>
        <w:rFonts w:hint="default"/>
      </w:rPr>
    </w:lvl>
  </w:abstractNum>
  <w:abstractNum w:abstractNumId="2">
    <w:nsid w:val="15E30497"/>
    <w:multiLevelType w:val="hybridMultilevel"/>
    <w:tmpl w:val="00000000"/>
    <w:lvl w:ilvl="0">
      <w:start w:val="1"/>
      <w:numFmt w:val="decimal"/>
      <w:lvlText w:val="%1."/>
      <w:lvlJc w:val="left"/>
      <w:pPr>
        <w:ind w:left="837" w:hanging="423"/>
        <w:jc w:val="righ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355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71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87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03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1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35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51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67" w:hanging="423"/>
      </w:pPr>
      <w:rPr>
        <w:rFonts w:hint="default"/>
      </w:rPr>
    </w:lvl>
  </w:abstractNum>
  <w:abstractNum w:abstractNumId="3">
    <w:nsid w:val="17E06AEA"/>
    <w:multiLevelType w:val="hybridMultilevel"/>
    <w:tmpl w:val="00000000"/>
    <w:lvl w:ilvl="0">
      <w:start w:val="1"/>
      <w:numFmt w:val="decimal"/>
      <w:lvlText w:val="%1）"/>
      <w:lvlJc w:val="left"/>
      <w:pPr>
        <w:ind w:left="2098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489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7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6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5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4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3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2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19" w:hanging="541"/>
      </w:pPr>
      <w:rPr>
        <w:rFonts w:hint="default"/>
      </w:rPr>
    </w:lvl>
  </w:abstractNum>
  <w:abstractNum w:abstractNumId="4">
    <w:nsid w:val="26C3323B"/>
    <w:multiLevelType w:val="hybridMultilevel"/>
    <w:tmpl w:val="00000000"/>
    <w:lvl w:ilvl="0">
      <w:start w:val="1"/>
      <w:numFmt w:val="decimal"/>
      <w:lvlText w:val="%1）"/>
      <w:lvlJc w:val="left"/>
      <w:pPr>
        <w:ind w:left="837" w:hanging="541"/>
        <w:jc w:val="left"/>
      </w:pPr>
      <w:rPr>
        <w:rFonts w:ascii="宋体" w:eastAsia="宋体" w:hAnsi="宋体" w:cs="宋体" w:hint="default"/>
        <w:spacing w:val="-44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355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71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87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0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1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3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51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67" w:hanging="541"/>
      </w:pPr>
      <w:rPr>
        <w:rFonts w:hint="default"/>
      </w:rPr>
    </w:lvl>
  </w:abstractNum>
  <w:abstractNum w:abstractNumId="5">
    <w:nsid w:val="3A53B592"/>
    <w:multiLevelType w:val="hybridMultilevel"/>
    <w:tmpl w:val="00000000"/>
    <w:lvl w:ilvl="0">
      <w:start w:val="1"/>
      <w:numFmt w:val="decimal"/>
      <w:lvlText w:val="（%1）"/>
      <w:lvlJc w:val="left"/>
      <w:pPr>
        <w:ind w:left="1738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16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9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1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4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6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9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2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47" w:hanging="901"/>
      </w:pPr>
      <w:rPr>
        <w:rFonts w:hint="default"/>
      </w:rPr>
    </w:lvl>
  </w:abstractNum>
  <w:abstractNum w:abstractNumId="6">
    <w:nsid w:val="487ED655"/>
    <w:multiLevelType w:val="hybridMultilevel"/>
    <w:tmpl w:val="00000000"/>
    <w:lvl w:ilvl="0">
      <w:start w:val="1"/>
      <w:numFmt w:val="decimal"/>
      <w:lvlText w:val="%1."/>
      <w:lvlJc w:val="left"/>
      <w:pPr>
        <w:ind w:left="837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355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71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87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0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1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3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51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67" w:hanging="541"/>
      </w:pPr>
      <w:rPr>
        <w:rFonts w:hint="default"/>
      </w:rPr>
    </w:lvl>
  </w:abstractNum>
  <w:abstractNum w:abstractNumId="7">
    <w:nsid w:val="48E39674"/>
    <w:multiLevelType w:val="hybridMultilevel"/>
    <w:tmpl w:val="00000000"/>
    <w:lvl w:ilvl="0">
      <w:start w:val="1"/>
      <w:numFmt w:val="decimal"/>
      <w:lvlText w:val="%1."/>
      <w:lvlJc w:val="left"/>
      <w:pPr>
        <w:ind w:left="1319" w:hanging="483"/>
        <w:jc w:val="righ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2787" w:hanging="4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55" w:hanging="4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23" w:hanging="4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91" w:hanging="4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59" w:hanging="4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27" w:hanging="4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95" w:hanging="4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63" w:hanging="483"/>
      </w:pPr>
      <w:rPr>
        <w:rFonts w:hint="default"/>
      </w:rPr>
    </w:lvl>
  </w:abstractNum>
  <w:abstractNum w:abstractNumId="8">
    <w:nsid w:val="6CC727E4"/>
    <w:multiLevelType w:val="hybridMultilevel"/>
    <w:tmpl w:val="00000000"/>
    <w:lvl w:ilvl="0">
      <w:start w:val="1"/>
      <w:numFmt w:val="decimal"/>
      <w:lvlText w:val="%1."/>
      <w:lvlJc w:val="left"/>
      <w:pPr>
        <w:ind w:left="1377" w:hanging="540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1"/>
      <w:numFmt w:val="decimal"/>
      <w:lvlText w:val="%2."/>
      <w:lvlJc w:val="left"/>
      <w:pPr>
        <w:ind w:left="2007" w:hanging="540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2">
      <w:start w:val="0"/>
      <w:numFmt w:val="bullet"/>
      <w:lvlText w:val="•"/>
      <w:lvlJc w:val="left"/>
      <w:pPr>
        <w:ind w:left="3555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11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66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22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7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3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88" w:hanging="540"/>
      </w:pPr>
      <w:rPr>
        <w:rFonts w:hint="default"/>
      </w:rPr>
    </w:lvl>
  </w:abstractNum>
  <w:abstractNum w:abstractNumId="9">
    <w:nsid w:val="7A65C2F6"/>
    <w:multiLevelType w:val="hybridMultilevel"/>
    <w:tmpl w:val="00000000"/>
    <w:lvl w:ilvl="0">
      <w:start w:val="1"/>
      <w:numFmt w:val="decimal"/>
      <w:lvlText w:val="%1）"/>
      <w:lvlJc w:val="left"/>
      <w:pPr>
        <w:ind w:left="837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355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71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87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0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1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3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51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67" w:hanging="541"/>
      </w:pPr>
      <w:rPr>
        <w:rFonts w:hint="default"/>
      </w:rPr>
    </w:lvl>
  </w:abstractNum>
  <w:abstractNum w:abstractNumId="10">
    <w:nsid w:val="7E77F4D4"/>
    <w:multiLevelType w:val="hybridMultilevel"/>
    <w:tmpl w:val="00000000"/>
    <w:lvl w:ilvl="0">
      <w:start w:val="1"/>
      <w:numFmt w:val="decimal"/>
      <w:lvlText w:val="%1）"/>
      <w:lvlJc w:val="left"/>
      <w:pPr>
        <w:ind w:left="837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355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71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87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0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1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3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51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67" w:hanging="541"/>
      </w:pPr>
      <w:rPr>
        <w:rFonts w:hint="default"/>
      </w:rPr>
    </w:lvl>
  </w:abstractNum>
  <w:num w:numId="1">
    <w:abstractNumId w:val="5"/>
  </w:num>
  <w:num w:numId="2">
    <w:abstractNumId w:val="7"/>
  </w:num>
  <w:num w:numId="3">
    <w:abstractNumId w:val="2"/>
  </w:num>
  <w:num w:numId="4">
    <w:abstractNumId w:val="8"/>
  </w:num>
  <w:num w:numId="5">
    <w:abstractNumId w:val="4"/>
  </w:num>
  <w:num w:numId="6">
    <w:abstractNumId w:val="9"/>
  </w:num>
  <w:num w:numId="7">
    <w:abstractNumId w:val="0"/>
  </w:num>
  <w:num w:numId="8">
    <w:abstractNumId w:val="10"/>
  </w:num>
  <w:num w:numId="9">
    <w:abstractNumId w:val="1"/>
  </w:num>
  <w:num w:numId="10">
    <w:abstractNumId w:val="3"/>
  </w:num>
  <w:num w:numId="11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evenAndOddHeaders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before="4"/>
      <w:ind w:left="2395"/>
      <w:outlineLvl w:val="0"/>
    </w:pPr>
    <w:rPr>
      <w:rFonts w:ascii="宋体" w:eastAsia="宋体" w:hAnsi="宋体" w:cs="宋体"/>
      <w:sz w:val="78"/>
      <w:szCs w:val="78"/>
    </w:rPr>
  </w:style>
  <w:style w:type="paragraph" w:styleId="Heading2">
    <w:name w:val="heading 2"/>
    <w:basedOn w:val="Normal"/>
    <w:uiPriority w:val="1"/>
    <w:qFormat/>
    <w:pPr>
      <w:ind w:left="1917"/>
      <w:outlineLvl w:val="1"/>
    </w:pPr>
    <w:rPr>
      <w:rFonts w:ascii="宋体" w:eastAsia="宋体" w:hAnsi="宋体" w:cs="宋体"/>
      <w:sz w:val="54"/>
      <w:szCs w:val="54"/>
    </w:rPr>
  </w:style>
  <w:style w:type="paragraph" w:styleId="Heading3">
    <w:name w:val="heading 3"/>
    <w:basedOn w:val="Normal"/>
    <w:uiPriority w:val="1"/>
    <w:qFormat/>
    <w:pPr>
      <w:spacing w:before="306"/>
      <w:ind w:left="1319" w:hanging="540"/>
      <w:outlineLvl w:val="2"/>
    </w:pPr>
    <w:rPr>
      <w:rFonts w:ascii="宋体" w:eastAsia="宋体" w:hAnsi="宋体" w:cs="宋体"/>
      <w:sz w:val="48"/>
      <w:szCs w:val="48"/>
    </w:rPr>
  </w:style>
  <w:style w:type="paragraph" w:styleId="Heading4">
    <w:name w:val="heading 4"/>
    <w:basedOn w:val="Normal"/>
    <w:uiPriority w:val="1"/>
    <w:qFormat/>
    <w:pPr>
      <w:ind w:left="1467"/>
      <w:outlineLvl w:val="3"/>
    </w:pPr>
    <w:rPr>
      <w:rFonts w:ascii="宋体" w:eastAsia="宋体" w:hAnsi="宋体" w:cs="宋体"/>
      <w:sz w:val="45"/>
      <w:szCs w:val="45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837" w:firstLine="719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header" Target="header4.xml" /><Relationship Id="rId12" Type="http://schemas.openxmlformats.org/officeDocument/2006/relationships/footer" Target="footer2.xml" /><Relationship Id="rId13" Type="http://schemas.openxmlformats.org/officeDocument/2006/relationships/footer" Target="footer3.xml" /><Relationship Id="rId14" Type="http://schemas.openxmlformats.org/officeDocument/2006/relationships/image" Target="media/image6.jpeg" /><Relationship Id="rId15" Type="http://schemas.openxmlformats.org/officeDocument/2006/relationships/header" Target="header5.xml" /><Relationship Id="rId16" Type="http://schemas.openxmlformats.org/officeDocument/2006/relationships/header" Target="header6.xml" /><Relationship Id="rId17" Type="http://schemas.openxmlformats.org/officeDocument/2006/relationships/footer" Target="footer4.xml" /><Relationship Id="rId18" Type="http://schemas.openxmlformats.org/officeDocument/2006/relationships/footer" Target="footer5.xml" /><Relationship Id="rId19" Type="http://schemas.openxmlformats.org/officeDocument/2006/relationships/image" Target="media/image8.jpeg" /><Relationship Id="rId2" Type="http://schemas.openxmlformats.org/officeDocument/2006/relationships/webSettings" Target="webSettings.xml" /><Relationship Id="rId20" Type="http://schemas.openxmlformats.org/officeDocument/2006/relationships/header" Target="header7.xml" /><Relationship Id="rId21" Type="http://schemas.openxmlformats.org/officeDocument/2006/relationships/header" Target="header8.xml" /><Relationship Id="rId22" Type="http://schemas.openxmlformats.org/officeDocument/2006/relationships/footer" Target="footer6.xml" /><Relationship Id="rId23" Type="http://schemas.openxmlformats.org/officeDocument/2006/relationships/footer" Target="footer7.xml" /><Relationship Id="rId24" Type="http://schemas.openxmlformats.org/officeDocument/2006/relationships/image" Target="media/image9.png" /><Relationship Id="rId25" Type="http://schemas.openxmlformats.org/officeDocument/2006/relationships/image" Target="media/image10.jpeg" /><Relationship Id="rId26" Type="http://schemas.openxmlformats.org/officeDocument/2006/relationships/image" Target="media/image11.png" /><Relationship Id="rId27" Type="http://schemas.openxmlformats.org/officeDocument/2006/relationships/header" Target="header9.xml" /><Relationship Id="rId28" Type="http://schemas.openxmlformats.org/officeDocument/2006/relationships/header" Target="header10.xml" /><Relationship Id="rId29" Type="http://schemas.openxmlformats.org/officeDocument/2006/relationships/footer" Target="footer8.xml" /><Relationship Id="rId3" Type="http://schemas.openxmlformats.org/officeDocument/2006/relationships/fontTable" Target="fontTable.xml" /><Relationship Id="rId30" Type="http://schemas.openxmlformats.org/officeDocument/2006/relationships/footer" Target="footer9.xml" /><Relationship Id="rId31" Type="http://schemas.openxmlformats.org/officeDocument/2006/relationships/header" Target="header11.xml" /><Relationship Id="rId32" Type="http://schemas.openxmlformats.org/officeDocument/2006/relationships/header" Target="header12.xml" /><Relationship Id="rId33" Type="http://schemas.openxmlformats.org/officeDocument/2006/relationships/footer" Target="footer10.xml" /><Relationship Id="rId34" Type="http://schemas.openxmlformats.org/officeDocument/2006/relationships/footer" Target="footer11.xml" /><Relationship Id="rId35" Type="http://schemas.openxmlformats.org/officeDocument/2006/relationships/header" Target="header13.xml" /><Relationship Id="rId36" Type="http://schemas.openxmlformats.org/officeDocument/2006/relationships/header" Target="header14.xml" /><Relationship Id="rId37" Type="http://schemas.openxmlformats.org/officeDocument/2006/relationships/footer" Target="footer12.xml" /><Relationship Id="rId38" Type="http://schemas.openxmlformats.org/officeDocument/2006/relationships/footer" Target="footer13.xml" /><Relationship Id="rId39" Type="http://schemas.openxmlformats.org/officeDocument/2006/relationships/header" Target="header15.xml" /><Relationship Id="rId4" Type="http://schemas.openxmlformats.org/officeDocument/2006/relationships/image" Target="media/image1.jpeg" /><Relationship Id="rId40" Type="http://schemas.openxmlformats.org/officeDocument/2006/relationships/header" Target="header16.xml" /><Relationship Id="rId41" Type="http://schemas.openxmlformats.org/officeDocument/2006/relationships/footer" Target="footer14.xml" /><Relationship Id="rId42" Type="http://schemas.openxmlformats.org/officeDocument/2006/relationships/footer" Target="footer15.xml" /><Relationship Id="rId43" Type="http://schemas.openxmlformats.org/officeDocument/2006/relationships/image" Target="media/image12.jpeg" /><Relationship Id="rId44" Type="http://schemas.openxmlformats.org/officeDocument/2006/relationships/hyperlink" Target="https://d.book118.com/486140153121010053" TargetMode="External" /><Relationship Id="rId45" Type="http://schemas.openxmlformats.org/officeDocument/2006/relationships/header" Target="header17.xml" /><Relationship Id="rId46" Type="http://schemas.openxmlformats.org/officeDocument/2006/relationships/header" Target="header18.xml" /><Relationship Id="rId47" Type="http://schemas.openxmlformats.org/officeDocument/2006/relationships/footer" Target="footer16.xml" /><Relationship Id="rId48" Type="http://schemas.openxmlformats.org/officeDocument/2006/relationships/footer" Target="footer17.xml" /><Relationship Id="rId49" Type="http://schemas.openxmlformats.org/officeDocument/2006/relationships/theme" Target="theme/theme1.xml" /><Relationship Id="rId5" Type="http://schemas.openxmlformats.org/officeDocument/2006/relationships/image" Target="media/image2.jpeg" /><Relationship Id="rId50" Type="http://schemas.openxmlformats.org/officeDocument/2006/relationships/numbering" Target="numbering.xml" /><Relationship Id="rId51" Type="http://schemas.openxmlformats.org/officeDocument/2006/relationships/styles" Target="styles.xml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image" Target="media/image5.jpe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2024-02-02T15:37:15Z</dcterms:created>
  <dcterms:modified xsi:type="dcterms:W3CDTF">2024-02-02T15:37:15Z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2022-11-16T00:00:00Z</vt:filetime>
  </property>
  <property fmtid="{D5CDD505-2E9C-101B-9397-08002B2CF9AE}" pid="3" name="LastSaved">
    <vt:filetime>2024-02-02T00:00:00Z</vt:filetime>
  </property>
</Properties>
</file>