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D359BE" w14:paraId="4E7D8172" w14:textId="01C46940">
      <w:pPr>
        <w:jc w:val="left"/>
        <w:rPr>
          <w:rFonts w:ascii="Times New Roman" w:eastAsia="楷体_GB2312" w:hAnsi="Times New Roman" w:cs="Times New Roman"/>
          <w:b/>
          <w:sz w:val="44"/>
          <w:szCs w:val="24"/>
        </w:rPr>
      </w:pPr>
    </w:p>
    <w:p w:rsidR="00D359BE" w14:paraId="3FDBD073" w14:textId="77777777">
      <w:pPr>
        <w:spacing w:before="120" w:after="120"/>
        <w:rPr>
          <w:rFonts w:ascii="Times New Roman" w:eastAsia="楷体_GB2312" w:hAnsi="Times New Roman" w:cs="Times New Roman"/>
          <w:b/>
          <w:sz w:val="44"/>
          <w:szCs w:val="24"/>
        </w:rPr>
      </w:pPr>
    </w:p>
    <w:p w:rsidR="00D359BE" w14:paraId="6ED8A40A" w14:textId="77777777">
      <w:pPr>
        <w:spacing w:before="120" w:after="120"/>
        <w:rPr>
          <w:rFonts w:eastAsia="黑体"/>
          <w:bCs/>
          <w:sz w:val="72"/>
        </w:rPr>
      </w:pPr>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毕</w:t>
      </w:r>
      <w:r>
        <w:rPr>
          <w:rFonts w:eastAsia="黑体" w:hint="eastAsia"/>
          <w:bCs/>
          <w:sz w:val="72"/>
        </w:rPr>
        <w:t xml:space="preserve"> </w:t>
      </w:r>
      <w:r>
        <w:rPr>
          <w:rFonts w:eastAsia="黑体" w:hint="eastAsia"/>
          <w:bCs/>
          <w:sz w:val="72"/>
        </w:rPr>
        <w:t>业</w:t>
      </w:r>
      <w:r>
        <w:rPr>
          <w:rFonts w:eastAsia="黑体" w:hint="eastAsia"/>
          <w:bCs/>
          <w:sz w:val="72"/>
        </w:rPr>
        <w:t xml:space="preserve"> </w:t>
      </w:r>
      <w:r w:rsidR="00F80CE0">
        <w:rPr>
          <w:rFonts w:eastAsia="黑体" w:hint="eastAsia"/>
          <w:bCs/>
          <w:sz w:val="72"/>
        </w:rPr>
        <w:t>设</w:t>
      </w:r>
      <w:r>
        <w:rPr>
          <w:rFonts w:eastAsia="黑体" w:hint="eastAsia"/>
          <w:bCs/>
          <w:sz w:val="72"/>
        </w:rPr>
        <w:t xml:space="preserve"> </w:t>
      </w:r>
      <w:r w:rsidR="00F80CE0">
        <w:rPr>
          <w:rFonts w:eastAsia="黑体" w:hint="eastAsia"/>
          <w:bCs/>
          <w:sz w:val="72"/>
        </w:rPr>
        <w:t>计</w:t>
      </w:r>
      <w:r>
        <w:rPr>
          <w:rFonts w:eastAsia="黑体" w:hint="eastAsia"/>
          <w:bCs/>
          <w:sz w:val="72"/>
        </w:rPr>
        <w:t>（</w:t>
      </w:r>
      <w:r w:rsidR="00F80CE0">
        <w:rPr>
          <w:rFonts w:eastAsia="黑体" w:hint="eastAsia"/>
          <w:bCs/>
          <w:sz w:val="72"/>
        </w:rPr>
        <w:t>论</w:t>
      </w:r>
      <w:r>
        <w:rPr>
          <w:rFonts w:eastAsia="黑体" w:hint="eastAsia"/>
          <w:bCs/>
          <w:sz w:val="72"/>
        </w:rPr>
        <w:t xml:space="preserve"> </w:t>
      </w:r>
      <w:r w:rsidR="00F80CE0">
        <w:rPr>
          <w:rFonts w:eastAsia="黑体" w:hint="eastAsia"/>
          <w:bCs/>
          <w:sz w:val="72"/>
        </w:rPr>
        <w:t>文</w:t>
      </w:r>
      <w:r>
        <w:rPr>
          <w:rFonts w:eastAsia="黑体" w:hint="eastAsia"/>
          <w:bCs/>
          <w:sz w:val="72"/>
        </w:rPr>
        <w:t>）</w:t>
      </w:r>
    </w:p>
    <w:p w:rsidR="00D359BE" w14:paraId="081A12CA" w14:textId="77777777">
      <w:pPr>
        <w:spacing w:line="480" w:lineRule="auto"/>
        <w:rPr>
          <w:rFonts w:ascii="Times New Roman" w:eastAsia="楷体_GB2312" w:hAnsi="Times New Roman" w:cs="Times New Roman"/>
          <w:b/>
          <w:sz w:val="44"/>
          <w:szCs w:val="24"/>
        </w:rPr>
      </w:pPr>
    </w:p>
    <w:p w:rsidR="00D359BE" w14:paraId="6B4F8C4C" w14:textId="77777777">
      <w:pPr>
        <w:spacing w:line="480" w:lineRule="auto"/>
        <w:rPr>
          <w:rFonts w:ascii="Times New Roman" w:eastAsia="楷体_GB2312" w:hAnsi="Times New Roman" w:cs="Times New Roman"/>
          <w:b/>
          <w:sz w:val="44"/>
          <w:szCs w:val="24"/>
        </w:rPr>
      </w:pPr>
    </w:p>
    <w:p w:rsidR="00D359BE" w14:paraId="65C6334C" w14:textId="77777777">
      <w:pPr>
        <w:spacing w:line="300" w:lineRule="auto"/>
        <w:rPr>
          <w:rFonts w:ascii="楷体_GB2312" w:eastAsia="楷体_GB2312" w:hAnsi="Times New Roman" w:cs="Times New Roman"/>
          <w:bCs/>
          <w:sz w:val="28"/>
          <w:szCs w:val="24"/>
          <w:u w:val="single"/>
        </w:rPr>
      </w:pPr>
      <w:r>
        <w:rPr>
          <w:rFonts w:ascii="楷体_GB2312" w:eastAsia="楷体_GB2312" w:hAnsi="Times New Roman" w:cs="Times New Roman" w:hint="eastAsia"/>
          <w:bCs/>
          <w:sz w:val="30"/>
          <w:szCs w:val="30"/>
        </w:rPr>
        <w:t>论文题目：</w:t>
      </w:r>
      <w:r>
        <w:rPr>
          <w:rFonts w:ascii="楷体_GB2312" w:eastAsia="楷体_GB2312" w:hAnsi="宋体" w:cs="Times New Roman" w:hint="eastAsia"/>
          <w:sz w:val="44"/>
          <w:szCs w:val="44"/>
          <w:u w:val="single"/>
        </w:rPr>
        <w:t xml:space="preserve"> </w:t>
      </w:r>
      <w:r>
        <w:rPr>
          <w:rFonts w:ascii="楷体_GB2312" w:eastAsia="楷体_GB2312" w:hAnsi="宋体" w:cs="Times New Roman"/>
          <w:sz w:val="44"/>
          <w:szCs w:val="44"/>
          <w:u w:val="single"/>
        </w:rPr>
        <w:t xml:space="preserve">     </w:t>
      </w:r>
      <w:r>
        <w:rPr>
          <w:rFonts w:ascii="Times New Roman" w:eastAsia="楷体" w:hAnsi="Times New Roman" w:cs="Times New Roman"/>
          <w:sz w:val="44"/>
          <w:szCs w:val="44"/>
          <w:u w:val="single"/>
        </w:rPr>
        <w:t xml:space="preserve"> </w:t>
      </w:r>
      <w:r>
        <w:rPr>
          <w:rFonts w:ascii="Times New Roman" w:eastAsia="楷体" w:hAnsi="Times New Roman" w:cs="Times New Roman"/>
          <w:sz w:val="44"/>
          <w:szCs w:val="44"/>
          <w:u w:val="single"/>
        </w:rPr>
        <w:t>重庆</w:t>
      </w:r>
      <w:r>
        <w:rPr>
          <w:rFonts w:ascii="楷体" w:eastAsia="楷体" w:hAnsi="楷体" w:cs="Times New Roman"/>
          <w:sz w:val="44"/>
          <w:szCs w:val="44"/>
          <w:u w:val="single"/>
        </w:rPr>
        <w:t>SX</w:t>
      </w:r>
      <w:r>
        <w:rPr>
          <w:rFonts w:ascii="Times New Roman" w:eastAsia="楷体" w:hAnsi="Times New Roman" w:cs="Times New Roman"/>
          <w:sz w:val="44"/>
          <w:szCs w:val="44"/>
          <w:u w:val="single"/>
        </w:rPr>
        <w:t>油库设计</w:t>
      </w:r>
      <w:r>
        <w:rPr>
          <w:rFonts w:ascii="楷体_GB2312" w:eastAsia="楷体_GB2312" w:hAnsi="Times New Roman" w:cs="Times New Roman" w:hint="eastAsia"/>
          <w:bCs/>
          <w:sz w:val="28"/>
          <w:szCs w:val="24"/>
          <w:u w:val="single"/>
        </w:rPr>
        <w:t xml:space="preserve">                </w:t>
      </w:r>
    </w:p>
    <w:p w:rsidR="00D359BE" w14:paraId="7FAAD5D4" w14:textId="77777777">
      <w:pPr>
        <w:jc w:val="center"/>
        <w:rPr>
          <w:rFonts w:ascii="楷体_GB2312" w:eastAsia="楷体_GB2312" w:hAnsi="Times New Roman" w:cs="Times New Roman"/>
          <w:b/>
          <w:sz w:val="28"/>
          <w:szCs w:val="24"/>
          <w:u w:val="single"/>
        </w:rPr>
      </w:pPr>
    </w:p>
    <w:p w:rsidR="00D359BE" w14:paraId="57DA2372" w14:textId="77777777">
      <w:pPr>
        <w:spacing w:line="480" w:lineRule="auto"/>
        <w:rPr>
          <w:rFonts w:ascii="仿宋_GB2312" w:eastAsia="仿宋_GB2312" w:hAnsi="Times New Roman" w:cs="Times New Roman"/>
          <w:b/>
          <w:sz w:val="28"/>
          <w:szCs w:val="24"/>
        </w:rPr>
      </w:pPr>
    </w:p>
    <w:p w:rsidR="008076C7" w:rsidP="00423413" w14:paraId="66A7369A" w14:textId="77777777">
      <w:pPr>
        <w:adjustRightInd w:val="0"/>
        <w:snapToGrid w:val="0"/>
        <w:spacing w:after="220" w:line="360" w:lineRule="auto"/>
        <w:jc w:val="center"/>
        <w:outlineLvl w:val="0"/>
        <w:rPr>
          <w:rFonts w:ascii="宋体" w:eastAsia="宋体" w:hAnsi="宋体"/>
          <w:sz w:val="44"/>
        </w:rPr>
        <w:sectPr w:rsidSect="00FF7A0B">
          <w:headerReference w:type="even" r:id="rId6"/>
          <w:headerReference w:type="default" r:id="rId7"/>
          <w:footerReference w:type="even" r:id="rId8"/>
          <w:footerReference w:type="default" r:id="rId9"/>
          <w:headerReference w:type="first" r:id="rId10"/>
          <w:footerReference w:type="first" r:id="rId11"/>
          <w:pgSz w:w="11906" w:h="16838"/>
          <w:pgMar w:top="1985" w:right="1418" w:bottom="1418" w:left="1418" w:header="1417" w:footer="1134" w:gutter="0"/>
          <w:pgNumType w:fmt="upperRoman" w:start="1"/>
          <w:cols w:space="425"/>
          <w:titlePg/>
          <w:docGrid w:linePitch="312"/>
        </w:sectPr>
      </w:pPr>
      <w:bookmarkStart w:id="0" w:name="_Toc135660704"/>
    </w:p>
    <w:p w:rsidR="00D359BE" w:rsidP="00423413" w14:paraId="656923B2" w14:textId="7E74ECA3">
      <w:pPr>
        <w:adjustRightInd w:val="0"/>
        <w:snapToGrid w:val="0"/>
        <w:spacing w:after="220" w:line="360" w:lineRule="auto"/>
        <w:jc w:val="center"/>
        <w:outlineLvl w:val="0"/>
        <w:rPr>
          <w:rFonts w:ascii="黑体" w:eastAsia="黑体" w:hAnsi="黑体" w:cs="Times New Roman"/>
          <w:sz w:val="30"/>
          <w:szCs w:val="32"/>
        </w:rPr>
      </w:pPr>
      <w:r>
        <w:rPr>
          <w:rFonts w:ascii="黑体" w:eastAsia="黑体" w:hAnsi="黑体" w:cs="Times New Roman" w:hint="eastAsia"/>
          <w:sz w:val="30"/>
          <w:szCs w:val="32"/>
        </w:rPr>
        <w:t>摘  要</w:t>
      </w:r>
      <w:bookmarkEnd w:id="0"/>
    </w:p>
    <w:p w:rsidR="00D359BE" w:rsidP="00423413" w14:paraId="0D8B4FCA" w14:textId="77777777">
      <w:pPr>
        <w:pStyle w:val="NormalWeb"/>
        <w:adjustRightInd w:val="0"/>
        <w:snapToGrid w:val="0"/>
        <w:spacing w:before="0" w:beforeAutospacing="0" w:after="0" w:afterAutospacing="0" w:line="300" w:lineRule="auto"/>
        <w:ind w:firstLine="480" w:firstLineChars="200"/>
        <w:rPr>
          <w:rFonts w:ascii="Times New Roman" w:hAnsi="Times New Roman" w:cs="Times New Roman"/>
        </w:rPr>
      </w:pPr>
      <w:r>
        <w:rPr>
          <w:rFonts w:ascii="Times New Roman" w:hAnsi="Times New Roman" w:cs="Times New Roman"/>
        </w:rPr>
        <w:t>油库是接收、储存、发放石油或石油产品的企业或单位。近几年，我国石油需求持续增长，消费结构也发生了变化。随着我国经济发展、人民生活水平提高、汽车数量增多和交通运输行业的迅速发展，对原油及成品油的需求不断增加。交通运输行业的不断发展</w:t>
      </w:r>
      <w:r>
        <w:rPr>
          <w:rFonts w:ascii="Times New Roman" w:hAnsi="Times New Roman" w:cs="Times New Roman" w:hint="eastAsia"/>
        </w:rPr>
        <w:t>使得</w:t>
      </w:r>
      <w:r>
        <w:rPr>
          <w:rFonts w:ascii="Times New Roman" w:hAnsi="Times New Roman" w:cs="Times New Roman"/>
        </w:rPr>
        <w:t>成品油运输方式也日趋多样化。在保障国家国防或者是推进国民经济蓬勃发展等方面它有着关键的</w:t>
      </w:r>
      <w:r>
        <w:rPr>
          <w:rFonts w:ascii="Times New Roman" w:hAnsi="Times New Roman" w:cs="Times New Roman"/>
        </w:rPr>
        <w:t>的</w:t>
      </w:r>
      <w:r>
        <w:rPr>
          <w:rFonts w:ascii="Times New Roman" w:hAnsi="Times New Roman" w:cs="Times New Roman"/>
        </w:rPr>
        <w:t>意义。另外，油库是我国信息系统建设和军队后勤保障工作的要紧核心部分</w:t>
      </w:r>
      <w:r>
        <w:rPr>
          <w:rFonts w:ascii="Times New Roman" w:hAnsi="Times New Roman" w:cs="Times New Roman"/>
        </w:rPr>
        <w:t>,</w:t>
      </w:r>
      <w:r>
        <w:rPr>
          <w:rFonts w:ascii="Times New Roman" w:hAnsi="Times New Roman" w:cs="Times New Roman"/>
        </w:rPr>
        <w:t>也是燃油储备、补给的基地。</w:t>
      </w:r>
    </w:p>
    <w:p w:rsidR="00D359BE" w:rsidRPr="003B00FC" w:rsidP="00423413" w14:paraId="3480AFFB" w14:textId="41AF9820">
      <w:pPr>
        <w:adjustRightInd w:val="0"/>
        <w:snapToGrid w:val="0"/>
        <w:spacing w:line="300" w:lineRule="auto"/>
        <w:ind w:firstLine="480" w:firstLineChars="200"/>
        <w:jc w:val="left"/>
        <w:rPr>
          <w:rFonts w:ascii="Times New Roman" w:hAnsi="Times New Roman" w:cs="Times New Roman"/>
          <w:szCs w:val="21"/>
        </w:rPr>
      </w:pPr>
      <w:r>
        <w:rPr>
          <w:rFonts w:ascii="Times New Roman" w:eastAsia="宋体" w:hAnsi="Times New Roman" w:cs="Times New Roman"/>
          <w:color w:val="000000"/>
          <w:sz w:val="24"/>
          <w:szCs w:val="24"/>
        </w:rPr>
        <w:t>本设计将按照任务书</w:t>
      </w:r>
      <w:r w:rsidR="003335C4">
        <w:rPr>
          <w:rFonts w:ascii="Times New Roman" w:eastAsia="宋体" w:hAnsi="Times New Roman" w:cs="Times New Roman" w:hint="eastAsia"/>
          <w:color w:val="000000"/>
          <w:sz w:val="24"/>
          <w:szCs w:val="24"/>
        </w:rPr>
        <w:t>中的</w:t>
      </w:r>
      <w:r>
        <w:rPr>
          <w:rFonts w:ascii="Times New Roman" w:eastAsia="宋体" w:hAnsi="Times New Roman" w:cs="Times New Roman"/>
          <w:color w:val="000000"/>
          <w:sz w:val="24"/>
          <w:szCs w:val="24"/>
        </w:rPr>
        <w:t>原始参数及设计的标准规范</w:t>
      </w:r>
      <w:r w:rsidR="0070554A">
        <w:rPr>
          <w:rFonts w:ascii="Times New Roman" w:eastAsia="宋体" w:hAnsi="Times New Roman" w:cs="Times New Roman" w:hint="eastAsia"/>
          <w:color w:val="000000"/>
          <w:sz w:val="24"/>
          <w:szCs w:val="24"/>
        </w:rPr>
        <w:t>：</w:t>
      </w:r>
      <w:r w:rsidR="0070554A">
        <w:rPr>
          <w:rFonts w:ascii="Times New Roman" w:eastAsia="宋体" w:hAnsi="Times New Roman" w:cs="Times New Roman"/>
          <w:sz w:val="24"/>
          <w:szCs w:val="24"/>
        </w:rPr>
        <w:t>GB50160-2008</w:t>
      </w:r>
      <w:r w:rsidR="0070554A">
        <w:rPr>
          <w:rFonts w:ascii="Times New Roman" w:eastAsia="宋体" w:hAnsi="Times New Roman" w:cs="Times New Roman"/>
          <w:sz w:val="24"/>
          <w:szCs w:val="24"/>
        </w:rPr>
        <w:t>《石油化工企业设计防火火规范》</w:t>
      </w:r>
      <w:r w:rsidR="0070554A">
        <w:rPr>
          <w:rFonts w:ascii="Times New Roman" w:eastAsia="宋体" w:hAnsi="Times New Roman" w:cs="Times New Roman" w:hint="eastAsia"/>
          <w:sz w:val="24"/>
          <w:szCs w:val="24"/>
        </w:rPr>
        <w:t>、</w:t>
      </w:r>
      <w:r w:rsidR="0070554A">
        <w:rPr>
          <w:rFonts w:ascii="Times New Roman" w:eastAsia="宋体" w:hAnsi="Times New Roman" w:cs="Times New Roman"/>
          <w:sz w:val="24"/>
          <w:szCs w:val="24"/>
        </w:rPr>
        <w:t>GB 50074-2014</w:t>
      </w:r>
      <w:r w:rsidR="0070554A">
        <w:rPr>
          <w:rFonts w:ascii="Times New Roman" w:eastAsia="宋体" w:hAnsi="Times New Roman" w:cs="Times New Roman"/>
          <w:sz w:val="24"/>
          <w:szCs w:val="24"/>
        </w:rPr>
        <w:t>《石油库设计规范》</w:t>
      </w:r>
      <w:r w:rsidR="0070554A">
        <w:rPr>
          <w:rFonts w:ascii="Times New Roman" w:eastAsia="宋体" w:hAnsi="Times New Roman" w:cs="Times New Roman" w:hint="eastAsia"/>
          <w:sz w:val="24"/>
          <w:szCs w:val="24"/>
        </w:rPr>
        <w:t>等</w:t>
      </w:r>
      <w:r>
        <w:rPr>
          <w:rFonts w:ascii="Times New Roman" w:eastAsia="宋体" w:hAnsi="Times New Roman" w:cs="Times New Roman"/>
          <w:color w:val="000000"/>
          <w:sz w:val="24"/>
          <w:szCs w:val="24"/>
        </w:rPr>
        <w:t>，</w:t>
      </w:r>
      <w:r w:rsidR="003335C4">
        <w:rPr>
          <w:rFonts w:ascii="Times New Roman" w:eastAsia="宋体" w:hAnsi="Times New Roman" w:cs="Times New Roman"/>
          <w:color w:val="000000"/>
          <w:sz w:val="24"/>
          <w:szCs w:val="24"/>
        </w:rPr>
        <w:t>在重庆三峡拟建一座成品油油库</w:t>
      </w:r>
      <w:r w:rsidR="003335C4">
        <w:rPr>
          <w:rFonts w:ascii="Times New Roman" w:eastAsia="宋体" w:hAnsi="Times New Roman" w:cs="Times New Roman" w:hint="eastAsia"/>
          <w:color w:val="000000"/>
          <w:sz w:val="24"/>
          <w:szCs w:val="24"/>
        </w:rPr>
        <w:t>并</w:t>
      </w:r>
      <w:r>
        <w:rPr>
          <w:rFonts w:ascii="Times New Roman" w:eastAsia="宋体" w:hAnsi="Times New Roman" w:cs="Times New Roman"/>
          <w:color w:val="000000"/>
          <w:sz w:val="24"/>
          <w:szCs w:val="24"/>
        </w:rPr>
        <w:t>对油库进行总平面布置</w:t>
      </w:r>
      <w:r w:rsidR="003B00FC">
        <w:rPr>
          <w:rFonts w:ascii="Times New Roman" w:eastAsia="宋体" w:hAnsi="Times New Roman" w:cs="Times New Roman" w:hint="eastAsia"/>
          <w:color w:val="000000"/>
          <w:sz w:val="24"/>
          <w:szCs w:val="24"/>
        </w:rPr>
        <w:t>和</w:t>
      </w:r>
      <w:r>
        <w:rPr>
          <w:rFonts w:ascii="Times New Roman" w:eastAsia="宋体" w:hAnsi="Times New Roman" w:cs="Times New Roman"/>
          <w:color w:val="000000"/>
          <w:sz w:val="24"/>
          <w:szCs w:val="24"/>
        </w:rPr>
        <w:t>工艺流程设计，并对相关设备进行计算和选择。</w:t>
      </w:r>
      <w:r>
        <w:rPr>
          <w:rFonts w:ascii="Times New Roman" w:eastAsia="宋体" w:hAnsi="Times New Roman" w:cs="Times New Roman"/>
          <w:sz w:val="24"/>
          <w:szCs w:val="20"/>
        </w:rPr>
        <w:t>经</w:t>
      </w:r>
      <w:r w:rsidR="003B00FC">
        <w:rPr>
          <w:rFonts w:ascii="Times New Roman" w:eastAsia="宋体" w:hAnsi="Times New Roman" w:cs="Times New Roman" w:hint="eastAsia"/>
          <w:sz w:val="24"/>
          <w:szCs w:val="20"/>
        </w:rPr>
        <w:t>过</w:t>
      </w:r>
      <w:r>
        <w:rPr>
          <w:rFonts w:ascii="Times New Roman" w:eastAsia="宋体" w:hAnsi="Times New Roman" w:cs="Times New Roman"/>
          <w:sz w:val="24"/>
          <w:szCs w:val="20"/>
        </w:rPr>
        <w:t>计算得出油库共</w:t>
      </w:r>
      <w:r>
        <w:rPr>
          <w:rFonts w:ascii="Times New Roman" w:eastAsia="宋体" w:hAnsi="Times New Roman" w:cs="Times New Roman"/>
          <w:sz w:val="24"/>
          <w:szCs w:val="20"/>
        </w:rPr>
        <w:t>15</w:t>
      </w:r>
      <w:r>
        <w:rPr>
          <w:rFonts w:ascii="Times New Roman" w:eastAsia="宋体" w:hAnsi="Times New Roman" w:cs="Times New Roman"/>
          <w:sz w:val="24"/>
          <w:szCs w:val="20"/>
        </w:rPr>
        <w:t>个</w:t>
      </w:r>
      <w:r>
        <w:rPr>
          <w:rFonts w:ascii="Times New Roman" w:eastAsia="宋体" w:hAnsi="Times New Roman" w:cs="Times New Roman"/>
          <w:sz w:val="24"/>
          <w:szCs w:val="20"/>
        </w:rPr>
        <w:t>罐其中</w:t>
      </w:r>
      <w:r>
        <w:rPr>
          <w:rFonts w:ascii="Times New Roman" w:eastAsia="宋体" w:hAnsi="Times New Roman" w:cs="Times New Roman"/>
          <w:sz w:val="24"/>
          <w:szCs w:val="20"/>
        </w:rPr>
        <w:t>包括</w:t>
      </w:r>
      <w:r>
        <w:rPr>
          <w:rFonts w:ascii="Times New Roman" w:eastAsia="宋体" w:hAnsi="Times New Roman" w:cs="Times New Roman"/>
          <w:sz w:val="24"/>
          <w:szCs w:val="20"/>
        </w:rPr>
        <w:t>13</w:t>
      </w:r>
      <w:r>
        <w:rPr>
          <w:rFonts w:ascii="Times New Roman" w:eastAsia="宋体" w:hAnsi="Times New Roman" w:cs="Times New Roman"/>
          <w:sz w:val="24"/>
          <w:szCs w:val="20"/>
        </w:rPr>
        <w:t>个</w:t>
      </w:r>
      <w:r>
        <w:rPr>
          <w:rFonts w:ascii="Times New Roman" w:eastAsia="宋体" w:hAnsi="Times New Roman" w:cs="Times New Roman"/>
          <w:sz w:val="24"/>
          <w:szCs w:val="20"/>
        </w:rPr>
        <w:t>10000m</w:t>
      </w:r>
      <w:r>
        <w:rPr>
          <w:rFonts w:ascii="Times New Roman" w:eastAsia="宋体" w:hAnsi="Times New Roman" w:cs="Times New Roman"/>
          <w:sz w:val="24"/>
          <w:szCs w:val="20"/>
          <w:vertAlign w:val="superscript"/>
        </w:rPr>
        <w:t>3</w:t>
      </w:r>
      <w:r>
        <w:rPr>
          <w:rFonts w:ascii="Times New Roman" w:eastAsia="宋体" w:hAnsi="Times New Roman" w:cs="Times New Roman"/>
          <w:sz w:val="24"/>
          <w:szCs w:val="20"/>
        </w:rPr>
        <w:t>内浮顶油罐、</w:t>
      </w:r>
      <w:r>
        <w:rPr>
          <w:rFonts w:ascii="Times New Roman" w:eastAsia="宋体" w:hAnsi="Times New Roman" w:cs="Times New Roman"/>
          <w:sz w:val="24"/>
          <w:szCs w:val="20"/>
        </w:rPr>
        <w:t>2</w:t>
      </w:r>
      <w:r>
        <w:rPr>
          <w:rFonts w:ascii="Times New Roman" w:eastAsia="宋体" w:hAnsi="Times New Roman" w:cs="Times New Roman"/>
          <w:sz w:val="24"/>
          <w:szCs w:val="20"/>
        </w:rPr>
        <w:t>个</w:t>
      </w:r>
      <w:r>
        <w:rPr>
          <w:rFonts w:ascii="Times New Roman" w:eastAsia="宋体" w:hAnsi="Times New Roman" w:cs="Times New Roman"/>
          <w:sz w:val="24"/>
          <w:szCs w:val="20"/>
        </w:rPr>
        <w:t>5000m</w:t>
      </w:r>
      <w:r>
        <w:rPr>
          <w:rFonts w:ascii="Times New Roman" w:eastAsia="宋体" w:hAnsi="Times New Roman" w:cs="Times New Roman"/>
          <w:sz w:val="24"/>
          <w:szCs w:val="20"/>
          <w:vertAlign w:val="superscript"/>
        </w:rPr>
        <w:t>3</w:t>
      </w:r>
      <w:r>
        <w:rPr>
          <w:rFonts w:ascii="Times New Roman" w:eastAsia="宋体" w:hAnsi="Times New Roman" w:cs="Times New Roman"/>
          <w:sz w:val="24"/>
          <w:szCs w:val="20"/>
        </w:rPr>
        <w:t>拱顶罐，是库容为</w:t>
      </w:r>
      <w:r>
        <w:rPr>
          <w:rFonts w:ascii="Times New Roman" w:eastAsia="宋体" w:hAnsi="Times New Roman" w:cs="Times New Roman"/>
          <w:sz w:val="24"/>
          <w:szCs w:val="20"/>
        </w:rPr>
        <w:t>12</w:t>
      </w:r>
      <w:r>
        <w:rPr>
          <w:rFonts w:ascii="Times New Roman" w:eastAsia="宋体" w:hAnsi="Times New Roman" w:cs="Times New Roman"/>
          <w:sz w:val="24"/>
          <w:szCs w:val="20"/>
        </w:rPr>
        <w:t>万吨的一级油库。</w:t>
      </w:r>
      <w:r>
        <w:rPr>
          <w:rFonts w:ascii="Times New Roman" w:eastAsia="宋体" w:hAnsi="Times New Roman" w:cs="Times New Roman"/>
          <w:sz w:val="24"/>
          <w:szCs w:val="24"/>
          <w:lang w:val="zh-CN"/>
        </w:rPr>
        <w:t>在装卸中选择</w:t>
      </w:r>
      <w:r>
        <w:rPr>
          <w:rFonts w:ascii="Times New Roman" w:eastAsia="宋体" w:hAnsi="Times New Roman" w:cs="Times New Roman"/>
          <w:sz w:val="24"/>
          <w:szCs w:val="24"/>
          <w:lang w:val="zh-CN"/>
        </w:rPr>
        <w:t>DN100-79</w:t>
      </w:r>
      <w:r>
        <w:rPr>
          <w:rFonts w:ascii="Times New Roman" w:eastAsia="宋体" w:hAnsi="Times New Roman" w:cs="Times New Roman"/>
          <w:sz w:val="24"/>
          <w:szCs w:val="24"/>
          <w:lang w:val="zh-CN"/>
        </w:rPr>
        <w:t>型鹤管</w:t>
      </w:r>
      <w:r>
        <w:rPr>
          <w:rFonts w:ascii="Times New Roman" w:eastAsia="宋体" w:hAnsi="Times New Roman" w:cs="Times New Roman"/>
          <w:sz w:val="24"/>
          <w:szCs w:val="24"/>
          <w:lang w:val="zh-CN"/>
        </w:rPr>
        <w:t>。在</w:t>
      </w:r>
      <w:r>
        <w:rPr>
          <w:rFonts w:ascii="Times New Roman" w:eastAsia="宋体" w:hAnsi="Times New Roman" w:cs="Times New Roman"/>
          <w:sz w:val="24"/>
          <w:szCs w:val="24"/>
          <w:lang w:val="zh-CN"/>
        </w:rPr>
        <w:t>泵方面</w:t>
      </w:r>
      <w:r>
        <w:rPr>
          <w:rFonts w:ascii="Times New Roman" w:eastAsia="宋体" w:hAnsi="Times New Roman" w:cs="Times New Roman"/>
          <w:sz w:val="24"/>
          <w:szCs w:val="24"/>
          <w:lang w:val="zh-CN"/>
        </w:rPr>
        <w:t>选取</w:t>
      </w:r>
      <w:r w:rsidR="003B00FC">
        <w:rPr>
          <w:rFonts w:ascii="Times New Roman" w:eastAsia="宋体" w:hAnsi="Times New Roman" w:cs="Times New Roman"/>
          <w:sz w:val="24"/>
          <w:szCs w:val="24"/>
        </w:rPr>
        <w:t>IH150-125-315</w:t>
      </w:r>
      <w:r w:rsidR="003B00FC">
        <w:rPr>
          <w:rFonts w:ascii="宋体" w:eastAsia="宋体" w:hAnsi="宋体" w:cs="Times New Roman" w:hint="eastAsia"/>
          <w:sz w:val="24"/>
          <w:szCs w:val="24"/>
        </w:rPr>
        <w:t>离心泵和</w:t>
      </w:r>
      <w:r w:rsidR="003B00FC">
        <w:rPr>
          <w:rFonts w:ascii="Times New Roman" w:eastAsia="宋体" w:hAnsi="Times New Roman" w:cs="Times New Roman"/>
          <w:sz w:val="24"/>
          <w:szCs w:val="24"/>
          <w:lang w:val="zh-CN"/>
        </w:rPr>
        <w:t>WY-50</w:t>
      </w:r>
      <w:r w:rsidR="003B00FC">
        <w:rPr>
          <w:rFonts w:ascii="Times New Roman" w:eastAsia="宋体" w:hAnsi="Times New Roman" w:cs="Times New Roman"/>
          <w:sz w:val="24"/>
          <w:szCs w:val="24"/>
          <w:lang w:val="zh-CN"/>
        </w:rPr>
        <w:t>（</w:t>
      </w:r>
      <w:r w:rsidR="003B00FC">
        <w:rPr>
          <w:rFonts w:ascii="Times New Roman" w:eastAsia="宋体" w:hAnsi="Times New Roman" w:cs="Times New Roman"/>
          <w:sz w:val="24"/>
          <w:szCs w:val="24"/>
          <w:lang w:val="zh-CN"/>
        </w:rPr>
        <w:t>V5</w:t>
      </w:r>
      <w:r w:rsidR="003B00FC">
        <w:rPr>
          <w:rFonts w:ascii="Times New Roman" w:eastAsia="宋体" w:hAnsi="Times New Roman" w:cs="Times New Roman"/>
          <w:sz w:val="24"/>
          <w:szCs w:val="24"/>
          <w:lang w:val="zh-CN"/>
        </w:rPr>
        <w:t>）型</w:t>
      </w:r>
      <w:r w:rsidR="003B00FC">
        <w:rPr>
          <w:rFonts w:ascii="Times New Roman" w:eastAsia="宋体" w:hAnsi="Times New Roman" w:cs="Times New Roman" w:hint="eastAsia"/>
          <w:sz w:val="24"/>
          <w:szCs w:val="24"/>
          <w:lang w:val="zh-CN"/>
        </w:rPr>
        <w:t>往复式真空</w:t>
      </w:r>
      <w:r w:rsidR="003B00FC">
        <w:rPr>
          <w:rFonts w:ascii="Times New Roman" w:eastAsia="宋体" w:hAnsi="Times New Roman" w:cs="Times New Roman"/>
          <w:sz w:val="24"/>
          <w:szCs w:val="24"/>
          <w:lang w:val="zh-CN"/>
        </w:rPr>
        <w:t>泵</w:t>
      </w:r>
      <w:r>
        <w:rPr>
          <w:rFonts w:ascii="Times New Roman" w:eastAsia="宋体" w:hAnsi="Times New Roman" w:cs="Times New Roman"/>
          <w:sz w:val="24"/>
          <w:szCs w:val="24"/>
          <w:lang w:val="zh-CN"/>
        </w:rPr>
        <w:t>。在消防设施方面采用固定式冷却，每个</w:t>
      </w:r>
      <w:r>
        <w:rPr>
          <w:rFonts w:ascii="Times New Roman" w:eastAsia="宋体" w:hAnsi="Times New Roman" w:cs="Times New Roman"/>
          <w:sz w:val="24"/>
          <w:szCs w:val="24"/>
          <w:lang w:val="zh-CN"/>
        </w:rPr>
        <w:t>罐周围</w:t>
      </w:r>
      <w:r>
        <w:rPr>
          <w:rFonts w:ascii="Times New Roman" w:eastAsia="宋体" w:hAnsi="Times New Roman" w:cs="Times New Roman"/>
          <w:sz w:val="24"/>
          <w:szCs w:val="24"/>
          <w:lang w:val="zh-CN"/>
        </w:rPr>
        <w:t>设置</w:t>
      </w:r>
      <w:r>
        <w:rPr>
          <w:rFonts w:ascii="Times New Roman" w:eastAsia="宋体" w:hAnsi="Times New Roman" w:cs="Times New Roman"/>
          <w:sz w:val="24"/>
          <w:szCs w:val="24"/>
          <w:lang w:val="zh-CN"/>
        </w:rPr>
        <w:t>4</w:t>
      </w:r>
      <w:r>
        <w:rPr>
          <w:rFonts w:ascii="Times New Roman" w:eastAsia="宋体" w:hAnsi="Times New Roman" w:cs="Times New Roman"/>
          <w:sz w:val="24"/>
          <w:szCs w:val="24"/>
          <w:lang w:val="zh-CN"/>
        </w:rPr>
        <w:t>个泡沫发生装置，</w:t>
      </w:r>
      <w:r>
        <w:rPr>
          <w:rFonts w:ascii="Times New Roman" w:eastAsia="宋体" w:hAnsi="Times New Roman" w:cs="Times New Roman"/>
          <w:sz w:val="24"/>
          <w:szCs w:val="24"/>
        </w:rPr>
        <w:t>泡沫液的储备量为</w:t>
      </w:r>
      <w:r>
        <w:rPr>
          <w:rFonts w:ascii="Times New Roman" w:eastAsia="宋体" w:hAnsi="Times New Roman" w:cs="Times New Roman"/>
          <w:sz w:val="24"/>
          <w:szCs w:val="24"/>
        </w:rPr>
        <w:t>100882</w:t>
      </w:r>
      <w:r>
        <w:rPr>
          <w:rFonts w:ascii="Times New Roman" w:eastAsia="宋体" w:hAnsi="Times New Roman" w:cs="Times New Roman"/>
          <w:sz w:val="24"/>
          <w:szCs w:val="20"/>
        </w:rPr>
        <w:t xml:space="preserve"> m</w:t>
      </w:r>
      <w:r>
        <w:rPr>
          <w:rFonts w:ascii="Times New Roman" w:eastAsia="宋体" w:hAnsi="Times New Roman" w:cs="Times New Roman"/>
          <w:sz w:val="24"/>
          <w:szCs w:val="20"/>
          <w:vertAlign w:val="superscript"/>
        </w:rPr>
        <w:t>3</w:t>
      </w:r>
      <w:r>
        <w:rPr>
          <w:rFonts w:ascii="Times New Roman" w:eastAsia="宋体" w:hAnsi="Times New Roman" w:cs="Times New Roman"/>
          <w:sz w:val="24"/>
          <w:szCs w:val="24"/>
        </w:rPr>
        <w:t>。</w:t>
      </w:r>
    </w:p>
    <w:p w:rsidR="00D359BE" w14:paraId="47EC017B" w14:textId="77777777">
      <w:pPr>
        <w:widowControl/>
        <w:spacing w:line="300" w:lineRule="auto"/>
        <w:ind w:firstLine="600" w:firstLineChars="200"/>
        <w:jc w:val="left"/>
        <w:rPr>
          <w:rFonts w:ascii="Times New Roman" w:eastAsia="黑体" w:hAnsi="Times New Roman" w:cs="Times New Roman"/>
          <w:bCs/>
          <w:kern w:val="0"/>
          <w:sz w:val="30"/>
          <w:szCs w:val="24"/>
        </w:rPr>
      </w:pPr>
    </w:p>
    <w:p w:rsidR="00D359BE" w:rsidRPr="00423413" w:rsidP="00423413" w14:paraId="4401A898" w14:textId="77777777">
      <w:pPr>
        <w:adjustRightInd w:val="0"/>
        <w:snapToGrid w:val="0"/>
        <w:spacing w:line="300" w:lineRule="auto"/>
        <w:rPr>
          <w:rFonts w:ascii="Times New Roman" w:eastAsia="宋体" w:hAnsi="Times New Roman" w:cs="Times New Roman"/>
          <w:b/>
          <w:sz w:val="24"/>
          <w:szCs w:val="20"/>
        </w:rPr>
      </w:pPr>
      <w:r w:rsidRPr="00423413">
        <w:rPr>
          <w:rFonts w:ascii="黑体" w:eastAsia="黑体" w:hAnsi="黑体" w:cs="Times New Roman" w:hint="eastAsia"/>
          <w:b/>
          <w:bCs/>
          <w:sz w:val="24"/>
          <w:szCs w:val="24"/>
        </w:rPr>
        <w:t>关键词</w:t>
      </w:r>
      <w:r w:rsidRPr="00423413">
        <w:rPr>
          <w:rFonts w:ascii="黑体" w:eastAsia="黑体" w:hAnsi="黑体" w:cs="Times New Roman" w:hint="eastAsia"/>
          <w:b/>
          <w:sz w:val="24"/>
          <w:szCs w:val="24"/>
        </w:rPr>
        <w:t xml:space="preserve">: </w:t>
      </w:r>
      <w:r w:rsidRPr="00423413">
        <w:rPr>
          <w:rFonts w:ascii="黑体" w:eastAsia="黑体" w:hAnsi="黑体" w:cs="Times New Roman" w:hint="eastAsia"/>
          <w:b/>
          <w:bCs/>
          <w:sz w:val="24"/>
          <w:szCs w:val="24"/>
        </w:rPr>
        <w:t>油库; 储油罐;工艺设计; 平面布局; 安全设施</w:t>
      </w:r>
    </w:p>
    <w:p w:rsidR="00D359BE" w14:paraId="0EADB20D" w14:textId="77777777">
      <w:pPr>
        <w:spacing w:line="300" w:lineRule="auto"/>
        <w:rPr>
          <w:rFonts w:ascii="Times New Roman" w:eastAsia="宋体" w:hAnsi="Times New Roman" w:cs="Times New Roman"/>
          <w:sz w:val="24"/>
          <w:szCs w:val="20"/>
        </w:rPr>
      </w:pPr>
    </w:p>
    <w:p w:rsidR="00D359BE" w14:paraId="3894669A" w14:textId="77777777">
      <w:pPr>
        <w:spacing w:line="300" w:lineRule="auto"/>
        <w:rPr>
          <w:rFonts w:ascii="Times New Roman" w:eastAsia="宋体" w:hAnsi="Times New Roman" w:cs="Times New Roman"/>
          <w:sz w:val="24"/>
          <w:szCs w:val="20"/>
        </w:rPr>
        <w:sectPr w:rsidSect="00FF7A0B">
          <w:headerReference w:type="even" r:id="rId12"/>
          <w:headerReference w:type="default" r:id="rId13"/>
          <w:footerReference w:type="even" r:id="rId14"/>
          <w:footerReference w:type="default" r:id="rId15"/>
          <w:headerReference w:type="first" r:id="rId16"/>
          <w:footerReference w:type="first" r:id="rId17"/>
          <w:type w:val="nextPage"/>
          <w:pgSz w:w="11906" w:h="16838"/>
          <w:pgMar w:top="1985" w:right="1418" w:bottom="1418" w:left="1418" w:header="1417" w:footer="1134" w:gutter="0"/>
          <w:pgNumType w:fmt="upperRoman" w:start="2"/>
          <w:cols w:space="425"/>
          <w:titlePg w:val="0"/>
          <w:docGrid w:linePitch="312"/>
        </w:sectPr>
      </w:pPr>
      <w:r>
        <w:rPr>
          <w:rFonts w:ascii="黑体" w:eastAsia="黑体" w:hAnsi="黑体" w:cs="Times New Roman" w:hint="eastAsia"/>
          <w:b/>
          <w:bCs/>
          <w:sz w:val="24"/>
          <w:szCs w:val="24"/>
        </w:rPr>
        <w:t>论文类型：工程设计</w:t>
      </w:r>
    </w:p>
    <w:p w:rsidR="00D359BE" w:rsidRPr="001C3162" w:rsidP="00423413" w14:paraId="62C7D939" w14:textId="77777777">
      <w:pPr>
        <w:adjustRightInd w:val="0"/>
        <w:snapToGrid w:val="0"/>
        <w:spacing w:after="220" w:line="360" w:lineRule="auto"/>
        <w:jc w:val="center"/>
        <w:outlineLvl w:val="0"/>
        <w:rPr>
          <w:rFonts w:ascii="Times New Roman" w:eastAsia="黑体" w:hAnsi="Times New Roman" w:cs="Times New Roman"/>
          <w:sz w:val="32"/>
          <w:szCs w:val="32"/>
        </w:rPr>
      </w:pPr>
      <w:bookmarkStart w:id="1" w:name="_Toc135660705"/>
      <w:r w:rsidRPr="001C3162">
        <w:rPr>
          <w:rFonts w:ascii="Times New Roman" w:eastAsia="黑体" w:hAnsi="Times New Roman" w:cs="Times New Roman"/>
          <w:sz w:val="30"/>
          <w:szCs w:val="32"/>
        </w:rPr>
        <w:t>Abstract</w:t>
      </w:r>
      <w:bookmarkEnd w:id="1"/>
    </w:p>
    <w:p w:rsidR="00D359BE" w:rsidP="00423413" w14:paraId="27E5513A" w14:textId="77777777">
      <w:pPr>
        <w:adjustRightInd w:val="0"/>
        <w:snapToGrid w:val="0"/>
        <w:spacing w:line="300" w:lineRule="auto"/>
        <w:ind w:firstLine="480" w:firstLineChars="200"/>
        <w:rPr>
          <w:rFonts w:ascii="Times New Roman" w:eastAsia="黑体" w:hAnsi="Times New Roman" w:cs="Times New Roman"/>
          <w:sz w:val="24"/>
          <w:szCs w:val="24"/>
        </w:rPr>
      </w:pPr>
      <w:r>
        <w:rPr>
          <w:rFonts w:ascii="Times New Roman" w:eastAsia="黑体" w:hAnsi="Times New Roman" w:cs="Times New Roman"/>
          <w:sz w:val="24"/>
          <w:szCs w:val="24"/>
        </w:rPr>
        <w:t>Petroleum oil depots are enterprises or units used to receive, store and distribute petroleum or petroleum products. In recent years, China's oil demand has continued to grow, and the consumption structure has also changed. With China's economic development, people's living standards, the increase in the number of automobiles and the rapid development of the transportation industry, the demand for crude oil and refined oil products is increasing. With the continuous development of the transportation industry, the transportation methods of refined oil products are also becoming more and more diversified. It is of key significance in ensuring national defense or promoting the vigorous development of the national economy. This has a particularly significant impact on the completion of national security construction and the rapid development of the national economy. In addition, the oil depot is the key core part of China's information system construction and the army's logistics support work, and it is also the base for fuel reserves and supplies.</w:t>
      </w:r>
    </w:p>
    <w:p w:rsidR="00D359BE" w:rsidP="00423413" w14:paraId="2369D8AB" w14:textId="573ABDF0">
      <w:pPr>
        <w:adjustRightInd w:val="0"/>
        <w:snapToGrid w:val="0"/>
        <w:spacing w:line="300" w:lineRule="auto"/>
        <w:ind w:firstLine="480" w:firstLineChars="200"/>
        <w:rPr>
          <w:rFonts w:ascii="Times New Roman" w:eastAsia="黑体" w:hAnsi="Times New Roman" w:cs="Times New Roman"/>
          <w:sz w:val="24"/>
          <w:szCs w:val="24"/>
        </w:rPr>
      </w:pPr>
      <w:r w:rsidRPr="00E07153">
        <w:rPr>
          <w:rFonts w:ascii="Times New Roman" w:eastAsia="黑体" w:hAnsi="Times New Roman" w:cs="Times New Roman"/>
          <w:sz w:val="24"/>
          <w:szCs w:val="24"/>
        </w:rPr>
        <w:t>This design will be in accordance with the original parameters in the task book and the standard specifications of the design: GB50160-2008 "Code for the Design of Fire and Fire in Petrochemical Enterprises", GB 50074-2014 "Code for the Design of Petroleum Depot", etc., it is proposed to build a refined oil depot in Chongqing Three Gorges, and carry out the general layout and process flow design of the oil depot, and calculate and select related equipment</w:t>
      </w:r>
      <w:r>
        <w:rPr>
          <w:rFonts w:ascii="Times New Roman" w:eastAsia="黑体" w:hAnsi="Times New Roman" w:cs="Times New Roman" w:hint="eastAsia"/>
          <w:sz w:val="24"/>
          <w:szCs w:val="24"/>
        </w:rPr>
        <w:t>.</w:t>
      </w:r>
      <w:r>
        <w:rPr>
          <w:rFonts w:ascii="Times New Roman" w:eastAsia="黑体" w:hAnsi="Times New Roman" w:cs="Times New Roman"/>
          <w:sz w:val="24"/>
          <w:szCs w:val="24"/>
        </w:rPr>
        <w:t xml:space="preserve"> </w:t>
      </w:r>
      <w:r w:rsidRPr="008166B9" w:rsidR="008166B9">
        <w:rPr>
          <w:rFonts w:ascii="Times New Roman" w:eastAsia="黑体" w:hAnsi="Times New Roman" w:cs="Times New Roman"/>
          <w:sz w:val="24"/>
          <w:szCs w:val="24"/>
        </w:rPr>
        <w:t>After calculation, the oil depot has a total of 15 tanks, including 13 10,000m</w:t>
      </w:r>
      <w:r w:rsidRPr="008166B9" w:rsidR="008166B9">
        <w:rPr>
          <w:rFonts w:ascii="Times New Roman" w:eastAsia="黑体" w:hAnsi="Times New Roman" w:cs="Times New Roman"/>
          <w:sz w:val="24"/>
          <w:szCs w:val="24"/>
          <w:vertAlign w:val="superscript"/>
        </w:rPr>
        <w:t>3</w:t>
      </w:r>
      <w:r w:rsidRPr="008166B9" w:rsidR="008166B9">
        <w:rPr>
          <w:rFonts w:ascii="Times New Roman" w:eastAsia="黑体" w:hAnsi="Times New Roman" w:cs="Times New Roman"/>
          <w:sz w:val="24"/>
          <w:szCs w:val="24"/>
        </w:rPr>
        <w:t xml:space="preserve"> floating roof tanks and 2 5,000m</w:t>
      </w:r>
      <w:r w:rsidRPr="008166B9" w:rsidR="008166B9">
        <w:rPr>
          <w:rFonts w:ascii="Times New Roman" w:eastAsia="黑体" w:hAnsi="Times New Roman" w:cs="Times New Roman"/>
          <w:sz w:val="24"/>
          <w:szCs w:val="24"/>
          <w:vertAlign w:val="superscript"/>
        </w:rPr>
        <w:t>3</w:t>
      </w:r>
      <w:r w:rsidRPr="008166B9" w:rsidR="008166B9">
        <w:rPr>
          <w:rFonts w:ascii="Times New Roman" w:eastAsia="黑体" w:hAnsi="Times New Roman" w:cs="Times New Roman"/>
          <w:sz w:val="24"/>
          <w:szCs w:val="24"/>
        </w:rPr>
        <w:t xml:space="preserve"> vault tanks, which is a first-class oil depot with a storage capacity of 120,000 tons. Choose DN100-79 crane pipe for loading and unloading. In terms of pumps, IH150-125-315 centrifugal pump and WY-50 (V5) reciprocating vacuum pump are selected. In terms of firefighting facilities, stationary cooling is adopted, and four foam generators are installed around each tank, and the foam liquid reserve is 100882 m</w:t>
      </w:r>
      <w:r w:rsidRPr="008166B9" w:rsidR="008166B9">
        <w:rPr>
          <w:rFonts w:ascii="Times New Roman" w:eastAsia="黑体" w:hAnsi="Times New Roman" w:cs="Times New Roman"/>
          <w:sz w:val="24"/>
          <w:szCs w:val="24"/>
          <w:vertAlign w:val="superscript"/>
        </w:rPr>
        <w:t>3</w:t>
      </w:r>
      <w:r w:rsidRPr="008166B9" w:rsidR="008166B9">
        <w:rPr>
          <w:rFonts w:ascii="Times New Roman" w:eastAsia="黑体" w:hAnsi="Times New Roman" w:cs="Times New Roman"/>
          <w:sz w:val="24"/>
          <w:szCs w:val="24"/>
        </w:rPr>
        <w:t>.</w:t>
      </w:r>
    </w:p>
    <w:p w:rsidR="00D359BE" w14:paraId="2EA9CD3F" w14:textId="77777777">
      <w:pPr>
        <w:spacing w:line="300" w:lineRule="auto"/>
        <w:ind w:firstLine="480" w:firstLineChars="200"/>
        <w:rPr>
          <w:rFonts w:ascii="Times New Roman" w:eastAsia="黑体" w:hAnsi="Times New Roman" w:cs="Times New Roman"/>
          <w:sz w:val="24"/>
          <w:szCs w:val="24"/>
        </w:rPr>
      </w:pPr>
    </w:p>
    <w:p w:rsidR="00D359BE" w:rsidRPr="00423413" w14:paraId="4333BB69" w14:textId="77777777">
      <w:pPr>
        <w:spacing w:after="100" w:afterAutospacing="1" w:line="400" w:lineRule="exact"/>
        <w:jc w:val="left"/>
        <w:rPr>
          <w:rFonts w:ascii="Times New Roman" w:eastAsia="黑体" w:hAnsi="Times New Roman" w:cs="Times New Roman"/>
          <w:b/>
          <w:bCs/>
          <w:sz w:val="24"/>
          <w:szCs w:val="24"/>
        </w:rPr>
      </w:pPr>
      <w:r w:rsidRPr="00423413">
        <w:rPr>
          <w:rFonts w:ascii="Times New Roman" w:eastAsia="黑体" w:hAnsi="Times New Roman" w:cs="Times New Roman"/>
          <w:b/>
          <w:bCs/>
          <w:sz w:val="24"/>
          <w:szCs w:val="24"/>
        </w:rPr>
        <w:t>Key words</w:t>
      </w:r>
      <w:r w:rsidRPr="00423413">
        <w:rPr>
          <w:rFonts w:ascii="Times New Roman" w:eastAsia="黑体" w:hAnsi="Times New Roman" w:cs="Times New Roman"/>
          <w:b/>
          <w:sz w:val="24"/>
          <w:szCs w:val="24"/>
        </w:rPr>
        <w:t xml:space="preserve">: </w:t>
      </w:r>
      <w:r w:rsidRPr="00423413">
        <w:rPr>
          <w:rFonts w:ascii="Times New Roman" w:eastAsia="黑体" w:hAnsi="Times New Roman" w:cs="Times New Roman"/>
          <w:b/>
          <w:bCs/>
          <w:sz w:val="24"/>
          <w:szCs w:val="24"/>
        </w:rPr>
        <w:t>oil depot; Storage tank; Process design; Plane layout; Safety facilities</w:t>
      </w:r>
    </w:p>
    <w:p w:rsidR="00D359BE" w14:paraId="32A97699" w14:textId="77777777">
      <w:pPr>
        <w:pStyle w:val="TOC10"/>
        <w:spacing w:before="120"/>
        <w:jc w:val="center"/>
        <w:rPr>
          <w:rFonts w:asciiTheme="minorHAnsi" w:eastAsiaTheme="minorEastAsia" w:hAnsiTheme="minorHAnsi" w:cstheme="minorBidi"/>
          <w:color w:val="auto"/>
          <w:kern w:val="2"/>
          <w:sz w:val="21"/>
          <w:szCs w:val="22"/>
        </w:rPr>
        <w:sectPr w:rsidSect="00FF7A0B">
          <w:headerReference w:type="even" r:id="rId18"/>
          <w:headerReference w:type="default" r:id="rId19"/>
          <w:footerReference w:type="even" r:id="rId20"/>
          <w:footerReference w:type="default" r:id="rId21"/>
          <w:headerReference w:type="first" r:id="rId22"/>
          <w:footerReference w:type="first" r:id="rId23"/>
          <w:type w:val="nextPage"/>
          <w:pgSz w:w="11906" w:h="16838"/>
          <w:pgMar w:top="1985" w:right="1418" w:bottom="1418" w:left="1418" w:header="1417" w:footer="1134" w:gutter="0"/>
          <w:pgNumType w:fmt="upperRoman" w:start="3"/>
          <w:cols w:space="425"/>
          <w:titlePg w:val="0"/>
          <w:docGrid w:linePitch="312"/>
        </w:sectPr>
      </w:pPr>
    </w:p>
    <w:sdt>
      <w:sdtPr>
        <w:rPr>
          <w:rFonts w:ascii="Times New Roman" w:hAnsi="Times New Roman" w:eastAsiaTheme="minorEastAsia" w:cs="Times New Roman"/>
          <w:color w:val="auto"/>
          <w:kern w:val="2"/>
          <w:sz w:val="21"/>
          <w:szCs w:val="22"/>
          <w:lang w:val="zh-CN"/>
        </w:rPr>
        <w:id w:val="-1916700834"/>
        <w:docPartObj>
          <w:docPartGallery w:val="Table of Contents"/>
          <w:docPartUnique/>
        </w:docPartObj>
      </w:sdtPr>
      <w:sdtEndPr>
        <w:rPr>
          <w:rFonts w:eastAsia="宋体"/>
          <w:b/>
          <w:bCs/>
          <w:sz w:val="24"/>
          <w:szCs w:val="24"/>
        </w:rPr>
      </w:sdtEndPr>
      <w:sdtContent>
        <w:p w:rsidR="00D359BE" w:rsidP="00423413" w14:paraId="2A37A20D" w14:textId="77777777">
          <w:pPr>
            <w:pStyle w:val="TOC10"/>
            <w:adjustRightInd w:val="0"/>
            <w:snapToGrid w:val="0"/>
            <w:spacing w:before="0" w:beforeLines="0" w:after="220" w:line="360" w:lineRule="auto"/>
            <w:jc w:val="center"/>
            <w:rPr>
              <w:rFonts w:ascii="Times New Roman" w:eastAsia="黑体" w:hAnsi="Times New Roman" w:cs="Times New Roman"/>
              <w:color w:val="auto"/>
              <w:sz w:val="30"/>
              <w:szCs w:val="30"/>
              <w:lang w:val="zh-CN"/>
            </w:rPr>
          </w:pPr>
          <w:r>
            <w:rPr>
              <w:rFonts w:ascii="Times New Roman" w:eastAsia="黑体" w:hAnsi="Times New Roman" w:cs="Times New Roman"/>
              <w:color w:val="auto"/>
              <w:kern w:val="2"/>
              <w:sz w:val="30"/>
              <w:lang w:val="zh-CN"/>
            </w:rPr>
            <w:t>目</w:t>
          </w:r>
          <w:r>
            <w:rPr>
              <w:rFonts w:ascii="Times New Roman" w:eastAsia="黑体" w:hAnsi="Times New Roman" w:cs="Times New Roman" w:hint="eastAsia"/>
              <w:color w:val="auto"/>
              <w:kern w:val="2"/>
              <w:sz w:val="30"/>
              <w:lang w:val="zh-CN"/>
            </w:rPr>
            <w:t xml:space="preserve"> </w:t>
          </w:r>
          <w:r>
            <w:rPr>
              <w:rFonts w:ascii="Times New Roman" w:eastAsia="黑体" w:hAnsi="Times New Roman" w:cs="Times New Roman"/>
              <w:color w:val="auto"/>
              <w:kern w:val="2"/>
              <w:sz w:val="30"/>
              <w:lang w:val="zh-CN"/>
            </w:rPr>
            <w:t xml:space="preserve">   </w:t>
          </w:r>
          <w:r>
            <w:rPr>
              <w:rFonts w:ascii="Times New Roman" w:eastAsia="黑体" w:hAnsi="Times New Roman" w:cs="Times New Roman"/>
              <w:color w:val="auto"/>
              <w:kern w:val="2"/>
              <w:sz w:val="30"/>
              <w:lang w:val="zh-CN"/>
            </w:rPr>
            <w:t>录</w:t>
          </w:r>
        </w:p>
        <w:p w:rsidR="006B6606" w:rsidRPr="00727539" w:rsidP="00727539" w14:paraId="56C0447C" w14:textId="77777777">
          <w:pPr>
            <w:pStyle w:val="TOC1"/>
            <w:tabs>
              <w:tab w:val="right" w:leader="dot" w:pos="9060"/>
            </w:tabs>
            <w:spacing w:line="300" w:lineRule="auto"/>
            <w:rPr>
              <w:rFonts w:ascii="宋体" w:eastAsia="宋体" w:hAnsi="宋体" w:cs="Times New Roman"/>
              <w:noProof/>
              <w:sz w:val="24"/>
              <w:szCs w:val="24"/>
            </w:rPr>
          </w:pPr>
          <w:r w:rsidRPr="00423413">
            <w:rPr>
              <w:rFonts w:ascii="Times New Roman" w:eastAsia="宋体" w:hAnsi="Times New Roman" w:cs="Times New Roman"/>
              <w:sz w:val="24"/>
              <w:szCs w:val="24"/>
            </w:rPr>
            <w:fldChar w:fldCharType="begin"/>
          </w:r>
          <w:r w:rsidRPr="00423413">
            <w:rPr>
              <w:rFonts w:ascii="Times New Roman" w:eastAsia="宋体" w:hAnsi="Times New Roman" w:cs="Times New Roman"/>
              <w:sz w:val="24"/>
              <w:szCs w:val="24"/>
            </w:rPr>
            <w:instrText xml:space="preserve"> TOC \o "1-3" \h \z \u </w:instrText>
          </w:r>
          <w:r w:rsidRPr="00423413">
            <w:rPr>
              <w:rFonts w:ascii="Times New Roman" w:eastAsia="宋体" w:hAnsi="Times New Roman" w:cs="Times New Roman"/>
              <w:sz w:val="24"/>
              <w:szCs w:val="24"/>
            </w:rPr>
            <w:fldChar w:fldCharType="separate"/>
          </w:r>
          <w:hyperlink w:anchor="_Toc135660704" w:history="1">
            <w:r w:rsidRPr="00727539">
              <w:rPr>
                <w:rStyle w:val="Hyperlink"/>
                <w:rFonts w:ascii="宋体" w:eastAsia="宋体" w:hAnsi="宋体" w:cs="Times New Roman"/>
                <w:noProof/>
                <w:sz w:val="24"/>
                <w:szCs w:val="24"/>
              </w:rPr>
              <w:t>摘  要</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_Toc135660704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I</w:t>
            </w:r>
            <w:r w:rsidRPr="00727539">
              <w:rPr>
                <w:rFonts w:ascii="宋体" w:eastAsia="宋体" w:hAnsi="宋体" w:cs="Times New Roman"/>
                <w:noProof/>
                <w:webHidden/>
                <w:sz w:val="24"/>
                <w:szCs w:val="24"/>
              </w:rPr>
              <w:fldChar w:fldCharType="end"/>
            </w:r>
          </w:hyperlink>
        </w:p>
        <w:p w:rsidR="006B6606" w:rsidRPr="00727539" w:rsidP="00727539" w14:paraId="291029B5" w14:textId="77777777">
          <w:pPr>
            <w:pStyle w:val="TOC1"/>
            <w:tabs>
              <w:tab w:val="right" w:leader="dot" w:pos="9060"/>
            </w:tabs>
            <w:spacing w:line="300" w:lineRule="auto"/>
            <w:rPr>
              <w:rFonts w:ascii="宋体" w:eastAsia="宋体" w:hAnsi="宋体" w:cs="Times New Roman"/>
              <w:noProof/>
              <w:sz w:val="24"/>
              <w:szCs w:val="24"/>
            </w:rPr>
          </w:pPr>
          <w:hyperlink w:anchor="_Toc135660705" w:history="1">
            <w:r w:rsidRPr="00727539">
              <w:rPr>
                <w:rStyle w:val="Hyperlink"/>
                <w:rFonts w:ascii="宋体" w:eastAsia="宋体" w:hAnsi="宋体" w:cs="Times New Roman"/>
                <w:noProof/>
                <w:sz w:val="24"/>
                <w:szCs w:val="24"/>
              </w:rPr>
              <w:t>Abstract</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_Toc135660705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II</w:t>
            </w:r>
            <w:r w:rsidRPr="00727539">
              <w:rPr>
                <w:rFonts w:ascii="宋体" w:eastAsia="宋体" w:hAnsi="宋体" w:cs="Times New Roman"/>
                <w:noProof/>
                <w:webHidden/>
                <w:sz w:val="24"/>
                <w:szCs w:val="24"/>
              </w:rPr>
              <w:fldChar w:fldCharType="end"/>
            </w:r>
          </w:hyperlink>
        </w:p>
        <w:p w:rsidR="006B6606" w:rsidRPr="00727539" w:rsidP="00727539" w14:paraId="6C1CC45E" w14:textId="77777777">
          <w:pPr>
            <w:pStyle w:val="TOC1"/>
            <w:tabs>
              <w:tab w:val="right" w:leader="dot" w:pos="9060"/>
            </w:tabs>
            <w:spacing w:line="300" w:lineRule="auto"/>
            <w:rPr>
              <w:rFonts w:ascii="宋体" w:eastAsia="宋体" w:hAnsi="宋体" w:cs="Times New Roman"/>
              <w:noProof/>
              <w:sz w:val="24"/>
              <w:szCs w:val="24"/>
            </w:rPr>
          </w:pPr>
          <w:hyperlink w:anchor="_Toc135660706" w:history="1">
            <w:r w:rsidRPr="00727539">
              <w:rPr>
                <w:rStyle w:val="Hyperlink"/>
                <w:rFonts w:ascii="宋体" w:eastAsia="宋体" w:hAnsi="宋体" w:cs="Times New Roman"/>
                <w:noProof/>
                <w:sz w:val="24"/>
                <w:szCs w:val="24"/>
              </w:rPr>
              <w:t>1 绪论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_Toc135660706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w:t>
            </w:r>
            <w:r w:rsidRPr="00727539">
              <w:rPr>
                <w:rFonts w:ascii="宋体" w:eastAsia="宋体" w:hAnsi="宋体" w:cs="Times New Roman"/>
                <w:noProof/>
                <w:webHidden/>
                <w:sz w:val="24"/>
                <w:szCs w:val="24"/>
              </w:rPr>
              <w:fldChar w:fldCharType="end"/>
            </w:r>
          </w:hyperlink>
        </w:p>
        <w:p w:rsidR="006B6606" w:rsidRPr="00727539" w:rsidP="00727539" w14:paraId="26A62C28" w14:textId="77777777">
          <w:pPr>
            <w:pStyle w:val="TOC2"/>
            <w:tabs>
              <w:tab w:val="right" w:leader="dot" w:pos="9060"/>
            </w:tabs>
            <w:spacing w:line="300" w:lineRule="auto"/>
            <w:rPr>
              <w:rFonts w:ascii="宋体" w:eastAsia="宋体" w:hAnsi="宋体" w:cs="Times New Roman"/>
              <w:noProof/>
              <w:sz w:val="24"/>
              <w:szCs w:val="24"/>
            </w:rPr>
          </w:pPr>
          <w:hyperlink w:anchor="_Toc135660707" w:history="1">
            <w:r w:rsidRPr="00727539">
              <w:rPr>
                <w:rStyle w:val="Hyperlink"/>
                <w:rFonts w:ascii="宋体" w:eastAsia="宋体" w:hAnsi="宋体" w:cs="Times New Roman"/>
                <w:noProof/>
                <w:sz w:val="24"/>
                <w:szCs w:val="24"/>
              </w:rPr>
              <w:t>1.1 课题目的</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_Toc135660707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w:t>
            </w:r>
            <w:r w:rsidRPr="00727539">
              <w:rPr>
                <w:rFonts w:ascii="宋体" w:eastAsia="宋体" w:hAnsi="宋体" w:cs="Times New Roman"/>
                <w:noProof/>
                <w:webHidden/>
                <w:sz w:val="24"/>
                <w:szCs w:val="24"/>
              </w:rPr>
              <w:fldChar w:fldCharType="end"/>
            </w:r>
          </w:hyperlink>
        </w:p>
        <w:p w:rsidR="006B6606" w:rsidRPr="00727539" w:rsidP="00727539" w14:paraId="4FF8C47C" w14:textId="77777777">
          <w:pPr>
            <w:pStyle w:val="TOC2"/>
            <w:tabs>
              <w:tab w:val="right" w:leader="dot" w:pos="9060"/>
            </w:tabs>
            <w:spacing w:line="300" w:lineRule="auto"/>
            <w:rPr>
              <w:rFonts w:ascii="宋体" w:eastAsia="宋体" w:hAnsi="宋体" w:cs="Times New Roman"/>
              <w:noProof/>
              <w:sz w:val="24"/>
              <w:szCs w:val="24"/>
            </w:rPr>
          </w:pPr>
          <w:hyperlink w:anchor="_Toc135660708" w:history="1">
            <w:r w:rsidRPr="00727539">
              <w:rPr>
                <w:rStyle w:val="Hyperlink"/>
                <w:rFonts w:ascii="宋体" w:eastAsia="宋体" w:hAnsi="宋体" w:cs="Times New Roman"/>
                <w:noProof/>
                <w:sz w:val="24"/>
                <w:szCs w:val="24"/>
              </w:rPr>
              <w:t>1.2 课题意义</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_Toc135660708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w:t>
            </w:r>
            <w:r w:rsidRPr="00727539">
              <w:rPr>
                <w:rFonts w:ascii="宋体" w:eastAsia="宋体" w:hAnsi="宋体" w:cs="Times New Roman"/>
                <w:noProof/>
                <w:webHidden/>
                <w:sz w:val="24"/>
                <w:szCs w:val="24"/>
              </w:rPr>
              <w:fldChar w:fldCharType="end"/>
            </w:r>
          </w:hyperlink>
        </w:p>
        <w:p w:rsidR="006B6606" w:rsidRPr="00727539" w:rsidP="00727539" w14:paraId="1596AD9B" w14:textId="77777777">
          <w:pPr>
            <w:pStyle w:val="TOC2"/>
            <w:tabs>
              <w:tab w:val="right" w:leader="dot" w:pos="9060"/>
            </w:tabs>
            <w:spacing w:line="300" w:lineRule="auto"/>
            <w:rPr>
              <w:rFonts w:ascii="宋体" w:eastAsia="宋体" w:hAnsi="宋体" w:cs="Times New Roman"/>
              <w:noProof/>
              <w:sz w:val="24"/>
              <w:szCs w:val="24"/>
            </w:rPr>
          </w:pPr>
          <w:hyperlink w:anchor="_Toc135660709" w:history="1">
            <w:r w:rsidRPr="00727539">
              <w:rPr>
                <w:rStyle w:val="Hyperlink"/>
                <w:rFonts w:ascii="宋体" w:eastAsia="宋体" w:hAnsi="宋体" w:cs="Times New Roman"/>
                <w:noProof/>
                <w:sz w:val="24"/>
                <w:szCs w:val="24"/>
              </w:rPr>
              <w:t>1.3 国内外现状</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_Toc135660709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w:t>
            </w:r>
            <w:r w:rsidRPr="00727539">
              <w:rPr>
                <w:rFonts w:ascii="宋体" w:eastAsia="宋体" w:hAnsi="宋体" w:cs="Times New Roman"/>
                <w:noProof/>
                <w:webHidden/>
                <w:sz w:val="24"/>
                <w:szCs w:val="24"/>
              </w:rPr>
              <w:fldChar w:fldCharType="end"/>
            </w:r>
          </w:hyperlink>
        </w:p>
        <w:p w:rsidR="006B6606" w:rsidRPr="00727539" w:rsidP="00727539" w14:paraId="508EBDA4" w14:textId="77777777">
          <w:pPr>
            <w:pStyle w:val="TOC3"/>
            <w:tabs>
              <w:tab w:val="right" w:leader="dot" w:pos="9060"/>
            </w:tabs>
            <w:spacing w:line="300" w:lineRule="auto"/>
            <w:rPr>
              <w:rFonts w:ascii="宋体" w:eastAsia="宋体" w:hAnsi="宋体" w:cs="Times New Roman"/>
              <w:noProof/>
              <w:sz w:val="24"/>
              <w:szCs w:val="24"/>
            </w:rPr>
          </w:pPr>
          <w:hyperlink w:anchor="_Toc135660710" w:history="1">
            <w:r w:rsidRPr="00727539">
              <w:rPr>
                <w:rStyle w:val="Hyperlink"/>
                <w:rFonts w:ascii="宋体" w:eastAsia="宋体" w:hAnsi="宋体" w:cs="Times New Roman"/>
                <w:noProof/>
                <w:sz w:val="24"/>
                <w:szCs w:val="24"/>
              </w:rPr>
              <w:t>1.3.1 国内现状</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_Toc135660710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w:t>
            </w:r>
            <w:r w:rsidRPr="00727539">
              <w:rPr>
                <w:rFonts w:ascii="宋体" w:eastAsia="宋体" w:hAnsi="宋体" w:cs="Times New Roman"/>
                <w:noProof/>
                <w:webHidden/>
                <w:sz w:val="24"/>
                <w:szCs w:val="24"/>
              </w:rPr>
              <w:fldChar w:fldCharType="end"/>
            </w:r>
          </w:hyperlink>
        </w:p>
        <w:p w:rsidR="006B6606" w:rsidRPr="00727539" w:rsidP="00727539" w14:paraId="0F0E2E79" w14:textId="77777777">
          <w:pPr>
            <w:pStyle w:val="TOC3"/>
            <w:tabs>
              <w:tab w:val="right" w:leader="dot" w:pos="9060"/>
            </w:tabs>
            <w:spacing w:line="300" w:lineRule="auto"/>
            <w:rPr>
              <w:rFonts w:ascii="宋体" w:eastAsia="宋体" w:hAnsi="宋体" w:cs="Times New Roman"/>
              <w:noProof/>
              <w:sz w:val="24"/>
              <w:szCs w:val="24"/>
            </w:rPr>
          </w:pPr>
          <w:hyperlink w:anchor="_Toc135660711" w:history="1">
            <w:r w:rsidRPr="00727539">
              <w:rPr>
                <w:rStyle w:val="Hyperlink"/>
                <w:rFonts w:ascii="宋体" w:eastAsia="宋体" w:hAnsi="宋体" w:cs="Times New Roman"/>
                <w:noProof/>
                <w:sz w:val="24"/>
                <w:szCs w:val="24"/>
              </w:rPr>
              <w:t>1.3.2 国外现状</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_Toc135660711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2</w:t>
            </w:r>
            <w:r w:rsidRPr="00727539">
              <w:rPr>
                <w:rFonts w:ascii="宋体" w:eastAsia="宋体" w:hAnsi="宋体" w:cs="Times New Roman"/>
                <w:noProof/>
                <w:webHidden/>
                <w:sz w:val="24"/>
                <w:szCs w:val="24"/>
              </w:rPr>
              <w:fldChar w:fldCharType="end"/>
            </w:r>
          </w:hyperlink>
        </w:p>
        <w:p w:rsidR="006B6606" w:rsidRPr="00727539" w:rsidP="00727539" w14:paraId="2E198F08" w14:textId="77777777">
          <w:pPr>
            <w:pStyle w:val="TOC2"/>
            <w:tabs>
              <w:tab w:val="right" w:leader="dot" w:pos="9060"/>
            </w:tabs>
            <w:spacing w:line="300" w:lineRule="auto"/>
            <w:rPr>
              <w:rFonts w:ascii="宋体" w:eastAsia="宋体" w:hAnsi="宋体" w:cs="Times New Roman"/>
              <w:noProof/>
              <w:sz w:val="24"/>
              <w:szCs w:val="24"/>
            </w:rPr>
          </w:pPr>
          <w:hyperlink w:anchor="_Toc135660712" w:history="1">
            <w:r w:rsidRPr="00727539">
              <w:rPr>
                <w:rStyle w:val="Hyperlink"/>
                <w:rFonts w:ascii="宋体" w:eastAsia="宋体" w:hAnsi="宋体" w:cs="Times New Roman"/>
                <w:noProof/>
                <w:sz w:val="24"/>
                <w:szCs w:val="24"/>
              </w:rPr>
              <w:t>1.4 设计依据</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_Toc135660712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w:t>
            </w:r>
            <w:r w:rsidRPr="00727539">
              <w:rPr>
                <w:rFonts w:ascii="宋体" w:eastAsia="宋体" w:hAnsi="宋体" w:cs="Times New Roman"/>
                <w:noProof/>
                <w:webHidden/>
                <w:sz w:val="24"/>
                <w:szCs w:val="24"/>
              </w:rPr>
              <w:fldChar w:fldCharType="end"/>
            </w:r>
          </w:hyperlink>
        </w:p>
        <w:p w:rsidR="006B6606" w:rsidRPr="00727539" w:rsidP="00727539" w14:paraId="2590ECCA" w14:textId="77777777">
          <w:pPr>
            <w:pStyle w:val="TOC2"/>
            <w:tabs>
              <w:tab w:val="right" w:leader="dot" w:pos="9060"/>
            </w:tabs>
            <w:spacing w:line="300" w:lineRule="auto"/>
            <w:rPr>
              <w:rFonts w:ascii="宋体" w:eastAsia="宋体" w:hAnsi="宋体" w:cs="Times New Roman"/>
              <w:noProof/>
              <w:sz w:val="24"/>
              <w:szCs w:val="24"/>
            </w:rPr>
          </w:pPr>
          <w:hyperlink w:anchor="_Toc135660713" w:history="1">
            <w:r w:rsidRPr="00727539">
              <w:rPr>
                <w:rStyle w:val="Hyperlink"/>
                <w:rFonts w:ascii="宋体" w:eastAsia="宋体" w:hAnsi="宋体" w:cs="Times New Roman"/>
                <w:noProof/>
                <w:sz w:val="24"/>
                <w:szCs w:val="24"/>
              </w:rPr>
              <w:t>1.5 主要设计资料</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_Toc135660713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w:t>
            </w:r>
            <w:r w:rsidRPr="00727539">
              <w:rPr>
                <w:rFonts w:ascii="宋体" w:eastAsia="宋体" w:hAnsi="宋体" w:cs="Times New Roman"/>
                <w:noProof/>
                <w:webHidden/>
                <w:sz w:val="24"/>
                <w:szCs w:val="24"/>
              </w:rPr>
              <w:fldChar w:fldCharType="end"/>
            </w:r>
          </w:hyperlink>
        </w:p>
        <w:p w:rsidR="006B6606" w:rsidRPr="00727539" w:rsidP="00727539" w14:paraId="43D8D4C7" w14:textId="77777777">
          <w:pPr>
            <w:pStyle w:val="TOC1"/>
            <w:tabs>
              <w:tab w:val="right" w:leader="dot" w:pos="9060"/>
            </w:tabs>
            <w:spacing w:line="300" w:lineRule="auto"/>
            <w:rPr>
              <w:rFonts w:ascii="宋体" w:eastAsia="宋体" w:hAnsi="宋体" w:cs="Times New Roman"/>
              <w:noProof/>
              <w:sz w:val="24"/>
              <w:szCs w:val="24"/>
            </w:rPr>
          </w:pPr>
          <w:hyperlink w:anchor="_Toc135660714" w:history="1">
            <w:r w:rsidRPr="00727539">
              <w:rPr>
                <w:rStyle w:val="Hyperlink"/>
                <w:rFonts w:ascii="宋体" w:eastAsia="宋体" w:hAnsi="宋体" w:cs="Times New Roman"/>
                <w:noProof/>
                <w:sz w:val="24"/>
                <w:szCs w:val="24"/>
              </w:rPr>
              <w:t>2 库区总平面布置</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_Toc135660714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5</w:t>
            </w:r>
            <w:r w:rsidRPr="00727539">
              <w:rPr>
                <w:rFonts w:ascii="宋体" w:eastAsia="宋体" w:hAnsi="宋体" w:cs="Times New Roman"/>
                <w:noProof/>
                <w:webHidden/>
                <w:sz w:val="24"/>
                <w:szCs w:val="24"/>
              </w:rPr>
              <w:fldChar w:fldCharType="end"/>
            </w:r>
          </w:hyperlink>
        </w:p>
        <w:p w:rsidR="006B6606" w:rsidRPr="00727539" w:rsidP="00727539" w14:paraId="7067B680" w14:textId="77777777">
          <w:pPr>
            <w:pStyle w:val="TOC2"/>
            <w:tabs>
              <w:tab w:val="right" w:leader="dot" w:pos="9060"/>
            </w:tabs>
            <w:spacing w:line="300" w:lineRule="auto"/>
            <w:rPr>
              <w:rFonts w:ascii="宋体" w:eastAsia="宋体" w:hAnsi="宋体" w:cs="Times New Roman"/>
              <w:noProof/>
              <w:sz w:val="24"/>
              <w:szCs w:val="24"/>
            </w:rPr>
          </w:pPr>
          <w:hyperlink w:anchor="_Toc135660715" w:history="1">
            <w:r w:rsidRPr="00727539">
              <w:rPr>
                <w:rStyle w:val="Hyperlink"/>
                <w:rFonts w:ascii="宋体" w:eastAsia="宋体" w:hAnsi="宋体" w:cs="Times New Roman"/>
                <w:noProof/>
                <w:sz w:val="24"/>
                <w:szCs w:val="24"/>
              </w:rPr>
              <w:t>2.1 库区概论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_Toc135660715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5</w:t>
            </w:r>
            <w:r w:rsidRPr="00727539">
              <w:rPr>
                <w:rFonts w:ascii="宋体" w:eastAsia="宋体" w:hAnsi="宋体" w:cs="Times New Roman"/>
                <w:noProof/>
                <w:webHidden/>
                <w:sz w:val="24"/>
                <w:szCs w:val="24"/>
              </w:rPr>
              <w:fldChar w:fldCharType="end"/>
            </w:r>
          </w:hyperlink>
        </w:p>
        <w:p w:rsidR="006B6606" w:rsidRPr="00727539" w:rsidP="00727539" w14:paraId="55D12F08" w14:textId="77777777">
          <w:pPr>
            <w:pStyle w:val="TOC2"/>
            <w:tabs>
              <w:tab w:val="right" w:leader="dot" w:pos="9060"/>
            </w:tabs>
            <w:spacing w:line="300" w:lineRule="auto"/>
            <w:rPr>
              <w:rFonts w:ascii="宋体" w:eastAsia="宋体" w:hAnsi="宋体" w:cs="Times New Roman"/>
              <w:noProof/>
              <w:sz w:val="24"/>
              <w:szCs w:val="24"/>
            </w:rPr>
          </w:pPr>
          <w:hyperlink w:anchor="_Toc135660716" w:history="1">
            <w:r w:rsidRPr="00727539">
              <w:rPr>
                <w:rStyle w:val="Hyperlink"/>
                <w:rFonts w:ascii="宋体" w:eastAsia="宋体" w:hAnsi="宋体" w:cs="Times New Roman"/>
                <w:noProof/>
                <w:sz w:val="24"/>
                <w:szCs w:val="24"/>
              </w:rPr>
              <w:t>2.2 油库库区总平面布置的原则</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_Toc135660716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5</w:t>
            </w:r>
            <w:r w:rsidRPr="00727539">
              <w:rPr>
                <w:rFonts w:ascii="宋体" w:eastAsia="宋体" w:hAnsi="宋体" w:cs="Times New Roman"/>
                <w:noProof/>
                <w:webHidden/>
                <w:sz w:val="24"/>
                <w:szCs w:val="24"/>
              </w:rPr>
              <w:fldChar w:fldCharType="end"/>
            </w:r>
          </w:hyperlink>
        </w:p>
        <w:p w:rsidR="006B6606" w:rsidRPr="00727539" w:rsidP="00727539" w14:paraId="55061A59" w14:textId="77777777">
          <w:pPr>
            <w:pStyle w:val="TOC2"/>
            <w:tabs>
              <w:tab w:val="right" w:leader="dot" w:pos="9060"/>
            </w:tabs>
            <w:spacing w:line="300" w:lineRule="auto"/>
            <w:rPr>
              <w:rFonts w:ascii="宋体" w:eastAsia="宋体" w:hAnsi="宋体" w:cs="Times New Roman"/>
              <w:noProof/>
              <w:sz w:val="24"/>
              <w:szCs w:val="24"/>
            </w:rPr>
          </w:pPr>
          <w:hyperlink w:anchor="_Toc135660717" w:history="1">
            <w:r w:rsidRPr="00727539">
              <w:rPr>
                <w:rStyle w:val="Hyperlink"/>
                <w:rFonts w:ascii="宋体" w:eastAsia="宋体" w:hAnsi="宋体" w:cs="Times New Roman"/>
                <w:noProof/>
                <w:sz w:val="24"/>
                <w:szCs w:val="24"/>
              </w:rPr>
              <w:t>2.3 库内分区及区内设施</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_Toc135660717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6</w:t>
            </w:r>
            <w:r w:rsidRPr="00727539">
              <w:rPr>
                <w:rFonts w:ascii="宋体" w:eastAsia="宋体" w:hAnsi="宋体" w:cs="Times New Roman"/>
                <w:noProof/>
                <w:webHidden/>
                <w:sz w:val="24"/>
                <w:szCs w:val="24"/>
              </w:rPr>
              <w:fldChar w:fldCharType="end"/>
            </w:r>
          </w:hyperlink>
        </w:p>
        <w:p w:rsidR="006B6606" w:rsidRPr="00727539" w:rsidP="00727539" w14:paraId="662DBD5E" w14:textId="77777777">
          <w:pPr>
            <w:pStyle w:val="TOC3"/>
            <w:tabs>
              <w:tab w:val="right" w:leader="dot" w:pos="9060"/>
            </w:tabs>
            <w:spacing w:line="300" w:lineRule="auto"/>
            <w:rPr>
              <w:rFonts w:ascii="宋体" w:eastAsia="宋体" w:hAnsi="宋体" w:cs="Times New Roman"/>
              <w:noProof/>
              <w:sz w:val="24"/>
              <w:szCs w:val="24"/>
            </w:rPr>
          </w:pPr>
          <w:hyperlink w:anchor="_Toc135660718" w:history="1">
            <w:r w:rsidRPr="00727539">
              <w:rPr>
                <w:rStyle w:val="Hyperlink"/>
                <w:rFonts w:ascii="宋体" w:eastAsia="宋体" w:hAnsi="宋体" w:cs="Times New Roman"/>
                <w:noProof/>
                <w:kern w:val="44"/>
                <w:sz w:val="24"/>
                <w:szCs w:val="24"/>
              </w:rPr>
              <w:t xml:space="preserve">2.3.1 </w:t>
            </w:r>
            <w:r w:rsidRPr="00727539">
              <w:rPr>
                <w:rStyle w:val="Hyperlink"/>
                <w:rFonts w:ascii="宋体" w:eastAsia="宋体" w:hAnsi="宋体" w:cs="Times New Roman"/>
                <w:noProof/>
                <w:sz w:val="24"/>
                <w:szCs w:val="24"/>
              </w:rPr>
              <w:t>储油区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_Toc135660718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6</w:t>
            </w:r>
            <w:r w:rsidRPr="00727539">
              <w:rPr>
                <w:rFonts w:ascii="宋体" w:eastAsia="宋体" w:hAnsi="宋体" w:cs="Times New Roman"/>
                <w:noProof/>
                <w:webHidden/>
                <w:sz w:val="24"/>
                <w:szCs w:val="24"/>
              </w:rPr>
              <w:fldChar w:fldCharType="end"/>
            </w:r>
          </w:hyperlink>
        </w:p>
        <w:p w:rsidR="006B6606" w:rsidRPr="00727539" w:rsidP="00727539" w14:paraId="03C6B4B7" w14:textId="77777777">
          <w:pPr>
            <w:pStyle w:val="TOC3"/>
            <w:tabs>
              <w:tab w:val="right" w:leader="dot" w:pos="9060"/>
            </w:tabs>
            <w:spacing w:line="300" w:lineRule="auto"/>
            <w:rPr>
              <w:rFonts w:ascii="宋体" w:eastAsia="宋体" w:hAnsi="宋体" w:cs="Times New Roman"/>
              <w:noProof/>
              <w:sz w:val="24"/>
              <w:szCs w:val="24"/>
            </w:rPr>
          </w:pPr>
          <w:hyperlink w:anchor="_Toc135660719" w:history="1">
            <w:r w:rsidRPr="00727539">
              <w:rPr>
                <w:rStyle w:val="Hyperlink"/>
                <w:rFonts w:ascii="宋体" w:eastAsia="宋体" w:hAnsi="宋体" w:cs="Times New Roman"/>
                <w:noProof/>
                <w:kern w:val="44"/>
                <w:sz w:val="24"/>
                <w:szCs w:val="24"/>
              </w:rPr>
              <w:t>2.3.2 辅助生产区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_Toc135660719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6</w:t>
            </w:r>
            <w:r w:rsidRPr="00727539">
              <w:rPr>
                <w:rFonts w:ascii="宋体" w:eastAsia="宋体" w:hAnsi="宋体" w:cs="Times New Roman"/>
                <w:noProof/>
                <w:webHidden/>
                <w:sz w:val="24"/>
                <w:szCs w:val="24"/>
              </w:rPr>
              <w:fldChar w:fldCharType="end"/>
            </w:r>
          </w:hyperlink>
        </w:p>
        <w:p w:rsidR="006B6606" w:rsidRPr="00727539" w:rsidP="00727539" w14:paraId="790F83BA" w14:textId="77777777">
          <w:pPr>
            <w:pStyle w:val="TOC3"/>
            <w:tabs>
              <w:tab w:val="right" w:leader="dot" w:pos="9060"/>
            </w:tabs>
            <w:spacing w:line="300" w:lineRule="auto"/>
            <w:rPr>
              <w:rFonts w:ascii="宋体" w:eastAsia="宋体" w:hAnsi="宋体" w:cs="Times New Roman"/>
              <w:noProof/>
              <w:sz w:val="24"/>
              <w:szCs w:val="24"/>
            </w:rPr>
          </w:pPr>
          <w:hyperlink w:anchor="_Toc135660720" w:history="1">
            <w:r w:rsidRPr="00727539">
              <w:rPr>
                <w:rStyle w:val="Hyperlink"/>
                <w:rFonts w:ascii="宋体" w:eastAsia="宋体" w:hAnsi="宋体" w:cs="Times New Roman"/>
                <w:noProof/>
                <w:kern w:val="44"/>
                <w:sz w:val="24"/>
                <w:szCs w:val="24"/>
              </w:rPr>
              <w:t>2.3.3 行政管理区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_Toc135660720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6</w:t>
            </w:r>
            <w:r w:rsidRPr="00727539">
              <w:rPr>
                <w:rFonts w:ascii="宋体" w:eastAsia="宋体" w:hAnsi="宋体" w:cs="Times New Roman"/>
                <w:noProof/>
                <w:webHidden/>
                <w:sz w:val="24"/>
                <w:szCs w:val="24"/>
              </w:rPr>
              <w:fldChar w:fldCharType="end"/>
            </w:r>
          </w:hyperlink>
        </w:p>
        <w:p w:rsidR="006B6606" w:rsidRPr="00727539" w:rsidP="00727539" w14:paraId="633D8010" w14:textId="77777777">
          <w:pPr>
            <w:pStyle w:val="TOC3"/>
            <w:tabs>
              <w:tab w:val="right" w:leader="dot" w:pos="9060"/>
            </w:tabs>
            <w:spacing w:line="300" w:lineRule="auto"/>
            <w:rPr>
              <w:rFonts w:ascii="宋体" w:eastAsia="宋体" w:hAnsi="宋体" w:cs="Times New Roman"/>
              <w:noProof/>
              <w:sz w:val="24"/>
              <w:szCs w:val="24"/>
            </w:rPr>
          </w:pPr>
          <w:hyperlink w:anchor="_Toc135660721" w:history="1">
            <w:r w:rsidRPr="00727539">
              <w:rPr>
                <w:rStyle w:val="Hyperlink"/>
                <w:rFonts w:ascii="宋体" w:eastAsia="宋体" w:hAnsi="宋体" w:cs="Times New Roman"/>
                <w:noProof/>
                <w:kern w:val="44"/>
                <w:sz w:val="24"/>
                <w:szCs w:val="24"/>
              </w:rPr>
              <w:t>2.3.4 装卸区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_Toc135660721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7</w:t>
            </w:r>
            <w:r w:rsidRPr="00727539">
              <w:rPr>
                <w:rFonts w:ascii="宋体" w:eastAsia="宋体" w:hAnsi="宋体" w:cs="Times New Roman"/>
                <w:noProof/>
                <w:webHidden/>
                <w:sz w:val="24"/>
                <w:szCs w:val="24"/>
              </w:rPr>
              <w:fldChar w:fldCharType="end"/>
            </w:r>
          </w:hyperlink>
        </w:p>
        <w:p w:rsidR="006B6606" w:rsidRPr="00727539" w:rsidP="00727539" w14:paraId="4966CBA4" w14:textId="77777777">
          <w:pPr>
            <w:pStyle w:val="TOC3"/>
            <w:tabs>
              <w:tab w:val="right" w:leader="dot" w:pos="9060"/>
            </w:tabs>
            <w:spacing w:line="300" w:lineRule="auto"/>
            <w:rPr>
              <w:rFonts w:ascii="宋体" w:eastAsia="宋体" w:hAnsi="宋体" w:cs="Times New Roman"/>
              <w:noProof/>
              <w:sz w:val="24"/>
              <w:szCs w:val="24"/>
            </w:rPr>
          </w:pPr>
          <w:hyperlink w:anchor="_Toc135660722" w:history="1">
            <w:r w:rsidRPr="00727539">
              <w:rPr>
                <w:rStyle w:val="Hyperlink"/>
                <w:rFonts w:ascii="宋体" w:eastAsia="宋体" w:hAnsi="宋体" w:cs="Times New Roman"/>
                <w:noProof/>
                <w:kern w:val="44"/>
                <w:sz w:val="24"/>
                <w:szCs w:val="24"/>
              </w:rPr>
              <w:t>2.3.5 库内道路布置</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_Toc135660722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7</w:t>
            </w:r>
            <w:r w:rsidRPr="00727539">
              <w:rPr>
                <w:rFonts w:ascii="宋体" w:eastAsia="宋体" w:hAnsi="宋体" w:cs="Times New Roman"/>
                <w:noProof/>
                <w:webHidden/>
                <w:sz w:val="24"/>
                <w:szCs w:val="24"/>
              </w:rPr>
              <w:fldChar w:fldCharType="end"/>
            </w:r>
          </w:hyperlink>
        </w:p>
        <w:p w:rsidR="006B6606" w:rsidRPr="00727539" w:rsidP="00727539" w14:paraId="079F26A7" w14:textId="77777777">
          <w:pPr>
            <w:pStyle w:val="TOC2"/>
            <w:tabs>
              <w:tab w:val="right" w:leader="dot" w:pos="9060"/>
            </w:tabs>
            <w:spacing w:line="300" w:lineRule="auto"/>
            <w:rPr>
              <w:rFonts w:ascii="宋体" w:eastAsia="宋体" w:hAnsi="宋体" w:cs="Times New Roman"/>
              <w:noProof/>
              <w:sz w:val="24"/>
              <w:szCs w:val="24"/>
            </w:rPr>
          </w:pPr>
          <w:hyperlink w:anchor="_Toc135660723" w:history="1">
            <w:r w:rsidRPr="00727539">
              <w:rPr>
                <w:rStyle w:val="Hyperlink"/>
                <w:rFonts w:ascii="宋体" w:eastAsia="宋体" w:hAnsi="宋体" w:cs="Times New Roman"/>
                <w:noProof/>
                <w:sz w:val="24"/>
                <w:szCs w:val="24"/>
              </w:rPr>
              <w:t>2.4 本章小结</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_Toc135660723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7</w:t>
            </w:r>
            <w:r w:rsidRPr="00727539">
              <w:rPr>
                <w:rFonts w:ascii="宋体" w:eastAsia="宋体" w:hAnsi="宋体" w:cs="Times New Roman"/>
                <w:noProof/>
                <w:webHidden/>
                <w:sz w:val="24"/>
                <w:szCs w:val="24"/>
              </w:rPr>
              <w:fldChar w:fldCharType="end"/>
            </w:r>
          </w:hyperlink>
        </w:p>
        <w:p w:rsidR="006B6606" w:rsidRPr="00727539" w:rsidP="00727539" w14:paraId="7F9A807F" w14:textId="77777777">
          <w:pPr>
            <w:pStyle w:val="TOC1"/>
            <w:tabs>
              <w:tab w:val="right" w:leader="dot" w:pos="9060"/>
            </w:tabs>
            <w:spacing w:line="300" w:lineRule="auto"/>
            <w:rPr>
              <w:rFonts w:ascii="宋体" w:eastAsia="宋体" w:hAnsi="宋体" w:cs="Times New Roman"/>
              <w:noProof/>
              <w:sz w:val="24"/>
              <w:szCs w:val="24"/>
            </w:rPr>
          </w:pPr>
          <w:hyperlink w:anchor="_Toc135660724" w:history="1">
            <w:r w:rsidRPr="00727539">
              <w:rPr>
                <w:rStyle w:val="Hyperlink"/>
                <w:rFonts w:ascii="宋体" w:eastAsia="宋体" w:hAnsi="宋体" w:cs="Times New Roman"/>
                <w:noProof/>
                <w:sz w:val="24"/>
                <w:szCs w:val="24"/>
              </w:rPr>
              <w:t>3 油库总平面计算</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_Toc135660724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9</w:t>
            </w:r>
            <w:r w:rsidRPr="00727539">
              <w:rPr>
                <w:rFonts w:ascii="宋体" w:eastAsia="宋体" w:hAnsi="宋体" w:cs="Times New Roman"/>
                <w:noProof/>
                <w:webHidden/>
                <w:sz w:val="24"/>
                <w:szCs w:val="24"/>
              </w:rPr>
              <w:fldChar w:fldCharType="end"/>
            </w:r>
          </w:hyperlink>
        </w:p>
        <w:p w:rsidR="006B6606" w:rsidRPr="00727539" w:rsidP="00727539" w14:paraId="6540924D" w14:textId="77777777">
          <w:pPr>
            <w:pStyle w:val="TOC2"/>
            <w:tabs>
              <w:tab w:val="right" w:leader="dot" w:pos="9060"/>
            </w:tabs>
            <w:spacing w:line="300" w:lineRule="auto"/>
            <w:rPr>
              <w:rFonts w:ascii="宋体" w:eastAsia="宋体" w:hAnsi="宋体" w:cs="Times New Roman"/>
              <w:noProof/>
              <w:sz w:val="24"/>
              <w:szCs w:val="24"/>
            </w:rPr>
          </w:pPr>
          <w:hyperlink w:anchor="_Toc135660725" w:history="1">
            <w:r w:rsidRPr="00727539">
              <w:rPr>
                <w:rStyle w:val="Hyperlink"/>
                <w:rFonts w:ascii="宋体" w:eastAsia="宋体" w:hAnsi="宋体" w:cs="Times New Roman"/>
                <w:noProof/>
                <w:sz w:val="24"/>
                <w:szCs w:val="24"/>
              </w:rPr>
              <w:t>3.1 库容的设计计算原则</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_Toc135660725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9</w:t>
            </w:r>
            <w:r w:rsidRPr="00727539">
              <w:rPr>
                <w:rFonts w:ascii="宋体" w:eastAsia="宋体" w:hAnsi="宋体" w:cs="Times New Roman"/>
                <w:noProof/>
                <w:webHidden/>
                <w:sz w:val="24"/>
                <w:szCs w:val="24"/>
              </w:rPr>
              <w:fldChar w:fldCharType="end"/>
            </w:r>
          </w:hyperlink>
        </w:p>
        <w:p w:rsidR="006B6606" w:rsidRPr="00727539" w:rsidP="00727539" w14:paraId="79399213" w14:textId="77777777">
          <w:pPr>
            <w:pStyle w:val="TOC2"/>
            <w:tabs>
              <w:tab w:val="right" w:leader="dot" w:pos="9060"/>
            </w:tabs>
            <w:spacing w:line="300" w:lineRule="auto"/>
            <w:rPr>
              <w:rFonts w:ascii="宋体" w:eastAsia="宋体" w:hAnsi="宋体" w:cs="Times New Roman"/>
              <w:noProof/>
              <w:sz w:val="24"/>
              <w:szCs w:val="24"/>
            </w:rPr>
          </w:pPr>
          <w:hyperlink w:anchor="_Toc135660726" w:history="1">
            <w:r w:rsidRPr="00727539">
              <w:rPr>
                <w:rStyle w:val="Hyperlink"/>
                <w:rFonts w:ascii="宋体" w:eastAsia="宋体" w:hAnsi="宋体" w:cs="Times New Roman"/>
                <w:noProof/>
                <w:sz w:val="24"/>
                <w:szCs w:val="24"/>
              </w:rPr>
              <w:t>3.2 周转系数法计算库容</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_Toc135660726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9</w:t>
            </w:r>
            <w:r w:rsidRPr="00727539">
              <w:rPr>
                <w:rFonts w:ascii="宋体" w:eastAsia="宋体" w:hAnsi="宋体" w:cs="Times New Roman"/>
                <w:noProof/>
                <w:webHidden/>
                <w:sz w:val="24"/>
                <w:szCs w:val="24"/>
              </w:rPr>
              <w:fldChar w:fldCharType="end"/>
            </w:r>
          </w:hyperlink>
        </w:p>
        <w:p w:rsidR="006B6606" w:rsidRPr="00727539" w:rsidP="00727539" w14:paraId="30A5D7A4" w14:textId="77777777">
          <w:pPr>
            <w:pStyle w:val="TOC2"/>
            <w:tabs>
              <w:tab w:val="right" w:leader="dot" w:pos="9060"/>
            </w:tabs>
            <w:spacing w:line="300" w:lineRule="auto"/>
            <w:rPr>
              <w:rFonts w:ascii="宋体" w:eastAsia="宋体" w:hAnsi="宋体" w:cs="Times New Roman"/>
              <w:noProof/>
              <w:sz w:val="24"/>
              <w:szCs w:val="24"/>
            </w:rPr>
          </w:pPr>
          <w:hyperlink w:anchor="_Toc135660727" w:history="1">
            <w:r w:rsidRPr="00727539">
              <w:rPr>
                <w:rStyle w:val="Hyperlink"/>
                <w:rFonts w:ascii="宋体" w:eastAsia="宋体" w:hAnsi="宋体" w:cs="Times New Roman"/>
                <w:noProof/>
                <w:sz w:val="24"/>
                <w:szCs w:val="24"/>
              </w:rPr>
              <w:t>3.3 罐区布置及防火堤高度的确定</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_Toc135660727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13</w:t>
            </w:r>
            <w:r w:rsidRPr="00727539">
              <w:rPr>
                <w:rFonts w:ascii="宋体" w:eastAsia="宋体" w:hAnsi="宋体" w:cs="Times New Roman"/>
                <w:noProof/>
                <w:webHidden/>
                <w:sz w:val="24"/>
                <w:szCs w:val="24"/>
              </w:rPr>
              <w:fldChar w:fldCharType="end"/>
            </w:r>
          </w:hyperlink>
        </w:p>
        <w:p w:rsidR="006B6606" w:rsidRPr="00727539" w:rsidP="00727539" w14:paraId="654E8844" w14:textId="77777777">
          <w:pPr>
            <w:pStyle w:val="TOC3"/>
            <w:tabs>
              <w:tab w:val="right" w:leader="dot" w:pos="9060"/>
            </w:tabs>
            <w:spacing w:line="300" w:lineRule="auto"/>
            <w:rPr>
              <w:rFonts w:ascii="宋体" w:eastAsia="宋体" w:hAnsi="宋体" w:cs="Times New Roman"/>
              <w:noProof/>
              <w:sz w:val="24"/>
              <w:szCs w:val="24"/>
            </w:rPr>
          </w:pPr>
          <w:hyperlink w:anchor="_Toc135660728" w:history="1">
            <w:r w:rsidRPr="00727539">
              <w:rPr>
                <w:rStyle w:val="Hyperlink"/>
                <w:rFonts w:ascii="宋体" w:eastAsia="宋体" w:hAnsi="宋体" w:cs="Times New Roman"/>
                <w:noProof/>
                <w:kern w:val="44"/>
                <w:sz w:val="24"/>
                <w:szCs w:val="24"/>
              </w:rPr>
              <w:t xml:space="preserve">3.3.1 </w:t>
            </w:r>
            <w:r w:rsidRPr="00727539">
              <w:rPr>
                <w:rStyle w:val="Hyperlink"/>
                <w:rFonts w:ascii="宋体" w:eastAsia="宋体" w:hAnsi="宋体" w:cs="Times New Roman"/>
                <w:noProof/>
                <w:sz w:val="24"/>
                <w:szCs w:val="24"/>
              </w:rPr>
              <w:t>汽油及航空汽油罐区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_Toc135660728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13</w:t>
            </w:r>
            <w:r w:rsidRPr="00727539">
              <w:rPr>
                <w:rFonts w:ascii="宋体" w:eastAsia="宋体" w:hAnsi="宋体" w:cs="Times New Roman"/>
                <w:noProof/>
                <w:webHidden/>
                <w:sz w:val="24"/>
                <w:szCs w:val="24"/>
              </w:rPr>
              <w:fldChar w:fldCharType="end"/>
            </w:r>
          </w:hyperlink>
        </w:p>
        <w:p w:rsidR="006B6606" w:rsidRPr="00727539" w:rsidP="00727539" w14:paraId="10CE82CE" w14:textId="77777777">
          <w:pPr>
            <w:pStyle w:val="TOC3"/>
            <w:tabs>
              <w:tab w:val="right" w:leader="dot" w:pos="9060"/>
            </w:tabs>
            <w:spacing w:line="300" w:lineRule="auto"/>
            <w:rPr>
              <w:rFonts w:ascii="宋体" w:eastAsia="宋体" w:hAnsi="宋体" w:cs="Times New Roman"/>
              <w:noProof/>
              <w:sz w:val="24"/>
              <w:szCs w:val="24"/>
            </w:rPr>
          </w:pPr>
          <w:hyperlink w:anchor="_Toc135660729" w:history="1">
            <w:r w:rsidRPr="00727539">
              <w:rPr>
                <w:rStyle w:val="Hyperlink"/>
                <w:rFonts w:ascii="宋体" w:eastAsia="宋体" w:hAnsi="宋体" w:cs="Times New Roman"/>
                <w:noProof/>
                <w:kern w:val="44"/>
                <w:sz w:val="24"/>
                <w:szCs w:val="24"/>
              </w:rPr>
              <w:t>3.3.2 柴油油罐区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_Toc135660729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14</w:t>
            </w:r>
            <w:r w:rsidRPr="00727539">
              <w:rPr>
                <w:rFonts w:ascii="宋体" w:eastAsia="宋体" w:hAnsi="宋体" w:cs="Times New Roman"/>
                <w:noProof/>
                <w:webHidden/>
                <w:sz w:val="24"/>
                <w:szCs w:val="24"/>
              </w:rPr>
              <w:fldChar w:fldCharType="end"/>
            </w:r>
          </w:hyperlink>
        </w:p>
        <w:p w:rsidR="006B6606" w:rsidRPr="00727539" w:rsidP="00727539" w14:paraId="5D7CD41A" w14:textId="77777777">
          <w:pPr>
            <w:pStyle w:val="TOC2"/>
            <w:tabs>
              <w:tab w:val="right" w:leader="dot" w:pos="9060"/>
            </w:tabs>
            <w:spacing w:line="300" w:lineRule="auto"/>
            <w:rPr>
              <w:rFonts w:ascii="宋体" w:eastAsia="宋体" w:hAnsi="宋体" w:cs="Times New Roman"/>
              <w:noProof/>
              <w:sz w:val="24"/>
              <w:szCs w:val="24"/>
            </w:rPr>
          </w:pPr>
          <w:hyperlink w:anchor="_Toc135660730" w:history="1">
            <w:r w:rsidRPr="00727539">
              <w:rPr>
                <w:rStyle w:val="Hyperlink"/>
                <w:rFonts w:ascii="宋体" w:eastAsia="宋体" w:hAnsi="宋体" w:cs="Times New Roman"/>
                <w:noProof/>
                <w:sz w:val="24"/>
                <w:szCs w:val="24"/>
              </w:rPr>
              <w:t>3.4 本章小结</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_Toc135660730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14</w:t>
            </w:r>
            <w:r w:rsidRPr="00727539">
              <w:rPr>
                <w:rFonts w:ascii="宋体" w:eastAsia="宋体" w:hAnsi="宋体" w:cs="Times New Roman"/>
                <w:noProof/>
                <w:webHidden/>
                <w:sz w:val="24"/>
                <w:szCs w:val="24"/>
              </w:rPr>
              <w:fldChar w:fldCharType="end"/>
            </w:r>
          </w:hyperlink>
        </w:p>
        <w:p w:rsidR="006B6606" w:rsidRPr="00727539" w:rsidP="00727539" w14:paraId="18E1DD4A" w14:textId="77777777">
          <w:pPr>
            <w:pStyle w:val="TOC1"/>
            <w:tabs>
              <w:tab w:val="right" w:leader="dot" w:pos="9060"/>
            </w:tabs>
            <w:spacing w:line="300" w:lineRule="auto"/>
            <w:rPr>
              <w:rFonts w:ascii="宋体" w:eastAsia="宋体" w:hAnsi="宋体" w:cs="Times New Roman"/>
              <w:noProof/>
              <w:sz w:val="24"/>
              <w:szCs w:val="24"/>
            </w:rPr>
          </w:pPr>
          <w:hyperlink w:anchor="_Toc135660731" w:history="1">
            <w:r w:rsidRPr="00727539">
              <w:rPr>
                <w:rStyle w:val="Hyperlink"/>
                <w:rFonts w:ascii="宋体" w:eastAsia="宋体" w:hAnsi="宋体" w:cs="Times New Roman"/>
                <w:noProof/>
                <w:sz w:val="24"/>
                <w:szCs w:val="24"/>
              </w:rPr>
              <w:t>4 装卸区设计</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_Toc135660731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15</w:t>
            </w:r>
            <w:r w:rsidRPr="00727539">
              <w:rPr>
                <w:rFonts w:ascii="宋体" w:eastAsia="宋体" w:hAnsi="宋体" w:cs="Times New Roman"/>
                <w:noProof/>
                <w:webHidden/>
                <w:sz w:val="24"/>
                <w:szCs w:val="24"/>
              </w:rPr>
              <w:fldChar w:fldCharType="end"/>
            </w:r>
          </w:hyperlink>
        </w:p>
        <w:p w:rsidR="006B6606" w:rsidRPr="00727539" w:rsidP="00727539" w14:paraId="2BF30C51" w14:textId="77777777">
          <w:pPr>
            <w:pStyle w:val="TOC2"/>
            <w:tabs>
              <w:tab w:val="right" w:leader="dot" w:pos="9060"/>
            </w:tabs>
            <w:spacing w:line="300" w:lineRule="auto"/>
            <w:rPr>
              <w:rFonts w:ascii="宋体" w:eastAsia="宋体" w:hAnsi="宋体" w:cs="Times New Roman"/>
              <w:noProof/>
              <w:sz w:val="24"/>
              <w:szCs w:val="24"/>
            </w:rPr>
          </w:pPr>
          <w:hyperlink w:anchor="_Toc135660732" w:history="1">
            <w:r w:rsidRPr="00727539">
              <w:rPr>
                <w:rStyle w:val="Hyperlink"/>
                <w:rFonts w:ascii="宋体" w:eastAsia="宋体" w:hAnsi="宋体" w:cs="Times New Roman"/>
                <w:noProof/>
                <w:sz w:val="24"/>
                <w:szCs w:val="24"/>
              </w:rPr>
              <w:t>4.1 根据作业情况确定每天到库的车位数</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_Toc135660732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15</w:t>
            </w:r>
            <w:r w:rsidRPr="00727539">
              <w:rPr>
                <w:rFonts w:ascii="宋体" w:eastAsia="宋体" w:hAnsi="宋体" w:cs="Times New Roman"/>
                <w:noProof/>
                <w:webHidden/>
                <w:sz w:val="24"/>
                <w:szCs w:val="24"/>
              </w:rPr>
              <w:fldChar w:fldCharType="end"/>
            </w:r>
          </w:hyperlink>
        </w:p>
        <w:p w:rsidR="006B6606" w:rsidRPr="00727539" w:rsidP="00727539" w14:paraId="262C4E41" w14:textId="77777777">
          <w:pPr>
            <w:pStyle w:val="TOC3"/>
            <w:tabs>
              <w:tab w:val="right" w:leader="dot" w:pos="9060"/>
            </w:tabs>
            <w:spacing w:line="300" w:lineRule="auto"/>
            <w:rPr>
              <w:rFonts w:ascii="宋体" w:eastAsia="宋体" w:hAnsi="宋体" w:cs="Times New Roman"/>
              <w:noProof/>
              <w:sz w:val="24"/>
              <w:szCs w:val="24"/>
            </w:rPr>
          </w:pPr>
          <w:hyperlink w:anchor="_Toc135660733" w:history="1">
            <w:r w:rsidRPr="00727539">
              <w:rPr>
                <w:rStyle w:val="Hyperlink"/>
                <w:rFonts w:ascii="宋体" w:eastAsia="宋体" w:hAnsi="宋体" w:cs="Times New Roman"/>
                <w:noProof/>
                <w:kern w:val="44"/>
                <w:sz w:val="24"/>
                <w:szCs w:val="24"/>
              </w:rPr>
              <w:t xml:space="preserve">4.1.1 </w:t>
            </w:r>
            <w:r w:rsidRPr="00727539">
              <w:rPr>
                <w:rStyle w:val="Hyperlink"/>
                <w:rFonts w:ascii="宋体" w:eastAsia="宋体" w:hAnsi="宋体" w:cs="Times New Roman"/>
                <w:noProof/>
                <w:sz w:val="24"/>
                <w:szCs w:val="24"/>
              </w:rPr>
              <w:t>根据牵引定数确定最大车位数</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_Toc135660733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16</w:t>
            </w:r>
            <w:r w:rsidRPr="00727539">
              <w:rPr>
                <w:rFonts w:ascii="宋体" w:eastAsia="宋体" w:hAnsi="宋体" w:cs="Times New Roman"/>
                <w:noProof/>
                <w:webHidden/>
                <w:sz w:val="24"/>
                <w:szCs w:val="24"/>
              </w:rPr>
              <w:fldChar w:fldCharType="end"/>
            </w:r>
          </w:hyperlink>
        </w:p>
        <w:p w:rsidR="006B6606" w:rsidRPr="00727539" w:rsidP="00727539" w14:paraId="0CC2CA64" w14:textId="77777777">
          <w:pPr>
            <w:pStyle w:val="TOC3"/>
            <w:tabs>
              <w:tab w:val="right" w:leader="dot" w:pos="9060"/>
            </w:tabs>
            <w:spacing w:line="300" w:lineRule="auto"/>
            <w:rPr>
              <w:rFonts w:ascii="宋体" w:eastAsia="宋体" w:hAnsi="宋体" w:cs="Times New Roman"/>
              <w:noProof/>
              <w:sz w:val="24"/>
              <w:szCs w:val="24"/>
            </w:rPr>
          </w:pPr>
          <w:hyperlink w:anchor="_Toc135660734" w:history="1">
            <w:r w:rsidRPr="00727539">
              <w:rPr>
                <w:rStyle w:val="Hyperlink"/>
                <w:rFonts w:ascii="宋体" w:eastAsia="宋体" w:hAnsi="宋体" w:cs="Times New Roman"/>
                <w:noProof/>
                <w:kern w:val="44"/>
                <w:sz w:val="24"/>
                <w:szCs w:val="24"/>
              </w:rPr>
              <w:t>4.1.2 铁路作业线的确定</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_Toc135660734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16</w:t>
            </w:r>
            <w:r w:rsidRPr="00727539">
              <w:rPr>
                <w:rFonts w:ascii="宋体" w:eastAsia="宋体" w:hAnsi="宋体" w:cs="Times New Roman"/>
                <w:noProof/>
                <w:webHidden/>
                <w:sz w:val="24"/>
                <w:szCs w:val="24"/>
              </w:rPr>
              <w:fldChar w:fldCharType="end"/>
            </w:r>
          </w:hyperlink>
        </w:p>
        <w:p w:rsidR="006B6606" w:rsidRPr="00727539" w:rsidP="00727539" w14:paraId="27DB0957" w14:textId="77777777">
          <w:pPr>
            <w:pStyle w:val="TOC3"/>
            <w:tabs>
              <w:tab w:val="right" w:leader="dot" w:pos="9060"/>
            </w:tabs>
            <w:spacing w:line="300" w:lineRule="auto"/>
            <w:rPr>
              <w:rFonts w:ascii="宋体" w:eastAsia="宋体" w:hAnsi="宋体" w:cs="Times New Roman"/>
              <w:noProof/>
              <w:sz w:val="24"/>
              <w:szCs w:val="24"/>
            </w:rPr>
            <w:sectPr w:rsidSect="00FF7A0B">
              <w:headerReference w:type="even" r:id="rId24"/>
              <w:headerReference w:type="default" r:id="rId25"/>
              <w:footerReference w:type="even" r:id="rId26"/>
              <w:footerReference w:type="default" r:id="rId27"/>
              <w:headerReference w:type="first" r:id="rId28"/>
              <w:footerReference w:type="first" r:id="rId29"/>
              <w:pgSz w:w="11906" w:h="16838"/>
              <w:pgMar w:top="1985" w:right="1418" w:bottom="1418" w:left="1418" w:header="1417" w:footer="1134" w:gutter="0"/>
              <w:pgNumType w:fmt="upperRoman" w:start="3"/>
              <w:cols w:space="425"/>
              <w:titlePg/>
              <w:docGrid w:linePitch="312"/>
            </w:sectPr>
          </w:pPr>
          <w:hyperlink w:anchor="_Toc135660735" w:history="1">
            <w:r w:rsidRPr="00727539">
              <w:rPr>
                <w:rStyle w:val="Hyperlink"/>
                <w:rFonts w:ascii="宋体" w:eastAsia="宋体" w:hAnsi="宋体" w:cs="Times New Roman"/>
                <w:noProof/>
                <w:kern w:val="44"/>
                <w:sz w:val="24"/>
                <w:szCs w:val="24"/>
              </w:rPr>
              <w:t>4.1.3 鹤管数的确定</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_Toc135660735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16</w:t>
            </w:r>
            <w:r w:rsidRPr="00727539">
              <w:rPr>
                <w:rFonts w:ascii="宋体" w:eastAsia="宋体" w:hAnsi="宋体" w:cs="Times New Roman"/>
                <w:noProof/>
                <w:webHidden/>
                <w:sz w:val="24"/>
                <w:szCs w:val="24"/>
              </w:rPr>
              <w:fldChar w:fldCharType="end"/>
            </w:r>
          </w:hyperlink>
        </w:p>
      </w:sdtContent>
    </w:sdt>
    <w:sdt>
      <w:sdtPr>
        <w:rPr>
          <w:rFonts w:ascii="Times New Roman" w:hAnsi="Times New Roman" w:eastAsiaTheme="minorEastAsia" w:cs="Times New Roman"/>
          <w:color w:val="auto"/>
          <w:kern w:val="2"/>
          <w:sz w:val="21"/>
          <w:szCs w:val="22"/>
          <w:lang w:val="zh-CN"/>
        </w:rPr>
        <w:id w:val="1554504157"/>
        <w:docPartObj>
          <w:docPartGallery w:val="Table of Contents"/>
          <w:docPartUnique/>
        </w:docPartObj>
      </w:sdtPr>
      <w:sdtEndPr>
        <w:rPr>
          <w:rFonts w:eastAsia="宋体"/>
          <w:b/>
          <w:bCs/>
          <w:sz w:val="24"/>
          <w:szCs w:val="24"/>
        </w:rPr>
      </w:sdtEndPr>
      <w:sdtContent>
        <w:p w:rsidR="006B6606" w:rsidRPr="00727539" w:rsidP="00727539" w14:paraId="19020C20" w14:textId="77777777">
          <w:pPr>
            <w:pStyle w:val="TOC3"/>
            <w:tabs>
              <w:tab w:val="right" w:leader="dot" w:pos="9060"/>
            </w:tabs>
            <w:spacing w:line="300" w:lineRule="auto"/>
            <w:rPr>
              <w:rFonts w:ascii="宋体" w:eastAsia="宋体" w:hAnsi="宋体" w:cs="Times New Roman"/>
              <w:noProof/>
              <w:sz w:val="24"/>
              <w:szCs w:val="24"/>
            </w:rPr>
          </w:pPr>
          <w:hyperlink w:anchor="_Toc135660736" w:history="1">
            <w:r w:rsidRPr="00727539">
              <w:rPr>
                <w:rStyle w:val="Hyperlink"/>
                <w:rFonts w:ascii="宋体" w:eastAsia="宋体" w:hAnsi="宋体" w:cs="Times New Roman"/>
                <w:noProof/>
                <w:kern w:val="44"/>
                <w:sz w:val="24"/>
                <w:szCs w:val="24"/>
              </w:rPr>
              <w:t>4.1.4 栈桥长度的计算</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_Toc135660736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17</w:t>
            </w:r>
            <w:r w:rsidRPr="00727539">
              <w:rPr>
                <w:rFonts w:ascii="宋体" w:eastAsia="宋体" w:hAnsi="宋体" w:cs="Times New Roman"/>
                <w:noProof/>
                <w:webHidden/>
                <w:sz w:val="24"/>
                <w:szCs w:val="24"/>
              </w:rPr>
              <w:fldChar w:fldCharType="end"/>
            </w:r>
          </w:hyperlink>
        </w:p>
        <w:p w:rsidR="006B6606" w:rsidRPr="00727539" w:rsidP="00727539" w14:paraId="7E97DFF8" w14:textId="77777777">
          <w:pPr>
            <w:pStyle w:val="TOC2"/>
            <w:tabs>
              <w:tab w:val="right" w:leader="dot" w:pos="9060"/>
            </w:tabs>
            <w:spacing w:line="300" w:lineRule="auto"/>
            <w:rPr>
              <w:rFonts w:ascii="宋体" w:eastAsia="宋体" w:hAnsi="宋体" w:cs="Times New Roman"/>
              <w:noProof/>
              <w:sz w:val="24"/>
              <w:szCs w:val="24"/>
            </w:rPr>
          </w:pPr>
          <w:hyperlink w:anchor="_Toc135660737" w:history="1">
            <w:r w:rsidRPr="00727539">
              <w:rPr>
                <w:rStyle w:val="Hyperlink"/>
                <w:rFonts w:ascii="宋体" w:eastAsia="宋体" w:hAnsi="宋体" w:cs="Times New Roman"/>
                <w:noProof/>
                <w:sz w:val="24"/>
                <w:szCs w:val="24"/>
              </w:rPr>
              <w:t>4.2 本章小结</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_Toc135660737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18</w:t>
            </w:r>
            <w:r w:rsidRPr="00727539">
              <w:rPr>
                <w:rFonts w:ascii="宋体" w:eastAsia="宋体" w:hAnsi="宋体" w:cs="Times New Roman"/>
                <w:noProof/>
                <w:webHidden/>
                <w:sz w:val="24"/>
                <w:szCs w:val="24"/>
              </w:rPr>
              <w:fldChar w:fldCharType="end"/>
            </w:r>
          </w:hyperlink>
        </w:p>
        <w:p w:rsidR="006B6606" w:rsidRPr="00727539" w:rsidP="00727539" w14:paraId="23781DB7" w14:textId="77777777">
          <w:pPr>
            <w:pStyle w:val="TOC1"/>
            <w:tabs>
              <w:tab w:val="right" w:leader="dot" w:pos="9060"/>
            </w:tabs>
            <w:spacing w:line="300" w:lineRule="auto"/>
            <w:rPr>
              <w:rFonts w:ascii="宋体" w:eastAsia="宋体" w:hAnsi="宋体" w:cs="Times New Roman"/>
              <w:noProof/>
              <w:sz w:val="24"/>
              <w:szCs w:val="24"/>
            </w:rPr>
          </w:pPr>
          <w:hyperlink w:anchor="_Toc135660738" w:history="1">
            <w:r w:rsidRPr="00727539">
              <w:rPr>
                <w:rStyle w:val="Hyperlink"/>
                <w:rFonts w:ascii="宋体" w:eastAsia="宋体" w:hAnsi="宋体" w:cs="Times New Roman"/>
                <w:noProof/>
                <w:sz w:val="24"/>
                <w:szCs w:val="24"/>
              </w:rPr>
              <w:t>5 卸发油工艺计算</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_Toc135660738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19</w:t>
            </w:r>
            <w:r w:rsidRPr="00727539">
              <w:rPr>
                <w:rFonts w:ascii="宋体" w:eastAsia="宋体" w:hAnsi="宋体" w:cs="Times New Roman"/>
                <w:noProof/>
                <w:webHidden/>
                <w:sz w:val="24"/>
                <w:szCs w:val="24"/>
              </w:rPr>
              <w:fldChar w:fldCharType="end"/>
            </w:r>
          </w:hyperlink>
        </w:p>
        <w:p w:rsidR="006B6606" w:rsidRPr="00727539" w:rsidP="00727539" w14:paraId="5218A941" w14:textId="77777777">
          <w:pPr>
            <w:pStyle w:val="TOC2"/>
            <w:tabs>
              <w:tab w:val="right" w:leader="dot" w:pos="9060"/>
            </w:tabs>
            <w:spacing w:line="300" w:lineRule="auto"/>
            <w:ind w:left="0" w:firstLine="420" w:leftChars="0" w:firstLineChars="200"/>
            <w:rPr>
              <w:rFonts w:ascii="宋体" w:eastAsia="宋体" w:hAnsi="宋体" w:cs="Times New Roman"/>
              <w:noProof/>
              <w:sz w:val="24"/>
              <w:szCs w:val="24"/>
            </w:rPr>
          </w:pPr>
          <w:hyperlink w:anchor="_Toc135660739" w:history="1">
            <w:r w:rsidRPr="00727539">
              <w:rPr>
                <w:rStyle w:val="Hyperlink"/>
                <w:rFonts w:ascii="宋体" w:eastAsia="宋体" w:hAnsi="宋体" w:cs="Times New Roman"/>
                <w:noProof/>
                <w:sz w:val="24"/>
                <w:szCs w:val="24"/>
              </w:rPr>
              <w:t>5.1 总工艺流程设计</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_Toc135660739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19</w:t>
            </w:r>
            <w:r w:rsidRPr="00727539">
              <w:rPr>
                <w:rFonts w:ascii="宋体" w:eastAsia="宋体" w:hAnsi="宋体" w:cs="Times New Roman"/>
                <w:noProof/>
                <w:webHidden/>
                <w:sz w:val="24"/>
                <w:szCs w:val="24"/>
              </w:rPr>
              <w:fldChar w:fldCharType="end"/>
            </w:r>
          </w:hyperlink>
        </w:p>
        <w:p w:rsidR="006B6606" w:rsidRPr="00727539" w:rsidP="00727539" w14:paraId="17221029" w14:textId="77777777">
          <w:pPr>
            <w:pStyle w:val="TOC3"/>
            <w:tabs>
              <w:tab w:val="right" w:leader="dot" w:pos="9060"/>
            </w:tabs>
            <w:spacing w:line="300" w:lineRule="auto"/>
            <w:rPr>
              <w:rFonts w:ascii="宋体" w:eastAsia="宋体" w:hAnsi="宋体" w:cs="Times New Roman"/>
              <w:noProof/>
              <w:sz w:val="24"/>
              <w:szCs w:val="24"/>
            </w:rPr>
          </w:pPr>
          <w:hyperlink w:anchor="_Toc135660740" w:history="1">
            <w:r w:rsidRPr="00727539">
              <w:rPr>
                <w:rStyle w:val="Hyperlink"/>
                <w:rFonts w:ascii="宋体" w:eastAsia="宋体" w:hAnsi="宋体" w:cs="Times New Roman"/>
                <w:noProof/>
                <w:kern w:val="44"/>
                <w:sz w:val="24"/>
                <w:szCs w:val="24"/>
              </w:rPr>
              <w:t xml:space="preserve">5.1.1 </w:t>
            </w:r>
            <w:r w:rsidRPr="00727539">
              <w:rPr>
                <w:rStyle w:val="Hyperlink"/>
                <w:rFonts w:ascii="宋体" w:eastAsia="宋体" w:hAnsi="宋体" w:cs="Times New Roman"/>
                <w:noProof/>
                <w:sz w:val="24"/>
                <w:szCs w:val="24"/>
              </w:rPr>
              <w:t>工艺计算的说明</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_Toc135660740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19</w:t>
            </w:r>
            <w:r w:rsidRPr="00727539">
              <w:rPr>
                <w:rFonts w:ascii="宋体" w:eastAsia="宋体" w:hAnsi="宋体" w:cs="Times New Roman"/>
                <w:noProof/>
                <w:webHidden/>
                <w:sz w:val="24"/>
                <w:szCs w:val="24"/>
              </w:rPr>
              <w:fldChar w:fldCharType="end"/>
            </w:r>
          </w:hyperlink>
        </w:p>
        <w:p w:rsidR="006B6606" w:rsidRPr="00727539" w:rsidP="00727539" w14:paraId="10D2BDCE" w14:textId="77777777">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41" w:history="1">
            <w:r w:rsidRPr="00727539">
              <w:rPr>
                <w:rStyle w:val="Hyperlink"/>
                <w:rFonts w:ascii="宋体" w:eastAsia="宋体" w:hAnsi="宋体" w:cs="Times New Roman"/>
                <w:noProof/>
                <w:sz w:val="24"/>
                <w:szCs w:val="24"/>
              </w:rPr>
              <w:t>5.2 铁路工艺计算</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_Toc135660741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19</w:t>
            </w:r>
            <w:r w:rsidRPr="00727539">
              <w:rPr>
                <w:rFonts w:ascii="宋体" w:eastAsia="宋体" w:hAnsi="宋体" w:cs="Times New Roman"/>
                <w:noProof/>
                <w:webHidden/>
                <w:sz w:val="24"/>
                <w:szCs w:val="24"/>
              </w:rPr>
              <w:fldChar w:fldCharType="end"/>
            </w:r>
          </w:hyperlink>
        </w:p>
        <w:p w:rsidR="006B6606" w:rsidRPr="00727539" w:rsidP="00727539" w14:paraId="7FC83131" w14:textId="77777777">
          <w:pPr>
            <w:pStyle w:val="TOC3"/>
            <w:tabs>
              <w:tab w:val="right" w:leader="dot" w:pos="9060"/>
            </w:tabs>
            <w:spacing w:line="300" w:lineRule="auto"/>
            <w:rPr>
              <w:rFonts w:ascii="宋体" w:eastAsia="宋体" w:hAnsi="宋体" w:cs="Times New Roman"/>
              <w:noProof/>
              <w:sz w:val="24"/>
              <w:szCs w:val="24"/>
            </w:rPr>
          </w:pPr>
          <w:hyperlink w:anchor="_Toc135660742" w:history="1">
            <w:r w:rsidRPr="00727539">
              <w:rPr>
                <w:rStyle w:val="Hyperlink"/>
                <w:rFonts w:ascii="宋体" w:eastAsia="宋体" w:hAnsi="宋体" w:cs="Times New Roman"/>
                <w:noProof/>
                <w:kern w:val="44"/>
                <w:sz w:val="24"/>
                <w:szCs w:val="24"/>
              </w:rPr>
              <w:t>5.2.1 业务流量</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_Toc135660742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19</w:t>
            </w:r>
            <w:r w:rsidRPr="00727539">
              <w:rPr>
                <w:rFonts w:ascii="宋体" w:eastAsia="宋体" w:hAnsi="宋体" w:cs="Times New Roman"/>
                <w:noProof/>
                <w:webHidden/>
                <w:sz w:val="24"/>
                <w:szCs w:val="24"/>
              </w:rPr>
              <w:fldChar w:fldCharType="end"/>
            </w:r>
          </w:hyperlink>
        </w:p>
        <w:p w:rsidR="006B6606" w:rsidRPr="00727539" w:rsidP="00727539" w14:paraId="3E142F32" w14:textId="77777777">
          <w:pPr>
            <w:pStyle w:val="TOC3"/>
            <w:tabs>
              <w:tab w:val="right" w:leader="dot" w:pos="9060"/>
            </w:tabs>
            <w:spacing w:line="300" w:lineRule="auto"/>
            <w:rPr>
              <w:rFonts w:ascii="宋体" w:eastAsia="宋体" w:hAnsi="宋体" w:cs="Times New Roman"/>
              <w:noProof/>
              <w:sz w:val="24"/>
              <w:szCs w:val="24"/>
            </w:rPr>
          </w:pPr>
          <w:hyperlink w:anchor="_Toc135660743" w:history="1">
            <w:r w:rsidRPr="00727539">
              <w:rPr>
                <w:rStyle w:val="Hyperlink"/>
                <w:rFonts w:ascii="宋体" w:eastAsia="宋体" w:hAnsi="宋体" w:cs="Times New Roman"/>
                <w:noProof/>
                <w:kern w:val="44"/>
                <w:sz w:val="24"/>
                <w:szCs w:val="24"/>
              </w:rPr>
              <w:t>5.2.2 鹤管、集油管、吸入管、排出管管径选取</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_Toc135660743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19</w:t>
            </w:r>
            <w:r w:rsidRPr="00727539">
              <w:rPr>
                <w:rFonts w:ascii="宋体" w:eastAsia="宋体" w:hAnsi="宋体" w:cs="Times New Roman"/>
                <w:noProof/>
                <w:webHidden/>
                <w:sz w:val="24"/>
                <w:szCs w:val="24"/>
              </w:rPr>
              <w:fldChar w:fldCharType="end"/>
            </w:r>
          </w:hyperlink>
        </w:p>
        <w:p w:rsidR="006B6606" w:rsidRPr="00727539" w:rsidP="00727539" w14:paraId="27635786" w14:textId="77777777">
          <w:pPr>
            <w:pStyle w:val="TOC3"/>
            <w:tabs>
              <w:tab w:val="right" w:leader="dot" w:pos="9060"/>
            </w:tabs>
            <w:spacing w:line="300" w:lineRule="auto"/>
            <w:rPr>
              <w:rFonts w:ascii="宋体" w:eastAsia="宋体" w:hAnsi="宋体" w:cs="Times New Roman"/>
              <w:noProof/>
              <w:sz w:val="24"/>
              <w:szCs w:val="24"/>
            </w:rPr>
          </w:pPr>
          <w:hyperlink w:anchor="_Toc135660744" w:history="1">
            <w:r w:rsidRPr="00727539">
              <w:rPr>
                <w:rStyle w:val="Hyperlink"/>
                <w:rFonts w:ascii="宋体" w:eastAsia="宋体" w:hAnsi="宋体" w:cs="Times New Roman"/>
                <w:noProof/>
                <w:kern w:val="44"/>
                <w:sz w:val="24"/>
                <w:szCs w:val="24"/>
              </w:rPr>
              <w:t>5.2.3  计算长度的确定</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_Toc135660744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21</w:t>
            </w:r>
            <w:r w:rsidRPr="00727539">
              <w:rPr>
                <w:rFonts w:ascii="宋体" w:eastAsia="宋体" w:hAnsi="宋体" w:cs="Times New Roman"/>
                <w:noProof/>
                <w:webHidden/>
                <w:sz w:val="24"/>
                <w:szCs w:val="24"/>
              </w:rPr>
              <w:fldChar w:fldCharType="end"/>
            </w:r>
          </w:hyperlink>
        </w:p>
        <w:p w:rsidR="006B6606" w:rsidRPr="00727539" w:rsidP="00727539" w14:paraId="292178A9" w14:textId="77777777">
          <w:pPr>
            <w:pStyle w:val="TOC3"/>
            <w:tabs>
              <w:tab w:val="right" w:leader="dot" w:pos="9060"/>
            </w:tabs>
            <w:spacing w:line="300" w:lineRule="auto"/>
            <w:rPr>
              <w:rFonts w:ascii="宋体" w:eastAsia="宋体" w:hAnsi="宋体" w:cs="Times New Roman"/>
              <w:noProof/>
              <w:sz w:val="24"/>
              <w:szCs w:val="24"/>
            </w:rPr>
          </w:pPr>
          <w:hyperlink w:anchor="_Toc135660745" w:history="1">
            <w:r w:rsidRPr="00727539">
              <w:rPr>
                <w:rStyle w:val="Hyperlink"/>
                <w:rFonts w:ascii="宋体" w:eastAsia="宋体" w:hAnsi="宋体" w:cs="Times New Roman"/>
                <w:noProof/>
                <w:kern w:val="44"/>
                <w:sz w:val="24"/>
                <w:szCs w:val="24"/>
              </w:rPr>
              <w:t>5.2.4 摩阻的计算</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_Toc135660745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23</w:t>
            </w:r>
            <w:r w:rsidRPr="00727539">
              <w:rPr>
                <w:rFonts w:ascii="宋体" w:eastAsia="宋体" w:hAnsi="宋体" w:cs="Times New Roman"/>
                <w:noProof/>
                <w:webHidden/>
                <w:sz w:val="24"/>
                <w:szCs w:val="24"/>
              </w:rPr>
              <w:fldChar w:fldCharType="end"/>
            </w:r>
          </w:hyperlink>
        </w:p>
        <w:p w:rsidR="006B6606" w:rsidRPr="00727539" w:rsidP="00727539" w14:paraId="041EC217" w14:textId="77777777">
          <w:pPr>
            <w:pStyle w:val="TOC3"/>
            <w:tabs>
              <w:tab w:val="right" w:leader="dot" w:pos="9060"/>
            </w:tabs>
            <w:spacing w:line="300" w:lineRule="auto"/>
            <w:rPr>
              <w:rFonts w:ascii="宋体" w:eastAsia="宋体" w:hAnsi="宋体" w:cs="Times New Roman"/>
              <w:noProof/>
              <w:sz w:val="24"/>
              <w:szCs w:val="24"/>
            </w:rPr>
          </w:pPr>
          <w:hyperlink w:anchor="_Toc135660746" w:history="1">
            <w:r w:rsidRPr="00727539">
              <w:rPr>
                <w:rStyle w:val="Hyperlink"/>
                <w:rFonts w:ascii="宋体" w:eastAsia="宋体" w:hAnsi="宋体" w:cs="Times New Roman"/>
                <w:noProof/>
                <w:kern w:val="44"/>
                <w:sz w:val="24"/>
                <w:szCs w:val="24"/>
              </w:rPr>
              <w:t>5.2.5 求业务流量下的扬程</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_Toc135660746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25</w:t>
            </w:r>
            <w:r w:rsidRPr="00727539">
              <w:rPr>
                <w:rFonts w:ascii="宋体" w:eastAsia="宋体" w:hAnsi="宋体" w:cs="Times New Roman"/>
                <w:noProof/>
                <w:webHidden/>
                <w:sz w:val="24"/>
                <w:szCs w:val="24"/>
              </w:rPr>
              <w:fldChar w:fldCharType="end"/>
            </w:r>
          </w:hyperlink>
        </w:p>
        <w:p w:rsidR="006B6606" w:rsidRPr="00727539" w:rsidP="00727539" w14:paraId="2B08A5E7" w14:textId="77777777">
          <w:pPr>
            <w:pStyle w:val="TOC3"/>
            <w:tabs>
              <w:tab w:val="right" w:leader="dot" w:pos="9060"/>
            </w:tabs>
            <w:spacing w:line="300" w:lineRule="auto"/>
            <w:rPr>
              <w:rFonts w:ascii="宋体" w:eastAsia="宋体" w:hAnsi="宋体" w:cs="Times New Roman"/>
              <w:noProof/>
              <w:sz w:val="24"/>
              <w:szCs w:val="24"/>
            </w:rPr>
          </w:pPr>
          <w:hyperlink w:anchor="_Toc135660747" w:history="1">
            <w:r w:rsidRPr="00727539">
              <w:rPr>
                <w:rStyle w:val="Hyperlink"/>
                <w:rFonts w:ascii="宋体" w:eastAsia="宋体" w:hAnsi="宋体" w:cs="Times New Roman"/>
                <w:noProof/>
                <w:kern w:val="44"/>
                <w:sz w:val="24"/>
                <w:szCs w:val="24"/>
              </w:rPr>
              <w:t>5.2.6 油品的流量和扬程</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_Toc135660747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26</w:t>
            </w:r>
            <w:r w:rsidRPr="00727539">
              <w:rPr>
                <w:rFonts w:ascii="宋体" w:eastAsia="宋体" w:hAnsi="宋体" w:cs="Times New Roman"/>
                <w:noProof/>
                <w:webHidden/>
                <w:sz w:val="24"/>
                <w:szCs w:val="24"/>
              </w:rPr>
              <w:fldChar w:fldCharType="end"/>
            </w:r>
          </w:hyperlink>
        </w:p>
        <w:p w:rsidR="006B6606" w:rsidRPr="00727539" w:rsidP="00727539" w14:paraId="05D15594" w14:textId="77777777">
          <w:pPr>
            <w:pStyle w:val="TOC3"/>
            <w:tabs>
              <w:tab w:val="right" w:leader="dot" w:pos="9060"/>
            </w:tabs>
            <w:spacing w:line="300" w:lineRule="auto"/>
            <w:rPr>
              <w:rFonts w:ascii="宋体" w:eastAsia="宋体" w:hAnsi="宋体" w:cs="Times New Roman"/>
              <w:noProof/>
              <w:sz w:val="24"/>
              <w:szCs w:val="24"/>
            </w:rPr>
          </w:pPr>
          <w:hyperlink w:anchor="_Toc135660748" w:history="1">
            <w:r w:rsidRPr="00727539">
              <w:rPr>
                <w:rStyle w:val="Hyperlink"/>
                <w:rFonts w:ascii="宋体" w:eastAsia="宋体" w:hAnsi="宋体" w:cs="Times New Roman"/>
                <w:noProof/>
                <w:kern w:val="44"/>
                <w:sz w:val="24"/>
                <w:szCs w:val="24"/>
              </w:rPr>
              <w:t>5.2.7 各种流量下的扬程</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_Toc135660748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27</w:t>
            </w:r>
            <w:r w:rsidRPr="00727539">
              <w:rPr>
                <w:rFonts w:ascii="宋体" w:eastAsia="宋体" w:hAnsi="宋体" w:cs="Times New Roman"/>
                <w:noProof/>
                <w:webHidden/>
                <w:sz w:val="24"/>
                <w:szCs w:val="24"/>
              </w:rPr>
              <w:fldChar w:fldCharType="end"/>
            </w:r>
          </w:hyperlink>
        </w:p>
        <w:p w:rsidR="006B6606" w:rsidRPr="00727539" w:rsidP="00E07153" w14:paraId="4ACCCD41" w14:textId="77777777">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49" w:history="1">
            <w:r w:rsidRPr="00727539">
              <w:rPr>
                <w:rStyle w:val="Hyperlink"/>
                <w:rFonts w:ascii="宋体" w:eastAsia="宋体" w:hAnsi="宋体" w:cs="Times New Roman"/>
                <w:noProof/>
                <w:sz w:val="24"/>
                <w:szCs w:val="24"/>
              </w:rPr>
              <w:t>5.3 选泵</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_Toc135660749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29</w:t>
            </w:r>
            <w:r w:rsidRPr="00727539">
              <w:rPr>
                <w:rFonts w:ascii="宋体" w:eastAsia="宋体" w:hAnsi="宋体" w:cs="Times New Roman"/>
                <w:noProof/>
                <w:webHidden/>
                <w:sz w:val="24"/>
                <w:szCs w:val="24"/>
              </w:rPr>
              <w:fldChar w:fldCharType="end"/>
            </w:r>
          </w:hyperlink>
        </w:p>
        <w:p w:rsidR="006B6606" w:rsidRPr="00727539" w:rsidP="00727539" w14:paraId="2DEB2330" w14:textId="77777777">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50" w:history="1">
            <w:r w:rsidRPr="00727539">
              <w:rPr>
                <w:rStyle w:val="Hyperlink"/>
                <w:rFonts w:ascii="宋体" w:eastAsia="宋体" w:hAnsi="宋体" w:cs="Times New Roman"/>
                <w:noProof/>
                <w:sz w:val="24"/>
                <w:szCs w:val="24"/>
              </w:rPr>
              <w:t>5.4 泵几何安装高度的确定</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_Toc135660750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30</w:t>
            </w:r>
            <w:r w:rsidRPr="00727539">
              <w:rPr>
                <w:rFonts w:ascii="宋体" w:eastAsia="宋体" w:hAnsi="宋体" w:cs="Times New Roman"/>
                <w:noProof/>
                <w:webHidden/>
                <w:sz w:val="24"/>
                <w:szCs w:val="24"/>
              </w:rPr>
              <w:fldChar w:fldCharType="end"/>
            </w:r>
          </w:hyperlink>
        </w:p>
        <w:p w:rsidR="006B6606" w:rsidRPr="00727539" w:rsidP="00727539" w14:paraId="30B1A37B" w14:textId="77777777">
          <w:pPr>
            <w:pStyle w:val="TOC3"/>
            <w:tabs>
              <w:tab w:val="right" w:leader="dot" w:pos="9060"/>
            </w:tabs>
            <w:spacing w:line="300" w:lineRule="auto"/>
            <w:rPr>
              <w:rFonts w:ascii="宋体" w:eastAsia="宋体" w:hAnsi="宋体" w:cs="Times New Roman"/>
              <w:noProof/>
              <w:sz w:val="24"/>
              <w:szCs w:val="24"/>
            </w:rPr>
          </w:pPr>
          <w:hyperlink w:anchor="_Toc135660751" w:history="1">
            <w:r w:rsidRPr="00727539">
              <w:rPr>
                <w:rStyle w:val="Hyperlink"/>
                <w:rFonts w:ascii="宋体" w:eastAsia="宋体" w:hAnsi="宋体" w:cs="Times New Roman"/>
                <w:noProof/>
                <w:kern w:val="44"/>
                <w:sz w:val="24"/>
                <w:szCs w:val="24"/>
              </w:rPr>
              <w:t>5.4.1 泵的安装高度计算</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_Toc135660751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30</w:t>
            </w:r>
            <w:r w:rsidRPr="00727539">
              <w:rPr>
                <w:rFonts w:ascii="宋体" w:eastAsia="宋体" w:hAnsi="宋体" w:cs="Times New Roman"/>
                <w:noProof/>
                <w:webHidden/>
                <w:sz w:val="24"/>
                <w:szCs w:val="24"/>
              </w:rPr>
              <w:fldChar w:fldCharType="end"/>
            </w:r>
          </w:hyperlink>
        </w:p>
        <w:p w:rsidR="006B6606" w:rsidRPr="00727539" w:rsidP="00727539" w14:paraId="29D9849F" w14:textId="77777777">
          <w:pPr>
            <w:pStyle w:val="TOC3"/>
            <w:tabs>
              <w:tab w:val="right" w:leader="dot" w:pos="9060"/>
            </w:tabs>
            <w:spacing w:line="300" w:lineRule="auto"/>
            <w:rPr>
              <w:rFonts w:ascii="宋体" w:eastAsia="宋体" w:hAnsi="宋体" w:cs="Times New Roman"/>
              <w:noProof/>
              <w:sz w:val="24"/>
              <w:szCs w:val="24"/>
            </w:rPr>
          </w:pPr>
          <w:hyperlink w:anchor="_Toc135660752" w:history="1">
            <w:r w:rsidRPr="00727539">
              <w:rPr>
                <w:rStyle w:val="Hyperlink"/>
                <w:rFonts w:ascii="宋体" w:eastAsia="宋体" w:hAnsi="宋体" w:cs="Times New Roman"/>
                <w:noProof/>
                <w:kern w:val="44"/>
                <w:sz w:val="24"/>
                <w:szCs w:val="24"/>
              </w:rPr>
              <w:t>5.4.2 泵汽蚀性能校核</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_Toc135660752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31</w:t>
            </w:r>
            <w:r w:rsidRPr="00727539">
              <w:rPr>
                <w:rFonts w:ascii="宋体" w:eastAsia="宋体" w:hAnsi="宋体" w:cs="Times New Roman"/>
                <w:noProof/>
                <w:webHidden/>
                <w:sz w:val="24"/>
                <w:szCs w:val="24"/>
              </w:rPr>
              <w:fldChar w:fldCharType="end"/>
            </w:r>
          </w:hyperlink>
        </w:p>
        <w:p w:rsidR="006B6606" w:rsidRPr="00727539" w:rsidP="00727539" w14:paraId="18C1808F" w14:textId="77777777">
          <w:pPr>
            <w:pStyle w:val="TOC3"/>
            <w:tabs>
              <w:tab w:val="right" w:leader="dot" w:pos="9060"/>
            </w:tabs>
            <w:spacing w:line="300" w:lineRule="auto"/>
            <w:rPr>
              <w:rFonts w:ascii="宋体" w:eastAsia="宋体" w:hAnsi="宋体" w:cs="Times New Roman"/>
              <w:noProof/>
              <w:sz w:val="24"/>
              <w:szCs w:val="24"/>
            </w:rPr>
          </w:pPr>
          <w:hyperlink w:anchor="_Toc135660753" w:history="1">
            <w:r w:rsidRPr="00727539">
              <w:rPr>
                <w:rStyle w:val="Hyperlink"/>
                <w:rFonts w:ascii="宋体" w:eastAsia="宋体" w:hAnsi="宋体" w:cs="Times New Roman"/>
                <w:noProof/>
                <w:kern w:val="44"/>
                <w:sz w:val="24"/>
                <w:szCs w:val="24"/>
              </w:rPr>
              <w:t>5.4.3 卸油管路汽阻断流校核</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_Toc135660753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31</w:t>
            </w:r>
            <w:r w:rsidRPr="00727539">
              <w:rPr>
                <w:rFonts w:ascii="宋体" w:eastAsia="宋体" w:hAnsi="宋体" w:cs="Times New Roman"/>
                <w:noProof/>
                <w:webHidden/>
                <w:sz w:val="24"/>
                <w:szCs w:val="24"/>
              </w:rPr>
              <w:fldChar w:fldCharType="end"/>
            </w:r>
          </w:hyperlink>
        </w:p>
        <w:p w:rsidR="006B6606" w:rsidRPr="00727539" w:rsidP="00727539" w14:paraId="526DBBA6" w14:textId="77777777">
          <w:pPr>
            <w:pStyle w:val="TOC3"/>
            <w:tabs>
              <w:tab w:val="right" w:leader="dot" w:pos="9060"/>
            </w:tabs>
            <w:spacing w:line="300" w:lineRule="auto"/>
            <w:rPr>
              <w:rFonts w:ascii="宋体" w:eastAsia="宋体" w:hAnsi="宋体" w:cs="Times New Roman"/>
              <w:noProof/>
              <w:sz w:val="24"/>
              <w:szCs w:val="24"/>
            </w:rPr>
          </w:pPr>
          <w:hyperlink w:anchor="_Toc135660754" w:history="1">
            <w:r w:rsidRPr="00727539">
              <w:rPr>
                <w:rStyle w:val="Hyperlink"/>
                <w:rFonts w:ascii="宋体" w:eastAsia="宋体" w:hAnsi="宋体" w:cs="Times New Roman"/>
                <w:noProof/>
                <w:kern w:val="44"/>
                <w:sz w:val="24"/>
                <w:szCs w:val="24"/>
              </w:rPr>
              <w:t>5.4.4 真空系统的计算</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_Toc135660754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31</w:t>
            </w:r>
            <w:r w:rsidRPr="00727539">
              <w:rPr>
                <w:rFonts w:ascii="宋体" w:eastAsia="宋体" w:hAnsi="宋体" w:cs="Times New Roman"/>
                <w:noProof/>
                <w:webHidden/>
                <w:sz w:val="24"/>
                <w:szCs w:val="24"/>
              </w:rPr>
              <w:fldChar w:fldCharType="end"/>
            </w:r>
          </w:hyperlink>
        </w:p>
        <w:p w:rsidR="006B6606" w:rsidRPr="00727539" w:rsidP="00727539" w14:paraId="56C4B701" w14:textId="77777777">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55" w:history="1">
            <w:r w:rsidRPr="00727539">
              <w:rPr>
                <w:rStyle w:val="Hyperlink"/>
                <w:rFonts w:ascii="宋体" w:eastAsia="宋体" w:hAnsi="宋体" w:cs="Times New Roman"/>
                <w:noProof/>
                <w:sz w:val="24"/>
                <w:szCs w:val="24"/>
              </w:rPr>
              <w:t>5.5 本章总结</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_Toc135660755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32</w:t>
            </w:r>
            <w:r w:rsidRPr="00727539">
              <w:rPr>
                <w:rFonts w:ascii="宋体" w:eastAsia="宋体" w:hAnsi="宋体" w:cs="Times New Roman"/>
                <w:noProof/>
                <w:webHidden/>
                <w:sz w:val="24"/>
                <w:szCs w:val="24"/>
              </w:rPr>
              <w:fldChar w:fldCharType="end"/>
            </w:r>
          </w:hyperlink>
        </w:p>
        <w:p w:rsidR="006B6606" w:rsidRPr="00727539" w:rsidP="00727539" w14:paraId="53AD8A30" w14:textId="77777777">
          <w:pPr>
            <w:pStyle w:val="TOC1"/>
            <w:tabs>
              <w:tab w:val="right" w:leader="dot" w:pos="9060"/>
            </w:tabs>
            <w:spacing w:line="300" w:lineRule="auto"/>
            <w:rPr>
              <w:rFonts w:ascii="宋体" w:eastAsia="宋体" w:hAnsi="宋体" w:cs="Times New Roman"/>
              <w:noProof/>
              <w:sz w:val="24"/>
              <w:szCs w:val="24"/>
            </w:rPr>
          </w:pPr>
          <w:hyperlink w:anchor="_Toc135660756" w:history="1">
            <w:r w:rsidRPr="00727539">
              <w:rPr>
                <w:rStyle w:val="Hyperlink"/>
                <w:rFonts w:ascii="宋体" w:eastAsia="宋体" w:hAnsi="宋体" w:cs="Times New Roman"/>
                <w:noProof/>
                <w:sz w:val="24"/>
                <w:szCs w:val="24"/>
              </w:rPr>
              <w:t>6 消防设施计算</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_Toc135660756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33</w:t>
            </w:r>
            <w:r w:rsidRPr="00727539">
              <w:rPr>
                <w:rFonts w:ascii="宋体" w:eastAsia="宋体" w:hAnsi="宋体" w:cs="Times New Roman"/>
                <w:noProof/>
                <w:webHidden/>
                <w:sz w:val="24"/>
                <w:szCs w:val="24"/>
              </w:rPr>
              <w:fldChar w:fldCharType="end"/>
            </w:r>
          </w:hyperlink>
        </w:p>
        <w:p w:rsidR="006B6606" w:rsidRPr="00727539" w:rsidP="00727539" w14:paraId="439B31B3" w14:textId="77777777">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57" w:history="1">
            <w:r w:rsidRPr="00727539">
              <w:rPr>
                <w:rStyle w:val="Hyperlink"/>
                <w:rFonts w:ascii="宋体" w:eastAsia="宋体" w:hAnsi="宋体" w:cs="Times New Roman"/>
                <w:noProof/>
                <w:sz w:val="24"/>
                <w:szCs w:val="24"/>
              </w:rPr>
              <w:t>6.1 一次灭火的泡沫耗量</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_Toc135660757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33</w:t>
            </w:r>
            <w:r w:rsidRPr="00727539">
              <w:rPr>
                <w:rFonts w:ascii="宋体" w:eastAsia="宋体" w:hAnsi="宋体" w:cs="Times New Roman"/>
                <w:noProof/>
                <w:webHidden/>
                <w:sz w:val="24"/>
                <w:szCs w:val="24"/>
              </w:rPr>
              <w:fldChar w:fldCharType="end"/>
            </w:r>
          </w:hyperlink>
        </w:p>
        <w:p w:rsidR="006B6606" w:rsidRPr="00727539" w:rsidP="00727539" w14:paraId="33CE66D6" w14:textId="77777777">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58" w:history="1">
            <w:r w:rsidRPr="00727539">
              <w:rPr>
                <w:rStyle w:val="Hyperlink"/>
                <w:rFonts w:ascii="宋体" w:eastAsia="宋体" w:hAnsi="宋体" w:cs="Times New Roman"/>
                <w:noProof/>
                <w:sz w:val="24"/>
                <w:szCs w:val="24"/>
              </w:rPr>
              <w:t>6.2 泡沫发生器个数的确定</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_Toc135660758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33</w:t>
            </w:r>
            <w:r w:rsidRPr="00727539">
              <w:rPr>
                <w:rFonts w:ascii="宋体" w:eastAsia="宋体" w:hAnsi="宋体" w:cs="Times New Roman"/>
                <w:noProof/>
                <w:webHidden/>
                <w:sz w:val="24"/>
                <w:szCs w:val="24"/>
              </w:rPr>
              <w:fldChar w:fldCharType="end"/>
            </w:r>
          </w:hyperlink>
        </w:p>
        <w:p w:rsidR="006B6606" w:rsidRPr="00727539" w:rsidP="00727539" w14:paraId="104BEC2C" w14:textId="77777777">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59" w:history="1">
            <w:r w:rsidRPr="00727539">
              <w:rPr>
                <w:rStyle w:val="Hyperlink"/>
                <w:rFonts w:ascii="宋体" w:eastAsia="宋体" w:hAnsi="宋体" w:cs="Times New Roman"/>
                <w:noProof/>
                <w:sz w:val="24"/>
                <w:szCs w:val="24"/>
              </w:rPr>
              <w:t>6.3 泡沫储备量</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_Toc135660759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34</w:t>
            </w:r>
            <w:r w:rsidRPr="00727539">
              <w:rPr>
                <w:rFonts w:ascii="宋体" w:eastAsia="宋体" w:hAnsi="宋体" w:cs="Times New Roman"/>
                <w:noProof/>
                <w:webHidden/>
                <w:sz w:val="24"/>
                <w:szCs w:val="24"/>
              </w:rPr>
              <w:fldChar w:fldCharType="end"/>
            </w:r>
          </w:hyperlink>
        </w:p>
        <w:p w:rsidR="006B6606" w:rsidRPr="00727539" w:rsidP="00727539" w14:paraId="4BB011F3" w14:textId="77777777">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60" w:history="1">
            <w:r w:rsidRPr="00727539">
              <w:rPr>
                <w:rStyle w:val="Hyperlink"/>
                <w:rFonts w:ascii="宋体" w:eastAsia="宋体" w:hAnsi="宋体" w:cs="Times New Roman"/>
                <w:noProof/>
                <w:sz w:val="24"/>
                <w:szCs w:val="24"/>
              </w:rPr>
              <w:t>6.4 消防用水的耗量</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_Toc135660760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34</w:t>
            </w:r>
            <w:r w:rsidRPr="00727539">
              <w:rPr>
                <w:rFonts w:ascii="宋体" w:eastAsia="宋体" w:hAnsi="宋体" w:cs="Times New Roman"/>
                <w:noProof/>
                <w:webHidden/>
                <w:sz w:val="24"/>
                <w:szCs w:val="24"/>
              </w:rPr>
              <w:fldChar w:fldCharType="end"/>
            </w:r>
          </w:hyperlink>
        </w:p>
        <w:p w:rsidR="006B6606" w:rsidRPr="00727539" w:rsidP="00727539" w14:paraId="3CAD796F" w14:textId="6E238DB4">
          <w:pPr>
            <w:pStyle w:val="TOC1"/>
            <w:tabs>
              <w:tab w:val="right" w:leader="dot" w:pos="9060"/>
            </w:tabs>
            <w:spacing w:line="300" w:lineRule="auto"/>
            <w:ind w:firstLine="420" w:firstLineChars="200"/>
            <w:rPr>
              <w:rFonts w:ascii="宋体" w:eastAsia="宋体" w:hAnsi="宋体" w:cs="Times New Roman"/>
              <w:noProof/>
              <w:sz w:val="24"/>
              <w:szCs w:val="24"/>
            </w:rPr>
          </w:pPr>
          <w:hyperlink w:anchor="_Toc135660761" w:history="1">
            <w:r w:rsidRPr="00727539">
              <w:rPr>
                <w:rStyle w:val="Hyperlink"/>
                <w:rFonts w:ascii="宋体" w:eastAsia="宋体" w:hAnsi="宋体" w:cs="Times New Roman"/>
                <w:noProof/>
                <w:sz w:val="24"/>
                <w:szCs w:val="24"/>
              </w:rPr>
              <w:t>6.</w:t>
            </w:r>
            <w:r w:rsidR="00727539">
              <w:rPr>
                <w:rStyle w:val="Hyperlink"/>
                <w:rFonts w:ascii="宋体" w:eastAsia="宋体" w:hAnsi="宋体" w:cs="Times New Roman"/>
                <w:noProof/>
                <w:sz w:val="24"/>
                <w:szCs w:val="24"/>
              </w:rPr>
              <w:t>5</w:t>
            </w:r>
            <w:r w:rsidRPr="00727539">
              <w:rPr>
                <w:rStyle w:val="Hyperlink"/>
                <w:rFonts w:ascii="宋体" w:eastAsia="宋体" w:hAnsi="宋体" w:cs="Times New Roman"/>
                <w:noProof/>
                <w:sz w:val="24"/>
                <w:szCs w:val="24"/>
              </w:rPr>
              <w:t xml:space="preserve"> 本章小结</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_Toc135660761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35</w:t>
            </w:r>
            <w:r w:rsidRPr="00727539">
              <w:rPr>
                <w:rFonts w:ascii="宋体" w:eastAsia="宋体" w:hAnsi="宋体" w:cs="Times New Roman"/>
                <w:noProof/>
                <w:webHidden/>
                <w:sz w:val="24"/>
                <w:szCs w:val="24"/>
              </w:rPr>
              <w:fldChar w:fldCharType="end"/>
            </w:r>
          </w:hyperlink>
        </w:p>
        <w:p w:rsidR="006B6606" w:rsidRPr="00727539" w:rsidP="00727539" w14:paraId="66186F37" w14:textId="77777777">
          <w:pPr>
            <w:pStyle w:val="TOC1"/>
            <w:tabs>
              <w:tab w:val="right" w:leader="dot" w:pos="9060"/>
            </w:tabs>
            <w:spacing w:line="300" w:lineRule="auto"/>
            <w:rPr>
              <w:rFonts w:ascii="宋体" w:eastAsia="宋体" w:hAnsi="宋体" w:cs="Times New Roman"/>
              <w:noProof/>
              <w:sz w:val="24"/>
              <w:szCs w:val="24"/>
            </w:rPr>
          </w:pPr>
          <w:hyperlink w:anchor="_Toc135660762" w:history="1">
            <w:r w:rsidRPr="00727539">
              <w:rPr>
                <w:rStyle w:val="Hyperlink"/>
                <w:rFonts w:ascii="宋体" w:eastAsia="宋体" w:hAnsi="宋体" w:cs="Times New Roman"/>
                <w:noProof/>
                <w:sz w:val="24"/>
                <w:szCs w:val="24"/>
              </w:rPr>
              <w:t>结    论</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_Toc135660762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36</w:t>
            </w:r>
            <w:r w:rsidRPr="00727539">
              <w:rPr>
                <w:rFonts w:ascii="宋体" w:eastAsia="宋体" w:hAnsi="宋体" w:cs="Times New Roman"/>
                <w:noProof/>
                <w:webHidden/>
                <w:sz w:val="24"/>
                <w:szCs w:val="24"/>
              </w:rPr>
              <w:fldChar w:fldCharType="end"/>
            </w:r>
          </w:hyperlink>
        </w:p>
        <w:p w:rsidR="006B6606" w:rsidRPr="00727539" w:rsidP="00727539" w14:paraId="526F6D4B" w14:textId="77777777">
          <w:pPr>
            <w:pStyle w:val="TOC1"/>
            <w:tabs>
              <w:tab w:val="right" w:leader="dot" w:pos="9060"/>
            </w:tabs>
            <w:spacing w:line="300" w:lineRule="auto"/>
            <w:rPr>
              <w:rFonts w:ascii="宋体" w:eastAsia="宋体" w:hAnsi="宋体" w:cs="Times New Roman"/>
              <w:noProof/>
              <w:sz w:val="24"/>
              <w:szCs w:val="24"/>
            </w:rPr>
          </w:pPr>
          <w:hyperlink w:anchor="_Toc135660763" w:history="1">
            <w:r w:rsidRPr="00727539">
              <w:rPr>
                <w:rStyle w:val="Hyperlink"/>
                <w:rFonts w:ascii="宋体" w:eastAsia="宋体" w:hAnsi="宋体" w:cs="Times New Roman"/>
                <w:noProof/>
                <w:sz w:val="24"/>
                <w:szCs w:val="24"/>
              </w:rPr>
              <w:t>参 考 文 献</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_Toc135660763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37</w:t>
            </w:r>
            <w:r w:rsidRPr="00727539">
              <w:rPr>
                <w:rFonts w:ascii="宋体" w:eastAsia="宋体" w:hAnsi="宋体" w:cs="Times New Roman"/>
                <w:noProof/>
                <w:webHidden/>
                <w:sz w:val="24"/>
                <w:szCs w:val="24"/>
              </w:rPr>
              <w:fldChar w:fldCharType="end"/>
            </w:r>
          </w:hyperlink>
        </w:p>
        <w:p w:rsidR="006B6606" w:rsidRPr="00727539" w:rsidP="00727539" w14:paraId="17C0A7B2" w14:textId="77777777">
          <w:pPr>
            <w:pStyle w:val="TOC1"/>
            <w:tabs>
              <w:tab w:val="right" w:leader="dot" w:pos="9060"/>
            </w:tabs>
            <w:spacing w:line="300" w:lineRule="auto"/>
            <w:rPr>
              <w:rFonts w:ascii="宋体" w:eastAsia="宋体" w:hAnsi="宋体" w:cs="Times New Roman"/>
              <w:noProof/>
              <w:sz w:val="24"/>
              <w:szCs w:val="24"/>
            </w:rPr>
          </w:pPr>
          <w:hyperlink w:anchor="_Toc135660764" w:history="1">
            <w:r w:rsidRPr="00727539">
              <w:rPr>
                <w:rStyle w:val="Hyperlink"/>
                <w:rFonts w:ascii="宋体" w:eastAsia="宋体" w:hAnsi="宋体" w:cs="Times New Roman"/>
                <w:noProof/>
                <w:sz w:val="24"/>
                <w:szCs w:val="24"/>
              </w:rPr>
              <w:t>致    谢</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_Toc135660764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38</w:t>
            </w:r>
            <w:r w:rsidRPr="00727539">
              <w:rPr>
                <w:rFonts w:ascii="宋体" w:eastAsia="宋体" w:hAnsi="宋体" w:cs="Times New Roman"/>
                <w:noProof/>
                <w:webHidden/>
                <w:sz w:val="24"/>
                <w:szCs w:val="24"/>
              </w:rPr>
              <w:fldChar w:fldCharType="end"/>
            </w:r>
          </w:hyperlink>
        </w:p>
        <w:p w:rsidR="006B6606" w:rsidRPr="00727539" w:rsidP="00727539" w14:paraId="54EE1C26" w14:textId="77777777">
          <w:pPr>
            <w:pStyle w:val="TOC1"/>
            <w:tabs>
              <w:tab w:val="right" w:leader="dot" w:pos="9060"/>
            </w:tabs>
            <w:spacing w:line="300" w:lineRule="auto"/>
            <w:rPr>
              <w:rFonts w:ascii="宋体" w:eastAsia="宋体" w:hAnsi="宋体" w:cs="Times New Roman"/>
              <w:noProof/>
              <w:sz w:val="24"/>
              <w:szCs w:val="24"/>
            </w:rPr>
          </w:pPr>
          <w:hyperlink w:anchor="_Toc135660765" w:history="1">
            <w:r w:rsidRPr="00727539">
              <w:rPr>
                <w:rStyle w:val="Hyperlink"/>
                <w:rFonts w:ascii="宋体" w:eastAsia="宋体" w:hAnsi="宋体" w:cs="Times New Roman"/>
                <w:noProof/>
                <w:sz w:val="24"/>
                <w:szCs w:val="24"/>
              </w:rPr>
              <w:t>附录 重庆SX油库设计</w:t>
            </w:r>
            <w:r w:rsidRPr="00727539">
              <w:rPr>
                <w:rFonts w:ascii="宋体" w:eastAsia="宋体" w:hAnsi="宋体" w:cs="Times New Roman"/>
                <w:noProof/>
                <w:webHidden/>
                <w:sz w:val="24"/>
                <w:szCs w:val="24"/>
              </w:rPr>
              <w:tab/>
            </w:r>
            <w:r w:rsidRPr="00727539">
              <w:rPr>
                <w:rFonts w:ascii="宋体" w:eastAsia="宋体" w:hAnsi="宋体" w:cs="Times New Roman"/>
                <w:noProof/>
                <w:webHidden/>
                <w:sz w:val="24"/>
                <w:szCs w:val="24"/>
              </w:rPr>
              <w:fldChar w:fldCharType="begin"/>
            </w:r>
            <w:r w:rsidRPr="00727539">
              <w:rPr>
                <w:rFonts w:ascii="宋体" w:eastAsia="宋体" w:hAnsi="宋体" w:cs="Times New Roman"/>
                <w:noProof/>
                <w:webHidden/>
                <w:sz w:val="24"/>
                <w:szCs w:val="24"/>
              </w:rPr>
              <w:instrText xml:space="preserve"> PAGEREF _Toc135660765 \h </w:instrText>
            </w:r>
            <w:r w:rsidRPr="00727539">
              <w:rPr>
                <w:rFonts w:ascii="宋体" w:eastAsia="宋体" w:hAnsi="宋体" w:cs="Times New Roman"/>
                <w:noProof/>
                <w:webHidden/>
                <w:sz w:val="24"/>
                <w:szCs w:val="24"/>
              </w:rPr>
              <w:fldChar w:fldCharType="separate"/>
            </w:r>
            <w:r w:rsidRPr="00727539">
              <w:rPr>
                <w:rFonts w:ascii="宋体" w:eastAsia="宋体" w:hAnsi="宋体" w:cs="Times New Roman"/>
                <w:noProof/>
                <w:webHidden/>
                <w:sz w:val="24"/>
                <w:szCs w:val="24"/>
              </w:rPr>
              <w:t>39</w:t>
            </w:r>
            <w:r w:rsidRPr="00727539">
              <w:rPr>
                <w:rFonts w:ascii="宋体" w:eastAsia="宋体" w:hAnsi="宋体" w:cs="Times New Roman"/>
                <w:noProof/>
                <w:webHidden/>
                <w:sz w:val="24"/>
                <w:szCs w:val="24"/>
              </w:rPr>
              <w:fldChar w:fldCharType="end"/>
            </w:r>
          </w:hyperlink>
        </w:p>
        <w:p w:rsidR="00D359BE" w:rsidRPr="00423413" w:rsidP="00727539" w14:paraId="07A234FF" w14:textId="28F7CC07">
          <w:pPr>
            <w:adjustRightInd w:val="0"/>
            <w:snapToGrid w:val="0"/>
            <w:spacing w:line="300" w:lineRule="auto"/>
            <w:rPr>
              <w:rFonts w:ascii="Times New Roman" w:eastAsia="宋体" w:hAnsi="Times New Roman" w:cs="Times New Roman"/>
              <w:sz w:val="24"/>
              <w:szCs w:val="24"/>
            </w:rPr>
          </w:pPr>
          <w:r w:rsidRPr="00423413">
            <w:rPr>
              <w:rFonts w:ascii="Times New Roman" w:eastAsia="宋体" w:hAnsi="Times New Roman" w:cs="Times New Roman"/>
              <w:bCs/>
              <w:sz w:val="24"/>
              <w:szCs w:val="24"/>
              <w:lang w:val="zh-CN"/>
            </w:rPr>
            <w:fldChar w:fldCharType="end"/>
          </w:r>
        </w:p>
      </w:sdtContent>
    </w:sdt>
    <w:p w:rsidR="00D359BE" w14:paraId="74D7CF29" w14:textId="77777777">
      <w:pPr>
        <w:pStyle w:val="Heading1"/>
        <w:spacing w:before="120"/>
        <w:rPr>
          <w:rFonts w:ascii="Times New Roman" w:eastAsia="宋体" w:hAnsi="Times New Roman" w:cs="Times New Roman"/>
          <w:b w:val="0"/>
          <w:bCs w:val="0"/>
        </w:rPr>
        <w:sectPr w:rsidSect="00FF7A0B">
          <w:headerReference w:type="even" r:id="rId30"/>
          <w:headerReference w:type="default" r:id="rId31"/>
          <w:footerReference w:type="even" r:id="rId32"/>
          <w:footerReference w:type="default" r:id="rId33"/>
          <w:headerReference w:type="first" r:id="rId34"/>
          <w:footerReference w:type="first" r:id="rId35"/>
          <w:type w:val="nextPage"/>
          <w:pgSz w:w="11906" w:h="16838"/>
          <w:pgMar w:top="1985" w:right="1418" w:bottom="1418" w:left="1418" w:header="1417" w:footer="1134" w:gutter="0"/>
          <w:pgNumType w:fmt="upperRoman" w:start="4"/>
          <w:cols w:space="425"/>
          <w:titlePg w:val="0"/>
          <w:docGrid w:linePitch="312"/>
        </w:sectPr>
      </w:pPr>
    </w:p>
    <w:p w:rsidR="00D359BE" w:rsidRPr="001C2293" w:rsidP="001C2293" w14:paraId="16335565" w14:textId="77777777">
      <w:pPr>
        <w:pStyle w:val="Heading1"/>
        <w:adjustRightInd w:val="0"/>
        <w:snapToGrid w:val="0"/>
        <w:spacing w:before="0" w:beforeLines="0" w:after="220"/>
        <w:rPr>
          <w:rFonts w:ascii="Times New Roman" w:hAnsi="Times New Roman" w:cs="Times New Roman"/>
          <w:b w:val="0"/>
          <w:sz w:val="30"/>
          <w:szCs w:val="30"/>
        </w:rPr>
      </w:pPr>
      <w:bookmarkStart w:id="2" w:name="_Toc135660706"/>
      <w:r w:rsidRPr="001C2293">
        <w:rPr>
          <w:rFonts w:ascii="Times New Roman" w:hAnsi="Times New Roman" w:cs="Times New Roman"/>
          <w:b w:val="0"/>
          <w:sz w:val="30"/>
          <w:szCs w:val="30"/>
        </w:rPr>
        <w:t>1</w:t>
      </w:r>
      <w:r w:rsidRPr="001C2293">
        <w:rPr>
          <w:rFonts w:ascii="Times New Roman" w:hAnsi="Times New Roman" w:cs="Times New Roman" w:hint="eastAsia"/>
          <w:b w:val="0"/>
          <w:sz w:val="30"/>
          <w:szCs w:val="30"/>
        </w:rPr>
        <w:t xml:space="preserve"> </w:t>
      </w:r>
      <w:r w:rsidRPr="001C2293">
        <w:rPr>
          <w:rFonts w:ascii="Times New Roman" w:hAnsi="Times New Roman" w:cs="Times New Roman" w:hint="eastAsia"/>
          <w:b w:val="0"/>
          <w:sz w:val="30"/>
          <w:szCs w:val="30"/>
        </w:rPr>
        <w:t>绪论</w:t>
      </w:r>
      <w:bookmarkEnd w:id="2"/>
    </w:p>
    <w:p w:rsidR="00D359BE" w:rsidP="00530198" w14:paraId="4A5FB179" w14:textId="0A5869E3">
      <w:pPr>
        <w:pStyle w:val="NormalWeb"/>
        <w:adjustRightInd w:val="0"/>
        <w:snapToGrid w:val="0"/>
        <w:spacing w:before="0" w:beforeAutospacing="0" w:after="0" w:afterAutospacing="0" w:line="300" w:lineRule="auto"/>
        <w:ind w:firstLine="480" w:firstLineChars="200"/>
        <w:rPr>
          <w:rFonts w:ascii="Times New Roman" w:hAnsi="Times New Roman" w:cs="Times New Roman"/>
        </w:rPr>
      </w:pPr>
      <w:r>
        <w:rPr>
          <w:rFonts w:ascii="Times New Roman" w:hAnsi="Times New Roman" w:cs="Times New Roman"/>
        </w:rPr>
        <w:t>油库是接收、储存、派发石油或石油产品的企业或单位。中国是一个能源需求大国，但其能源储备却非常薄弱。因此，中国需要从国外进口石油，并将石油储存在国家油库中。一旦国际石油价格上涨，它就可以增加国内的石油产量，避免国内的市场被石油价格上涨所影响。</w:t>
      </w:r>
    </w:p>
    <w:p w:rsidR="00D359BE" w:rsidP="00423413" w14:paraId="5428481F" w14:textId="77777777">
      <w:pPr>
        <w:pStyle w:val="NormalWeb"/>
        <w:adjustRightInd w:val="0"/>
        <w:snapToGrid w:val="0"/>
        <w:spacing w:before="0" w:beforeAutospacing="0" w:after="0" w:afterAutospacing="0" w:line="300" w:lineRule="auto"/>
        <w:ind w:firstLine="480" w:firstLineChars="200"/>
        <w:rPr>
          <w:rFonts w:ascii="Times New Roman" w:hAnsi="Times New Roman" w:cs="Times New Roman"/>
        </w:rPr>
      </w:pPr>
      <w:r>
        <w:rPr>
          <w:rFonts w:ascii="Times New Roman" w:hAnsi="Times New Roman" w:cs="Times New Roman"/>
        </w:rPr>
        <w:t>中国大部分石油储备都位于沿海地区，内陆地区相对之下储备量较小。此外，由于中国没有稳定的进口渠道和稳定的对外关系，中国原油的进口依赖度非常高。如果国际石油价格上涨，将会对国内经济产生严重影响。因此，中国政府在国内建立了庞大的油库网络以备不时之需。虽然这些油库的数量和规模都很小，但它们在稳定原油价格方面起着至关重要的作用。</w:t>
      </w:r>
    </w:p>
    <w:p w:rsidR="00D359BE" w:rsidP="00423413" w14:paraId="2863ACF2" w14:textId="77777777">
      <w:pPr>
        <w:pStyle w:val="NormalWeb"/>
        <w:adjustRightInd w:val="0"/>
        <w:snapToGrid w:val="0"/>
        <w:spacing w:before="0" w:beforeAutospacing="0" w:after="0" w:afterAutospacing="0" w:line="300" w:lineRule="auto"/>
        <w:ind w:firstLine="480" w:firstLineChars="200"/>
        <w:rPr>
          <w:rFonts w:ascii="Times New Roman" w:hAnsi="Times New Roman" w:cs="Times New Roman"/>
        </w:rPr>
      </w:pPr>
      <w:r>
        <w:rPr>
          <w:rFonts w:ascii="Times New Roman" w:hAnsi="Times New Roman" w:cs="Times New Roman"/>
        </w:rPr>
        <w:t>重庆油库开始建于</w:t>
      </w:r>
      <w:r>
        <w:rPr>
          <w:rFonts w:ascii="Times New Roman" w:hAnsi="Times New Roman" w:cs="Times New Roman"/>
        </w:rPr>
        <w:t>1965</w:t>
      </w:r>
      <w:r>
        <w:rPr>
          <w:rFonts w:ascii="Times New Roman" w:hAnsi="Times New Roman" w:cs="Times New Roman"/>
        </w:rPr>
        <w:t>年，伏牛溪油库是中国最早的油库之一。当时，国家决定在重庆建设第二个油库，但由于种种原因未能实施。</w:t>
      </w:r>
      <w:r>
        <w:rPr>
          <w:rFonts w:ascii="Times New Roman" w:hAnsi="Times New Roman" w:cs="Times New Roman"/>
        </w:rPr>
        <w:t>20</w:t>
      </w:r>
      <w:r>
        <w:rPr>
          <w:rFonts w:ascii="Times New Roman" w:hAnsi="Times New Roman" w:cs="Times New Roman"/>
        </w:rPr>
        <w:t>世纪</w:t>
      </w:r>
      <w:r>
        <w:rPr>
          <w:rFonts w:ascii="Times New Roman" w:hAnsi="Times New Roman" w:cs="Times New Roman"/>
        </w:rPr>
        <w:t>90</w:t>
      </w:r>
      <w:r>
        <w:rPr>
          <w:rFonts w:ascii="Times New Roman" w:hAnsi="Times New Roman" w:cs="Times New Roman"/>
        </w:rPr>
        <w:t>年代初，中国经济开始快速发展，对石油产品的需求逐渐增加。中国政府决定在重庆市建设第二个油库。经过近一年的准备工作，油库于</w:t>
      </w:r>
      <w:r>
        <w:rPr>
          <w:rFonts w:ascii="Times New Roman" w:hAnsi="Times New Roman" w:cs="Times New Roman"/>
        </w:rPr>
        <w:t>1993</w:t>
      </w:r>
      <w:r>
        <w:rPr>
          <w:rFonts w:ascii="Times New Roman" w:hAnsi="Times New Roman" w:cs="Times New Roman"/>
        </w:rPr>
        <w:t>年建成。该油库位于重庆市郊区的两路口街道办事处附近。两个油库位于重庆、四川和贵州交界处的一个狭长地带。在中国西部地区，它与甘肃、陕西和青海三个省份相连。现在，重庆已成为中国最大的成品油集散地之一。</w:t>
      </w:r>
    </w:p>
    <w:p w:rsidR="00D359BE" w:rsidRPr="001C2293" w:rsidP="001C2293" w14:paraId="12EE9808" w14:textId="4339F454">
      <w:pPr>
        <w:pStyle w:val="Heading2"/>
        <w:adjustRightInd w:val="0"/>
        <w:snapToGrid w:val="0"/>
        <w:spacing w:before="120" w:beforeLines="50" w:after="0" w:line="360" w:lineRule="auto"/>
        <w:rPr>
          <w:rFonts w:ascii="Times New Roman" w:hAnsi="Times New Roman" w:cs="Times New Roman"/>
          <w:b w:val="0"/>
        </w:rPr>
      </w:pPr>
      <w:bookmarkStart w:id="3" w:name="_Toc135660707"/>
      <w:r w:rsidRPr="001C2293">
        <w:rPr>
          <w:rFonts w:ascii="Times New Roman" w:hAnsi="Times New Roman" w:cs="Times New Roman"/>
          <w:b w:val="0"/>
        </w:rPr>
        <w:t>1.1</w:t>
      </w:r>
      <w:r w:rsidRPr="001C2293" w:rsidR="007C777D">
        <w:rPr>
          <w:rFonts w:ascii="Times New Roman" w:hAnsi="Times New Roman" w:cs="Times New Roman"/>
          <w:b w:val="0"/>
        </w:rPr>
        <w:t xml:space="preserve"> </w:t>
      </w:r>
      <w:r w:rsidRPr="001C2293">
        <w:rPr>
          <w:rFonts w:ascii="Times New Roman" w:hAnsi="Times New Roman" w:cs="Times New Roman"/>
          <w:b w:val="0"/>
        </w:rPr>
        <w:t>课题目的</w:t>
      </w:r>
      <w:bookmarkEnd w:id="3"/>
    </w:p>
    <w:p w:rsidR="00D359BE" w:rsidP="00530198" w14:paraId="664B35C2" w14:textId="77777777">
      <w:pPr>
        <w:tabs>
          <w:tab w:val="left" w:pos="5832"/>
        </w:tabs>
        <w:adjustRightInd w:val="0"/>
        <w:snapToGrid w:val="0"/>
        <w:spacing w:line="300" w:lineRule="auto"/>
        <w:ind w:firstLine="480" w:firstLineChars="200"/>
        <w:jc w:val="left"/>
        <w:rPr>
          <w:rFonts w:ascii="Times New Roman" w:eastAsia="宋体" w:hAnsi="Times New Roman" w:cs="Times New Roman"/>
          <w:sz w:val="24"/>
          <w:szCs w:val="20"/>
        </w:rPr>
      </w:pPr>
      <w:r>
        <w:rPr>
          <w:rFonts w:ascii="宋体" w:eastAsia="宋体" w:hAnsi="宋体" w:cs="Times New Roman" w:hint="eastAsia"/>
          <w:color w:val="000000"/>
          <w:sz w:val="24"/>
          <w:szCs w:val="24"/>
        </w:rPr>
        <w:t>随着石油工业的提升和石油战略地位的进一步提高，油库的建造也变得越来越重要，本设计将按照任务设计书，在重庆三峡拟建一座成品油油库，因此本设计将根据相关的原始数据及设计标准规范，对油库总平面布置、油库基本功能</w:t>
      </w:r>
      <w:r>
        <w:rPr>
          <w:rFonts w:ascii="Times New Roman" w:eastAsia="宋体" w:hAnsi="Times New Roman" w:cs="Times New Roman" w:hint="eastAsia"/>
          <w:sz w:val="24"/>
          <w:szCs w:val="24"/>
        </w:rPr>
        <w:t>、油库的</w:t>
      </w:r>
      <w:r>
        <w:rPr>
          <w:rFonts w:ascii="Times New Roman" w:eastAsia="宋体" w:hAnsi="Times New Roman" w:cs="宋体" w:hint="eastAsia"/>
          <w:sz w:val="24"/>
          <w:szCs w:val="24"/>
        </w:rPr>
        <w:t>工艺流程、</w:t>
      </w:r>
      <w:r>
        <w:rPr>
          <w:rFonts w:ascii="Times New Roman" w:eastAsia="宋体" w:hAnsi="Times New Roman" w:cs="Times New Roman" w:hint="eastAsia"/>
          <w:sz w:val="24"/>
          <w:szCs w:val="20"/>
        </w:rPr>
        <w:t>相应系统的关键设备等进行合理设计及选择并绘制油库总平面布置图以及油库工艺流程图。</w:t>
      </w:r>
    </w:p>
    <w:p w:rsidR="00D359BE" w:rsidRPr="001C2293" w:rsidP="001C2293" w14:paraId="6E5A3EEC" w14:textId="215F0FC9">
      <w:pPr>
        <w:pStyle w:val="Heading2"/>
        <w:adjustRightInd w:val="0"/>
        <w:snapToGrid w:val="0"/>
        <w:spacing w:before="120" w:beforeLines="50" w:after="0" w:line="360" w:lineRule="auto"/>
        <w:rPr>
          <w:rFonts w:ascii="Times New Roman" w:hAnsi="Times New Roman" w:cs="Times New Roman"/>
          <w:b w:val="0"/>
        </w:rPr>
      </w:pPr>
      <w:bookmarkStart w:id="4" w:name="_Toc135660708"/>
      <w:r w:rsidRPr="001C2293">
        <w:rPr>
          <w:rFonts w:ascii="Times New Roman" w:hAnsi="Times New Roman" w:cs="Times New Roman"/>
          <w:b w:val="0"/>
        </w:rPr>
        <w:t>1.2</w:t>
      </w:r>
      <w:r w:rsidRPr="001C2293" w:rsidR="007C777D">
        <w:rPr>
          <w:rFonts w:ascii="Times New Roman" w:hAnsi="Times New Roman" w:cs="Times New Roman" w:hint="eastAsia"/>
          <w:b w:val="0"/>
        </w:rPr>
        <w:t xml:space="preserve"> </w:t>
      </w:r>
      <w:r w:rsidRPr="001C2293">
        <w:rPr>
          <w:rFonts w:ascii="Times New Roman" w:hAnsi="Times New Roman" w:cs="Times New Roman" w:hint="eastAsia"/>
          <w:b w:val="0"/>
        </w:rPr>
        <w:t>课题意义</w:t>
      </w:r>
      <w:bookmarkEnd w:id="4"/>
    </w:p>
    <w:p w:rsidR="00D359BE" w:rsidP="00530198" w14:paraId="172CCFB5" w14:textId="653C200D">
      <w:pPr>
        <w:pStyle w:val="PlainText"/>
        <w:adjustRightInd w:val="0"/>
        <w:snapToGrid w:val="0"/>
        <w:spacing w:line="300" w:lineRule="auto"/>
        <w:ind w:firstLine="480" w:firstLineChars="200"/>
        <w:rPr>
          <w:rFonts w:eastAsia="宋体" w:hAnsi="宋体"/>
          <w:b/>
          <w:bCs/>
          <w:szCs w:val="24"/>
        </w:rPr>
        <w:sectPr>
          <w:headerReference w:type="even" r:id="rId36"/>
          <w:headerReference w:type="default" r:id="rId37"/>
          <w:footerReference w:type="even" r:id="rId38"/>
          <w:footerReference w:type="default" r:id="rId39"/>
          <w:headerReference w:type="first" r:id="rId40"/>
          <w:footerReference w:type="first" r:id="rId41"/>
          <w:pgSz w:w="11906" w:h="16838"/>
          <w:pgMar w:top="1985" w:right="1418" w:bottom="1418" w:left="1418" w:header="1417" w:footer="1134" w:gutter="0"/>
          <w:pgNumType w:start="1"/>
          <w:cols w:space="425"/>
          <w:titlePg/>
          <w:docGrid w:linePitch="312"/>
        </w:sectPr>
      </w:pPr>
      <w:r>
        <w:rPr>
          <w:rFonts w:eastAsia="宋体" w:hAnsi="宋体" w:hint="eastAsia"/>
          <w:szCs w:val="24"/>
        </w:rPr>
        <w:t>油库设计是油气储运设计专业的大学生需要掌控的基本技能之一，经过全方位系统地对油库展开设计，将理论与实践有机的整合起来，提高和训练学生的工程设计本领，以及判断和解决实际工艺的问题</w:t>
      </w:r>
      <w:r w:rsidR="008166B9">
        <w:rPr>
          <w:rFonts w:eastAsia="宋体" w:hAnsi="宋体" w:hint="eastAsia"/>
          <w:szCs w:val="24"/>
        </w:rPr>
        <w:t>，</w:t>
      </w:r>
      <w:r>
        <w:rPr>
          <w:rFonts w:eastAsia="宋体" w:hAnsi="宋体" w:hint="eastAsia"/>
          <w:szCs w:val="24"/>
        </w:rPr>
        <w:t>以便于</w:t>
      </w:r>
      <w:r>
        <w:rPr>
          <w:rFonts w:eastAsia="宋体" w:hAnsi="宋体" w:hint="eastAsia"/>
          <w:szCs w:val="24"/>
        </w:rPr>
        <w:t>今后进入工作可快速推动国家油库发展和进步。</w:t>
      </w:r>
    </w:p>
    <w:p w:rsidR="00D359BE" w:rsidRPr="001C2293" w:rsidP="001C2293" w14:paraId="2D2922DB" w14:textId="56ED609E">
      <w:pPr>
        <w:pStyle w:val="Heading2"/>
        <w:adjustRightInd w:val="0"/>
        <w:snapToGrid w:val="0"/>
        <w:spacing w:before="120" w:beforeLines="50" w:after="0" w:line="360" w:lineRule="auto"/>
        <w:rPr>
          <w:rFonts w:ascii="Times New Roman" w:hAnsi="Times New Roman" w:cs="Times New Roman"/>
          <w:b w:val="0"/>
        </w:rPr>
      </w:pPr>
      <w:bookmarkStart w:id="5" w:name="_Toc135660709"/>
      <w:r w:rsidRPr="001C2293">
        <w:rPr>
          <w:rFonts w:ascii="Times New Roman" w:hAnsi="Times New Roman" w:cs="Times New Roman"/>
          <w:b w:val="0"/>
        </w:rPr>
        <w:t>1.3</w:t>
      </w:r>
      <w:r w:rsidRPr="001C2293" w:rsidR="007C777D">
        <w:rPr>
          <w:rFonts w:ascii="Times New Roman" w:hAnsi="Times New Roman" w:cs="Times New Roman" w:hint="eastAsia"/>
          <w:b w:val="0"/>
        </w:rPr>
        <w:t xml:space="preserve"> </w:t>
      </w:r>
      <w:r w:rsidRPr="001C2293">
        <w:rPr>
          <w:rFonts w:ascii="Times New Roman" w:hAnsi="Times New Roman" w:cs="Times New Roman"/>
          <w:b w:val="0"/>
        </w:rPr>
        <w:t>国内外现状</w:t>
      </w:r>
      <w:bookmarkEnd w:id="5"/>
    </w:p>
    <w:p w:rsidR="00D359BE" w:rsidP="00530198" w14:paraId="1E2AE5B5" w14:textId="6BA07BFE">
      <w:pPr>
        <w:pStyle w:val="Heading3"/>
        <w:adjustRightInd w:val="0"/>
        <w:snapToGrid w:val="0"/>
        <w:spacing w:before="120" w:beforeLines="50" w:after="0" w:line="360" w:lineRule="auto"/>
        <w:rPr>
          <w:rFonts w:ascii="黑体" w:hAnsi="黑体"/>
          <w:b w:val="0"/>
          <w:bCs w:val="0"/>
        </w:rPr>
      </w:pPr>
      <w:bookmarkStart w:id="6" w:name="_Toc135660710"/>
      <w:r w:rsidRPr="00A96BFB">
        <w:rPr>
          <w:rFonts w:ascii="Times New Roman" w:hAnsi="Times New Roman" w:cs="Times New Roman"/>
          <w:b w:val="0"/>
          <w:bCs w:val="0"/>
        </w:rPr>
        <w:t>1.3.1</w:t>
      </w:r>
      <w:r w:rsidR="007C777D">
        <w:rPr>
          <w:rFonts w:ascii="Times New Roman" w:hAnsi="Times New Roman" w:cs="Times New Roman" w:hint="eastAsia"/>
          <w:b w:val="0"/>
          <w:bCs w:val="0"/>
        </w:rPr>
        <w:t xml:space="preserve"> </w:t>
      </w:r>
      <w:r>
        <w:rPr>
          <w:rFonts w:ascii="黑体" w:hAnsi="黑体" w:hint="eastAsia"/>
          <w:b w:val="0"/>
          <w:bCs w:val="0"/>
        </w:rPr>
        <w:t>国内现状</w:t>
      </w:r>
      <w:bookmarkEnd w:id="6"/>
    </w:p>
    <w:p w:rsidR="00D359BE" w:rsidP="00530198" w14:paraId="6EBB026E" w14:textId="77777777">
      <w:pPr>
        <w:tabs>
          <w:tab w:val="left" w:pos="5832"/>
        </w:tabs>
        <w:adjustRightInd w:val="0"/>
        <w:snapToGrid w:val="0"/>
        <w:spacing w:line="300" w:lineRule="auto"/>
        <w:ind w:firstLine="480" w:firstLineChars="200"/>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国家全方位开放的步履持续加速，加入世界贸易组织至今，我国的成品油市场取得势不可挡的发展。市场上的事势时事也形成了变动，</w:t>
      </w:r>
      <w:r>
        <w:rPr>
          <w:rFonts w:ascii="Times New Roman" w:eastAsia="宋体" w:hAnsi="Times New Roman" w:cs="Times New Roman"/>
          <w:color w:val="000000"/>
          <w:sz w:val="24"/>
          <w:szCs w:val="24"/>
        </w:rPr>
        <w:t>2014</w:t>
      </w:r>
      <w:r>
        <w:rPr>
          <w:rFonts w:ascii="Times New Roman" w:eastAsia="宋体" w:hAnsi="Times New Roman" w:cs="Times New Roman"/>
          <w:color w:val="000000"/>
          <w:sz w:val="24"/>
          <w:szCs w:val="24"/>
        </w:rPr>
        <w:t>年</w:t>
      </w:r>
      <w:r>
        <w:rPr>
          <w:rFonts w:ascii="Times New Roman" w:eastAsia="宋体" w:hAnsi="Times New Roman" w:cs="Times New Roman"/>
          <w:color w:val="000000"/>
          <w:sz w:val="24"/>
          <w:szCs w:val="24"/>
        </w:rPr>
        <w:t>12</w:t>
      </w:r>
      <w:r>
        <w:rPr>
          <w:rFonts w:ascii="Times New Roman" w:eastAsia="宋体" w:hAnsi="Times New Roman" w:cs="Times New Roman"/>
          <w:color w:val="000000"/>
          <w:sz w:val="24"/>
          <w:szCs w:val="24"/>
        </w:rPr>
        <w:t>月我们国家全面的开放成品油售卖市场，海外各地商人也能够通过创建合资企业的途径开展了成品油的售卖业务，</w:t>
      </w:r>
      <w:r>
        <w:rPr>
          <w:rFonts w:ascii="Times New Roman" w:eastAsia="宋体" w:hAnsi="Times New Roman" w:cs="Times New Roman"/>
          <w:color w:val="000000"/>
          <w:sz w:val="24"/>
          <w:szCs w:val="24"/>
        </w:rPr>
        <w:t>2016</w:t>
      </w:r>
      <w:r>
        <w:rPr>
          <w:rFonts w:ascii="Times New Roman" w:eastAsia="宋体" w:hAnsi="Times New Roman" w:cs="Times New Roman"/>
          <w:color w:val="000000"/>
          <w:sz w:val="24"/>
          <w:szCs w:val="24"/>
        </w:rPr>
        <w:t>年</w:t>
      </w:r>
      <w:r>
        <w:rPr>
          <w:rFonts w:ascii="Times New Roman" w:eastAsia="宋体" w:hAnsi="Times New Roman" w:cs="Times New Roman"/>
          <w:color w:val="000000"/>
          <w:sz w:val="24"/>
          <w:szCs w:val="24"/>
        </w:rPr>
        <w:t>12</w:t>
      </w:r>
      <w:r>
        <w:rPr>
          <w:rFonts w:ascii="Times New Roman" w:eastAsia="宋体" w:hAnsi="Times New Roman" w:cs="Times New Roman"/>
          <w:color w:val="000000"/>
          <w:sz w:val="24"/>
          <w:szCs w:val="24"/>
        </w:rPr>
        <w:t>月在在经过了实践期后，我们国家的成品油市场上全方面放开。市场开启后，跨国大公司无间增置自己的油库、载运的码头、出售的方法和网络。如此的市场转变对于国内的来说是时机同样也是突破。</w:t>
      </w:r>
      <w:r>
        <w:rPr>
          <w:rFonts w:ascii="Times New Roman" w:eastAsia="宋体" w:hAnsi="Times New Roman" w:cs="Times New Roman"/>
          <w:sz w:val="24"/>
          <w:szCs w:val="24"/>
        </w:rPr>
        <w:t>截至</w:t>
      </w:r>
      <w:r>
        <w:rPr>
          <w:rFonts w:ascii="Times New Roman" w:eastAsia="宋体" w:hAnsi="Times New Roman" w:cs="Times New Roman"/>
          <w:sz w:val="24"/>
          <w:szCs w:val="24"/>
        </w:rPr>
        <w:t>2018</w:t>
      </w:r>
      <w:r>
        <w:rPr>
          <w:rFonts w:ascii="Times New Roman" w:eastAsia="宋体" w:hAnsi="Times New Roman" w:cs="Times New Roman"/>
          <w:sz w:val="24"/>
          <w:szCs w:val="24"/>
        </w:rPr>
        <w:t>年底，我国已建立起包括</w:t>
      </w:r>
      <w:r>
        <w:rPr>
          <w:rFonts w:ascii="Times New Roman" w:eastAsia="宋体" w:hAnsi="Times New Roman" w:cs="Times New Roman"/>
          <w:sz w:val="24"/>
          <w:szCs w:val="24"/>
        </w:rPr>
        <w:t>6</w:t>
      </w:r>
      <w:r>
        <w:rPr>
          <w:rFonts w:ascii="Times New Roman" w:eastAsia="宋体" w:hAnsi="Times New Roman" w:cs="Times New Roman"/>
          <w:sz w:val="24"/>
          <w:szCs w:val="24"/>
        </w:rPr>
        <w:t>个国家石油储备基地、</w:t>
      </w:r>
      <w:r>
        <w:rPr>
          <w:rFonts w:ascii="Times New Roman" w:eastAsia="宋体" w:hAnsi="Times New Roman" w:cs="Times New Roman"/>
          <w:sz w:val="24"/>
          <w:szCs w:val="24"/>
        </w:rPr>
        <w:t>7</w:t>
      </w:r>
      <w:r>
        <w:rPr>
          <w:rFonts w:ascii="Times New Roman" w:eastAsia="宋体" w:hAnsi="Times New Roman" w:cs="Times New Roman"/>
          <w:sz w:val="24"/>
          <w:szCs w:val="24"/>
        </w:rPr>
        <w:t>个省级石油储备基地、</w:t>
      </w:r>
      <w:r>
        <w:rPr>
          <w:rFonts w:ascii="Times New Roman" w:eastAsia="宋体" w:hAnsi="Times New Roman" w:cs="Times New Roman"/>
          <w:sz w:val="24"/>
          <w:szCs w:val="24"/>
        </w:rPr>
        <w:t>4</w:t>
      </w:r>
      <w:r>
        <w:rPr>
          <w:rFonts w:ascii="Times New Roman" w:eastAsia="宋体" w:hAnsi="Times New Roman" w:cs="Times New Roman"/>
          <w:sz w:val="24"/>
          <w:szCs w:val="24"/>
        </w:rPr>
        <w:t>个商业储备基地在内的四级石油储备体系。除上述五大储油地之外，中国还有约</w:t>
      </w:r>
      <w:r>
        <w:rPr>
          <w:rFonts w:ascii="Times New Roman" w:eastAsia="宋体" w:hAnsi="Times New Roman" w:cs="Times New Roman"/>
          <w:sz w:val="24"/>
          <w:szCs w:val="24"/>
        </w:rPr>
        <w:t>200</w:t>
      </w:r>
      <w:r>
        <w:rPr>
          <w:rFonts w:ascii="Times New Roman" w:eastAsia="宋体" w:hAnsi="Times New Roman" w:cs="Times New Roman"/>
          <w:sz w:val="24"/>
          <w:szCs w:val="24"/>
        </w:rPr>
        <w:t>个储油地。除国家和省级层面的国家储备库外，中国还拥有约</w:t>
      </w:r>
      <w:r>
        <w:rPr>
          <w:rFonts w:ascii="Times New Roman" w:eastAsia="宋体" w:hAnsi="Times New Roman" w:cs="Times New Roman"/>
          <w:sz w:val="24"/>
          <w:szCs w:val="24"/>
        </w:rPr>
        <w:t>500</w:t>
      </w:r>
      <w:r>
        <w:rPr>
          <w:rFonts w:ascii="Times New Roman" w:eastAsia="宋体" w:hAnsi="Times New Roman" w:cs="Times New Roman"/>
          <w:sz w:val="24"/>
          <w:szCs w:val="24"/>
        </w:rPr>
        <w:t>个商业原油储备库。截至</w:t>
      </w:r>
      <w:r>
        <w:rPr>
          <w:rFonts w:ascii="Times New Roman" w:eastAsia="宋体" w:hAnsi="Times New Roman" w:cs="Times New Roman"/>
          <w:sz w:val="24"/>
          <w:szCs w:val="24"/>
        </w:rPr>
        <w:t>2018</w:t>
      </w:r>
      <w:r>
        <w:rPr>
          <w:rFonts w:ascii="Times New Roman" w:eastAsia="宋体" w:hAnsi="Times New Roman" w:cs="Times New Roman"/>
          <w:sz w:val="24"/>
          <w:szCs w:val="24"/>
        </w:rPr>
        <w:t>年底，中国已形成以</w:t>
      </w:r>
      <w:r>
        <w:rPr>
          <w:rFonts w:ascii="Times New Roman" w:eastAsia="宋体" w:hAnsi="Times New Roman" w:cs="Times New Roman"/>
          <w:sz w:val="24"/>
          <w:szCs w:val="24"/>
        </w:rPr>
        <w:t>20</w:t>
      </w:r>
      <w:r w:rsidRPr="009C1A58">
        <w:rPr>
          <w:rFonts w:ascii="Times New Roman" w:eastAsia="宋体" w:hAnsi="Times New Roman" w:cs="Times New Roman"/>
          <w:sz w:val="24"/>
          <w:szCs w:val="24"/>
        </w:rPr>
        <w:t>个国家为基础的原油战略储备体系。</w:t>
      </w:r>
      <w:r w:rsidRPr="009C1A58">
        <w:rPr>
          <w:rFonts w:ascii="Times New Roman" w:eastAsia="宋体" w:hAnsi="Times New Roman" w:cs="Times New Roman"/>
          <w:sz w:val="24"/>
          <w:szCs w:val="24"/>
        </w:rPr>
        <w:t>2023</w:t>
      </w:r>
      <w:r w:rsidRPr="009C1A58">
        <w:rPr>
          <w:rFonts w:ascii="Times New Roman" w:eastAsia="宋体" w:hAnsi="Times New Roman" w:cs="Times New Roman"/>
          <w:sz w:val="24"/>
          <w:szCs w:val="24"/>
        </w:rPr>
        <w:t>年</w:t>
      </w:r>
      <w:r w:rsidRPr="009C1A58">
        <w:rPr>
          <w:rFonts w:ascii="Times New Roman" w:eastAsia="宋体" w:hAnsi="Times New Roman" w:cs="Times New Roman"/>
          <w:sz w:val="24"/>
          <w:szCs w:val="24"/>
        </w:rPr>
        <w:t>3</w:t>
      </w:r>
      <w:r w:rsidRPr="009C1A58">
        <w:rPr>
          <w:rFonts w:ascii="Times New Roman" w:eastAsia="宋体" w:hAnsi="Times New Roman" w:cs="Times New Roman"/>
          <w:sz w:val="24"/>
          <w:szCs w:val="24"/>
        </w:rPr>
        <w:t>月，</w:t>
      </w:r>
      <w:r w:rsidRPr="009C1A58">
        <w:rPr>
          <w:rFonts w:ascii="Times New Roman" w:eastAsia="宋体" w:hAnsi="Times New Roman" w:cs="Times New Roman"/>
          <w:sz w:val="24"/>
          <w:szCs w:val="24"/>
        </w:rPr>
        <w:t>国家发改委</w:t>
      </w:r>
      <w:r w:rsidRPr="009C1A58">
        <w:rPr>
          <w:rFonts w:ascii="Times New Roman" w:eastAsia="宋体" w:hAnsi="Times New Roman" w:cs="Times New Roman"/>
          <w:sz w:val="24"/>
          <w:szCs w:val="24"/>
        </w:rPr>
        <w:t>、国家能源局印发《</w:t>
      </w:r>
      <w:r w:rsidRPr="009C1A58">
        <w:rPr>
          <w:rFonts w:ascii="Times New Roman" w:eastAsia="宋体" w:hAnsi="Times New Roman" w:cs="Times New Roman"/>
          <w:sz w:val="24"/>
          <w:szCs w:val="24"/>
        </w:rPr>
        <w:t>“</w:t>
      </w:r>
      <w:r w:rsidRPr="009C1A58">
        <w:rPr>
          <w:rFonts w:ascii="Times New Roman" w:eastAsia="宋体" w:hAnsi="Times New Roman" w:cs="Times New Roman"/>
          <w:sz w:val="24"/>
          <w:szCs w:val="24"/>
        </w:rPr>
        <w:t>十四五</w:t>
      </w:r>
      <w:r w:rsidRPr="009C1A58">
        <w:rPr>
          <w:rFonts w:ascii="Times New Roman" w:eastAsia="宋体" w:hAnsi="Times New Roman" w:cs="Times New Roman"/>
          <w:sz w:val="24"/>
          <w:szCs w:val="24"/>
        </w:rPr>
        <w:t>”</w:t>
      </w:r>
      <w:r w:rsidRPr="009C1A58">
        <w:rPr>
          <w:rFonts w:ascii="Times New Roman" w:eastAsia="宋体" w:hAnsi="Times New Roman" w:cs="Times New Roman"/>
          <w:sz w:val="24"/>
          <w:szCs w:val="24"/>
        </w:rPr>
        <w:t>现代能源体系规划》</w:t>
      </w:r>
      <w:r>
        <w:rPr>
          <w:rFonts w:ascii="Times New Roman" w:eastAsia="宋体" w:hAnsi="Times New Roman" w:cs="Times New Roman"/>
          <w:sz w:val="24"/>
          <w:szCs w:val="24"/>
        </w:rPr>
        <w:t>规划</w:t>
      </w:r>
      <w:r>
        <w:rPr>
          <w:rFonts w:ascii="Times New Roman" w:eastAsia="宋体" w:hAnsi="Times New Roman" w:cs="Times New Roman"/>
          <w:sz w:val="24"/>
          <w:szCs w:val="24"/>
        </w:rPr>
        <w:t>102</w:t>
      </w:r>
      <w:r>
        <w:rPr>
          <w:rFonts w:ascii="Times New Roman" w:eastAsia="宋体" w:hAnsi="Times New Roman" w:cs="Times New Roman"/>
          <w:sz w:val="24"/>
          <w:szCs w:val="24"/>
        </w:rPr>
        <w:t>项重大工程中也包括了现代能源体系建设工程，其中重点提及了油气储运能力建设，规划新建中俄东线境内段、</w:t>
      </w:r>
      <w:r>
        <w:rPr>
          <w:rFonts w:ascii="Times New Roman" w:eastAsia="宋体" w:hAnsi="Times New Roman" w:cs="Times New Roman"/>
          <w:sz w:val="24"/>
          <w:szCs w:val="24"/>
        </w:rPr>
        <w:t>川气东</w:t>
      </w:r>
      <w:r>
        <w:rPr>
          <w:rFonts w:ascii="Times New Roman" w:eastAsia="宋体" w:hAnsi="Times New Roman" w:cs="Times New Roman"/>
          <w:sz w:val="24"/>
          <w:szCs w:val="24"/>
        </w:rPr>
        <w:t>送二线等油气管道，</w:t>
      </w:r>
      <w:r>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REF _Ref134563219 \r \h </w:instrText>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rPr>
        <w:t>[4]</w:t>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t>建设石油储备重大工程。油库建设也因紧随</w:t>
      </w:r>
      <w:r>
        <w:rPr>
          <w:rFonts w:ascii="Times New Roman" w:eastAsia="宋体" w:hAnsi="Times New Roman" w:cs="Times New Roman"/>
          <w:sz w:val="24"/>
          <w:szCs w:val="24"/>
        </w:rPr>
        <w:t xml:space="preserve">“X+1+X” </w:t>
      </w:r>
      <w:r>
        <w:rPr>
          <w:rFonts w:ascii="Times New Roman" w:eastAsia="宋体" w:hAnsi="Times New Roman" w:cs="Times New Roman"/>
          <w:sz w:val="24"/>
          <w:szCs w:val="24"/>
        </w:rPr>
        <w:t>的油气市场化改革，向着集中化、自动化、互联化的方向发展进步。目前我国油库现状可以按照以下方面进行详细讨论：</w:t>
      </w:r>
    </w:p>
    <w:p w:rsidR="00D359BE" w:rsidP="00530198" w14:paraId="17592036" w14:textId="77777777">
      <w:pPr>
        <w:pStyle w:val="PlainText"/>
        <w:adjustRightInd w:val="0"/>
        <w:snapToGrid w:val="0"/>
        <w:spacing w:line="300" w:lineRule="auto"/>
        <w:ind w:firstLine="480" w:firstLineChars="200"/>
        <w:rPr>
          <w:rFonts w:ascii="Times New Roman" w:eastAsia="宋体" w:hAnsi="Times New Roman" w:cs="Times New Roman"/>
        </w:rPr>
      </w:pPr>
      <w:r>
        <w:rPr>
          <w:rFonts w:ascii="Times New Roman" w:eastAsia="宋体" w:hAnsi="Times New Roman" w:cs="Times New Roman"/>
        </w:rPr>
        <w:t>国内现有油库布局：国内油库分布不平衡，大部分油库仍采用传统的</w:t>
      </w:r>
      <w:r>
        <w:rPr>
          <w:rFonts w:ascii="Times New Roman" w:eastAsia="宋体" w:hAnsi="Times New Roman" w:cs="Times New Roman"/>
        </w:rPr>
        <w:t>“</w:t>
      </w:r>
      <w:r>
        <w:rPr>
          <w:rFonts w:ascii="Times New Roman" w:eastAsia="宋体" w:hAnsi="Times New Roman" w:cs="Times New Roman"/>
        </w:rPr>
        <w:t>大而全</w:t>
      </w:r>
      <w:r>
        <w:rPr>
          <w:rFonts w:ascii="Times New Roman" w:eastAsia="宋体" w:hAnsi="Times New Roman" w:cs="Times New Roman"/>
        </w:rPr>
        <w:t>”</w:t>
      </w:r>
      <w:r>
        <w:rPr>
          <w:rFonts w:ascii="Times New Roman" w:eastAsia="宋体" w:hAnsi="Times New Roman" w:cs="Times New Roman"/>
        </w:rPr>
        <w:t>模式，建设规模普遍偏大，部分老旧油库仍在使用。</w:t>
      </w:r>
    </w:p>
    <w:p w:rsidR="00D359BE" w:rsidP="00530198" w14:paraId="513580F9" w14:textId="77777777">
      <w:pPr>
        <w:pStyle w:val="PlainText"/>
        <w:adjustRightInd w:val="0"/>
        <w:snapToGrid w:val="0"/>
        <w:spacing w:line="300" w:lineRule="auto"/>
        <w:ind w:firstLine="480" w:firstLineChars="200"/>
        <w:rPr>
          <w:rFonts w:ascii="Times New Roman" w:eastAsia="宋体" w:hAnsi="Times New Roman" w:cs="Times New Roman"/>
          <w:szCs w:val="24"/>
        </w:rPr>
      </w:pPr>
      <w:r>
        <w:rPr>
          <w:rFonts w:ascii="Times New Roman" w:eastAsia="宋体" w:hAnsi="Times New Roman" w:cs="Times New Roman"/>
          <w:szCs w:val="24"/>
        </w:rPr>
        <w:t>目前国内油库建设模式：由于大多数油库是由原石油工业部所属企业改建而成，受当时政策限制，大部分油库没有取得相关许可和审批手续，且这些企业普遍规模较小，整体工艺水平落后，不能满足成品油的储存和输送需要。</w:t>
      </w:r>
    </w:p>
    <w:p w:rsidR="00D359BE" w:rsidP="00530198" w14:paraId="0CA1A3A2" w14:textId="77777777">
      <w:pPr>
        <w:pStyle w:val="PlainText"/>
        <w:adjustRightInd w:val="0"/>
        <w:snapToGrid w:val="0"/>
        <w:spacing w:line="300" w:lineRule="auto"/>
        <w:ind w:firstLine="480" w:firstLineChars="200"/>
        <w:rPr>
          <w:rFonts w:ascii="Times New Roman" w:eastAsia="宋体" w:hAnsi="Times New Roman" w:cs="Times New Roman"/>
          <w:szCs w:val="24"/>
        </w:rPr>
      </w:pPr>
      <w:r>
        <w:rPr>
          <w:rFonts w:ascii="Times New Roman" w:eastAsia="宋体" w:hAnsi="Times New Roman" w:cs="Times New Roman"/>
          <w:szCs w:val="24"/>
        </w:rPr>
        <w:t>国内现有的油库设施设备：随着我国成品油销售市场竞争的不断加剧，国内油品销售企业对储存设施、管理水平及技术能力等提出了更高要求，企业对现有的石油仓库、油罐、油罐装卸设备进行了改造升级。</w:t>
      </w:r>
    </w:p>
    <w:p w:rsidR="00D359BE" w:rsidP="00530198" w14:paraId="300F22CB" w14:textId="77777777">
      <w:pPr>
        <w:pStyle w:val="PlainText"/>
        <w:adjustRightInd w:val="0"/>
        <w:snapToGrid w:val="0"/>
        <w:spacing w:line="300" w:lineRule="auto"/>
        <w:ind w:firstLine="480" w:firstLineChars="200"/>
        <w:rPr>
          <w:rFonts w:ascii="Times New Roman" w:eastAsia="宋体" w:hAnsi="Times New Roman" w:cs="Times New Roman"/>
          <w:szCs w:val="24"/>
        </w:rPr>
      </w:pPr>
      <w:r>
        <w:rPr>
          <w:rFonts w:ascii="Times New Roman" w:eastAsia="宋体" w:hAnsi="Times New Roman" w:cs="Times New Roman"/>
          <w:szCs w:val="24"/>
        </w:rPr>
        <w:t>因此我国应将创建油气储运网络、加速油气管道建造还有成品油库的完善设计作为一个国内油田产业的目标愿景。此中成品油库的完善建设为前俩者的扩展提供扎实的基础，因此有理由面向成品油库的设计以及建造成长趋势展进行更深层次的学习。</w:t>
      </w:r>
    </w:p>
    <w:p w:rsidR="00D359BE" w:rsidRPr="00530198" w:rsidP="001C2293" w14:paraId="4FB68E47" w14:textId="06C19D03">
      <w:pPr>
        <w:pStyle w:val="Heading3"/>
        <w:adjustRightInd w:val="0"/>
        <w:snapToGrid w:val="0"/>
        <w:spacing w:before="120" w:beforeLines="50" w:after="0" w:line="360" w:lineRule="auto"/>
        <w:rPr>
          <w:rFonts w:ascii="Times New Roman" w:hAnsi="Times New Roman" w:cs="Times New Roman"/>
          <w:b w:val="0"/>
          <w:bCs w:val="0"/>
        </w:rPr>
      </w:pPr>
      <w:bookmarkStart w:id="7" w:name="_Toc135660711"/>
      <w:r w:rsidRPr="00A96BFB">
        <w:rPr>
          <w:rFonts w:ascii="Times New Roman" w:hAnsi="Times New Roman" w:cs="Times New Roman"/>
          <w:b w:val="0"/>
          <w:bCs w:val="0"/>
        </w:rPr>
        <w:t>1.3.2</w:t>
      </w:r>
      <w:r w:rsidR="007C777D">
        <w:rPr>
          <w:rFonts w:ascii="Times New Roman" w:hAnsi="Times New Roman" w:cs="Times New Roman" w:hint="eastAsia"/>
          <w:b w:val="0"/>
          <w:bCs w:val="0"/>
        </w:rPr>
        <w:t xml:space="preserve"> </w:t>
      </w:r>
      <w:r w:rsidRPr="00530198">
        <w:rPr>
          <w:rFonts w:ascii="Times New Roman" w:hAnsi="Times New Roman" w:cs="Times New Roman"/>
          <w:b w:val="0"/>
          <w:bCs w:val="0"/>
        </w:rPr>
        <w:t>国外现状</w:t>
      </w:r>
      <w:bookmarkEnd w:id="7"/>
    </w:p>
    <w:p w:rsidR="00D359BE" w:rsidP="00530198" w14:paraId="297D0D0A" w14:textId="3AABEBEF">
      <w:pPr>
        <w:adjustRightInd w:val="0"/>
        <w:snapToGrid w:val="0"/>
        <w:spacing w:line="300" w:lineRule="auto"/>
        <w:ind w:firstLine="480" w:firstLineChars="200"/>
        <w:rPr>
          <w:rFonts w:ascii="Times New Roman" w:eastAsia="宋体" w:hAnsi="Times New Roman" w:cs="Times New Roman"/>
        </w:rPr>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1985" w:right="1418" w:bottom="1418" w:left="1418" w:header="1417" w:footer="1134" w:gutter="0"/>
          <w:pgNumType w:start="2"/>
          <w:cols w:space="425"/>
          <w:titlePg w:val="0"/>
          <w:docGrid w:linePitch="312"/>
        </w:sectPr>
      </w:pPr>
      <w:r>
        <w:rPr>
          <w:rFonts w:ascii="Times New Roman" w:eastAsia="宋体" w:hAnsi="Times New Roman" w:cs="Times New Roman"/>
          <w:sz w:val="24"/>
          <w:szCs w:val="24"/>
        </w:rPr>
        <w:t>国外一些先进国家的油库自动化管理己颇为老练，当中所取得的益处是非常不错的，不单下降了许多任务量、提高了工作效率还极大改善了安全管理系统并节省了许多</w:t>
      </w:r>
      <w:r>
        <w:rPr>
          <w:rFonts w:ascii="Times New Roman" w:eastAsia="宋体" w:hAnsi="Times New Roman" w:cs="Times New Roman"/>
          <w:sz w:val="24"/>
          <w:szCs w:val="24"/>
        </w:rPr>
        <w:t>不</w:t>
      </w:r>
      <w:r>
        <w:rPr>
          <w:rFonts w:ascii="Times New Roman" w:eastAsia="宋体" w:hAnsi="Times New Roman" w:cs="Times New Roman"/>
          <w:sz w:val="24"/>
          <w:szCs w:val="24"/>
        </w:rPr>
        <w:t>必需的经济投资。石油储备是国家为应付突发事件，保证国民经济正常运行和国防安全所</w:t>
      </w:r>
    </w:p>
    <w:p w:rsidR="00D359BE" w:rsidP="00530198" w14:textId="3AABEBEF">
      <w:pPr>
        <w:adjustRightInd w:val="0"/>
        <w:snapToGrid w:val="0"/>
        <w:spacing w:line="300" w:lineRule="auto"/>
        <w:ind w:firstLine="480" w:firstLineChars="200"/>
        <w:rPr>
          <w:rFonts w:ascii="Times New Roman" w:eastAsia="宋体" w:hAnsi="Times New Roman" w:cs="Times New Roman"/>
        </w:rPr>
      </w:pPr>
      <w:r>
        <w:rPr>
          <w:rFonts w:ascii="Times New Roman" w:eastAsia="宋体" w:hAnsi="Times New Roman" w:cs="Times New Roman"/>
          <w:sz w:val="24"/>
          <w:szCs w:val="24"/>
        </w:rPr>
        <w:t>必需的石油供应，并作为经济制裁手段之一而进行的石油储备。从各国的发展情况看，发达国家一般都建立有完善的石油储备制度。</w:t>
      </w:r>
    </w:p>
    <w:p w:rsidR="00D359BE" w:rsidP="00530198" w14:paraId="3D6A0AE8" w14:textId="77777777">
      <w:pPr>
        <w:adjustRightInd w:val="0"/>
        <w:snapToGrid w:val="0"/>
        <w:spacing w:line="30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美国作为世界上最大的石油消费国，也是世界上最大的原油进口国。由于美国拥有世界上最先进的原油加工和运输设备，特别是有丰富的战略储备原油资源，美国是世界上第一个建立起政府主导、石油企业参加的石油战略储备系统的国家。美国政府每年都要从其石油储备中拨出</w:t>
      </w:r>
      <w:r>
        <w:rPr>
          <w:rFonts w:ascii="Times New Roman" w:eastAsia="宋体" w:hAnsi="Times New Roman" w:cs="Times New Roman"/>
          <w:sz w:val="24"/>
          <w:szCs w:val="24"/>
        </w:rPr>
        <w:t>10%~20%</w:t>
      </w:r>
      <w:r>
        <w:rPr>
          <w:rFonts w:ascii="Times New Roman" w:eastAsia="宋体" w:hAnsi="Times New Roman" w:cs="Times New Roman"/>
          <w:sz w:val="24"/>
          <w:szCs w:val="24"/>
        </w:rPr>
        <w:t>作为国家储备，作为</w:t>
      </w:r>
      <w:r>
        <w:rPr>
          <w:rFonts w:ascii="Times New Roman" w:eastAsia="宋体" w:hAnsi="Times New Roman" w:cs="Times New Roman"/>
          <w:sz w:val="24"/>
          <w:szCs w:val="24"/>
        </w:rPr>
        <w:t>“</w:t>
      </w:r>
      <w:r>
        <w:rPr>
          <w:rFonts w:ascii="Times New Roman" w:eastAsia="宋体" w:hAnsi="Times New Roman" w:cs="Times New Roman"/>
          <w:sz w:val="24"/>
          <w:szCs w:val="24"/>
        </w:rPr>
        <w:t>战时</w:t>
      </w:r>
      <w:r>
        <w:rPr>
          <w:rFonts w:ascii="Times New Roman" w:eastAsia="宋体" w:hAnsi="Times New Roman" w:cs="Times New Roman"/>
          <w:sz w:val="24"/>
          <w:szCs w:val="24"/>
        </w:rPr>
        <w:t>”</w:t>
      </w:r>
      <w:r>
        <w:rPr>
          <w:rFonts w:ascii="Times New Roman" w:eastAsia="宋体" w:hAnsi="Times New Roman" w:cs="Times New Roman"/>
          <w:sz w:val="24"/>
          <w:szCs w:val="24"/>
        </w:rPr>
        <w:t>使用。而在</w:t>
      </w:r>
      <w:r>
        <w:rPr>
          <w:rFonts w:ascii="Times New Roman" w:eastAsia="宋体" w:hAnsi="Times New Roman" w:cs="Times New Roman"/>
          <w:sz w:val="24"/>
          <w:szCs w:val="24"/>
        </w:rPr>
        <w:t>“</w:t>
      </w:r>
      <w:r>
        <w:rPr>
          <w:rFonts w:ascii="Times New Roman" w:eastAsia="宋体" w:hAnsi="Times New Roman" w:cs="Times New Roman"/>
          <w:sz w:val="24"/>
          <w:szCs w:val="24"/>
        </w:rPr>
        <w:t>和平时期</w:t>
      </w:r>
      <w:r>
        <w:rPr>
          <w:rFonts w:ascii="Times New Roman" w:eastAsia="宋体" w:hAnsi="Times New Roman" w:cs="Times New Roman"/>
          <w:sz w:val="24"/>
          <w:szCs w:val="24"/>
        </w:rPr>
        <w:t>”</w:t>
      </w:r>
      <w:r>
        <w:rPr>
          <w:rFonts w:ascii="Times New Roman" w:eastAsia="宋体" w:hAnsi="Times New Roman" w:cs="Times New Roman"/>
          <w:sz w:val="24"/>
          <w:szCs w:val="24"/>
        </w:rPr>
        <w:t>，政府则会把这笔资金用于经济建设。</w:t>
      </w:r>
    </w:p>
    <w:p w:rsidR="00D359BE" w:rsidP="00530198" w14:paraId="28312AB1" w14:textId="77777777">
      <w:pPr>
        <w:adjustRightInd w:val="0"/>
        <w:snapToGrid w:val="0"/>
        <w:spacing w:line="30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目前美国共有储罐</w:t>
      </w:r>
      <w:r>
        <w:rPr>
          <w:rFonts w:ascii="Times New Roman" w:eastAsia="宋体" w:hAnsi="Times New Roman" w:cs="Times New Roman"/>
          <w:sz w:val="24"/>
          <w:szCs w:val="24"/>
        </w:rPr>
        <w:t>104</w:t>
      </w:r>
      <w:r>
        <w:rPr>
          <w:rFonts w:ascii="Times New Roman" w:eastAsia="宋体" w:hAnsi="Times New Roman" w:cs="Times New Roman"/>
          <w:sz w:val="24"/>
          <w:szCs w:val="24"/>
        </w:rPr>
        <w:t>万个，其中私人储罐约占</w:t>
      </w:r>
      <w:r>
        <w:rPr>
          <w:rFonts w:ascii="Times New Roman" w:eastAsia="宋体" w:hAnsi="Times New Roman" w:cs="Times New Roman"/>
          <w:sz w:val="24"/>
          <w:szCs w:val="24"/>
        </w:rPr>
        <w:t>60%</w:t>
      </w:r>
      <w:r>
        <w:rPr>
          <w:rFonts w:ascii="Times New Roman" w:eastAsia="宋体" w:hAnsi="Times New Roman" w:cs="Times New Roman"/>
          <w:sz w:val="24"/>
          <w:szCs w:val="24"/>
        </w:rPr>
        <w:t>，是世界上拥有储罐最多的国家。美国地下储罐容量约为</w:t>
      </w:r>
      <w:r>
        <w:rPr>
          <w:rFonts w:ascii="Times New Roman" w:eastAsia="宋体" w:hAnsi="Times New Roman" w:cs="Times New Roman"/>
          <w:sz w:val="24"/>
          <w:szCs w:val="24"/>
        </w:rPr>
        <w:t>30</w:t>
      </w:r>
      <w:r>
        <w:rPr>
          <w:rFonts w:ascii="Times New Roman" w:eastAsia="宋体" w:hAnsi="Times New Roman" w:cs="Times New Roman"/>
          <w:sz w:val="24"/>
          <w:szCs w:val="24"/>
        </w:rPr>
        <w:t>亿桶，其中约</w:t>
      </w:r>
      <w:r>
        <w:rPr>
          <w:rFonts w:ascii="Times New Roman" w:eastAsia="宋体" w:hAnsi="Times New Roman" w:cs="Times New Roman"/>
          <w:sz w:val="24"/>
          <w:szCs w:val="24"/>
        </w:rPr>
        <w:t>60%</w:t>
      </w:r>
      <w:r>
        <w:rPr>
          <w:rFonts w:ascii="Times New Roman" w:eastAsia="宋体" w:hAnsi="Times New Roman" w:cs="Times New Roman"/>
          <w:sz w:val="24"/>
          <w:szCs w:val="24"/>
        </w:rPr>
        <w:t>是储存在地下的天然气田，另外</w:t>
      </w:r>
      <w:r>
        <w:rPr>
          <w:rFonts w:ascii="Times New Roman" w:eastAsia="宋体" w:hAnsi="Times New Roman" w:cs="Times New Roman"/>
          <w:sz w:val="24"/>
          <w:szCs w:val="24"/>
        </w:rPr>
        <w:t>40%</w:t>
      </w:r>
      <w:r>
        <w:rPr>
          <w:rFonts w:ascii="Times New Roman" w:eastAsia="宋体" w:hAnsi="Times New Roman" w:cs="Times New Roman"/>
          <w:sz w:val="24"/>
          <w:szCs w:val="24"/>
        </w:rPr>
        <w:t>是原油和凝析油。另外有很少一部分原油和凝析油是由商业管道输送到地下储罐的。根据美国能源部的数据，截止到</w:t>
      </w:r>
      <w:r>
        <w:rPr>
          <w:rFonts w:ascii="Times New Roman" w:eastAsia="宋体" w:hAnsi="Times New Roman" w:cs="Times New Roman"/>
          <w:sz w:val="24"/>
          <w:szCs w:val="24"/>
        </w:rPr>
        <w:t>2010</w:t>
      </w:r>
      <w:r>
        <w:rPr>
          <w:rFonts w:ascii="Times New Roman" w:eastAsia="宋体" w:hAnsi="Times New Roman" w:cs="Times New Roman"/>
          <w:sz w:val="24"/>
          <w:szCs w:val="24"/>
        </w:rPr>
        <w:t>年底，美国的石油战略储备为</w:t>
      </w:r>
      <w:r>
        <w:rPr>
          <w:rFonts w:ascii="Times New Roman" w:eastAsia="宋体" w:hAnsi="Times New Roman" w:cs="Times New Roman"/>
          <w:sz w:val="24"/>
          <w:szCs w:val="24"/>
        </w:rPr>
        <w:t>1210</w:t>
      </w:r>
      <w:r>
        <w:rPr>
          <w:rFonts w:ascii="Times New Roman" w:eastAsia="宋体" w:hAnsi="Times New Roman" w:cs="Times New Roman"/>
          <w:sz w:val="24"/>
          <w:szCs w:val="24"/>
        </w:rPr>
        <w:t>万桶。美国石油战略储备的来源主要有三种：一是由商业管道输送来的原油，约占美国石油战略储备总量的</w:t>
      </w:r>
      <w:r>
        <w:rPr>
          <w:rFonts w:ascii="Times New Roman" w:eastAsia="宋体" w:hAnsi="Times New Roman" w:cs="Times New Roman"/>
          <w:sz w:val="24"/>
          <w:szCs w:val="24"/>
        </w:rPr>
        <w:t>85%</w:t>
      </w:r>
      <w:r>
        <w:rPr>
          <w:rFonts w:ascii="Times New Roman" w:eastAsia="宋体" w:hAnsi="Times New Roman" w:cs="Times New Roman"/>
          <w:sz w:val="24"/>
          <w:szCs w:val="24"/>
        </w:rPr>
        <w:t>；二是由储存在地下的天然气田产出的凝析油；三是由页岩油开采后产生的页岩油。目前，美国石油储备中原油占比最高，达</w:t>
      </w:r>
      <w:r>
        <w:rPr>
          <w:rFonts w:ascii="Times New Roman" w:eastAsia="宋体" w:hAnsi="Times New Roman" w:cs="Times New Roman"/>
          <w:sz w:val="24"/>
          <w:szCs w:val="24"/>
        </w:rPr>
        <w:t>70%</w:t>
      </w:r>
      <w:r>
        <w:rPr>
          <w:rFonts w:ascii="Times New Roman" w:eastAsia="宋体" w:hAnsi="Times New Roman" w:cs="Times New Roman"/>
          <w:sz w:val="24"/>
          <w:szCs w:val="24"/>
        </w:rPr>
        <w:t>左右。</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2</w:t>
      </w:r>
      <w:r>
        <w:rPr>
          <w:rFonts w:ascii="Times New Roman" w:eastAsia="宋体" w:hAnsi="Times New Roman" w:cs="Times New Roman"/>
          <w:sz w:val="24"/>
          <w:szCs w:val="24"/>
        </w:rPr>
        <w:t>月根据</w:t>
      </w:r>
      <w:r>
        <w:rPr>
          <w:rFonts w:ascii="Times New Roman" w:eastAsia="宋体" w:hAnsi="Times New Roman" w:cs="Times New Roman"/>
          <w:sz w:val="24"/>
          <w:szCs w:val="24"/>
        </w:rPr>
        <w:t>EIA</w:t>
      </w:r>
      <w:r>
        <w:rPr>
          <w:rFonts w:ascii="Times New Roman" w:eastAsia="宋体" w:hAnsi="Times New Roman" w:cs="Times New Roman"/>
          <w:sz w:val="24"/>
          <w:szCs w:val="24"/>
        </w:rPr>
        <w:t>（美国能源信息署）给出报表美国原油库存意外激增</w:t>
      </w:r>
      <w:r>
        <w:rPr>
          <w:rFonts w:ascii="Times New Roman" w:eastAsia="宋体" w:hAnsi="Times New Roman" w:cs="Times New Roman"/>
          <w:sz w:val="24"/>
          <w:szCs w:val="24"/>
        </w:rPr>
        <w:t>1628.5</w:t>
      </w:r>
      <w:r>
        <w:rPr>
          <w:rFonts w:ascii="Times New Roman" w:eastAsia="宋体" w:hAnsi="Times New Roman" w:cs="Times New Roman"/>
          <w:sz w:val="24"/>
          <w:szCs w:val="24"/>
        </w:rPr>
        <w:t>万桶，又突破新高。</w:t>
      </w:r>
    </w:p>
    <w:p w:rsidR="00D359BE" w:rsidP="00530198" w14:paraId="013F9BED" w14:textId="77777777">
      <w:pPr>
        <w:adjustRightInd w:val="0"/>
        <w:snapToGrid w:val="0"/>
        <w:spacing w:line="30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俄罗斯是世界第二大产油国，也是世界上最大的石油消费国。由于俄罗斯石油资源丰富，近年来国际市场上对俄罗斯石油的需求量不断增加。俄罗斯已建立起完善的石油储备体系，目前约有</w:t>
      </w:r>
      <w:r>
        <w:rPr>
          <w:rFonts w:ascii="Times New Roman" w:eastAsia="宋体" w:hAnsi="Times New Roman" w:cs="Times New Roman"/>
          <w:sz w:val="24"/>
          <w:szCs w:val="24"/>
        </w:rPr>
        <w:t>10</w:t>
      </w:r>
      <w:r>
        <w:rPr>
          <w:rFonts w:ascii="Times New Roman" w:eastAsia="宋体" w:hAnsi="Times New Roman" w:cs="Times New Roman"/>
          <w:sz w:val="24"/>
          <w:szCs w:val="24"/>
        </w:rPr>
        <w:t>家中央石油公司和</w:t>
      </w:r>
      <w:r>
        <w:rPr>
          <w:rFonts w:ascii="Times New Roman" w:eastAsia="宋体" w:hAnsi="Times New Roman" w:cs="Times New Roman"/>
          <w:sz w:val="24"/>
          <w:szCs w:val="24"/>
        </w:rPr>
        <w:t>7</w:t>
      </w:r>
      <w:r>
        <w:rPr>
          <w:rFonts w:ascii="Times New Roman" w:eastAsia="宋体" w:hAnsi="Times New Roman" w:cs="Times New Roman"/>
          <w:sz w:val="24"/>
          <w:szCs w:val="24"/>
        </w:rPr>
        <w:t>个州负责各自储备区的管理工作。其中中央石油公司负责中央地区（莫斯科、列宁格勒、沃罗涅日、顿河畔罗斯托夫）和远东地区（萨哈林、阿穆尔）的储备管理；</w:t>
      </w:r>
      <w:r>
        <w:rPr>
          <w:rFonts w:ascii="Times New Roman" w:eastAsia="宋体" w:hAnsi="Times New Roman" w:cs="Times New Roman"/>
          <w:sz w:val="24"/>
          <w:szCs w:val="24"/>
        </w:rPr>
        <w:t>7</w:t>
      </w:r>
      <w:r>
        <w:rPr>
          <w:rFonts w:ascii="Times New Roman" w:eastAsia="宋体" w:hAnsi="Times New Roman" w:cs="Times New Roman"/>
          <w:sz w:val="24"/>
          <w:szCs w:val="24"/>
        </w:rPr>
        <w:t>个</w:t>
      </w:r>
      <w:r>
        <w:rPr>
          <w:rFonts w:ascii="Times New Roman" w:eastAsia="宋体" w:hAnsi="Times New Roman" w:cs="Times New Roman"/>
          <w:sz w:val="24"/>
          <w:szCs w:val="24"/>
        </w:rPr>
        <w:t>州分别</w:t>
      </w:r>
      <w:r>
        <w:rPr>
          <w:rFonts w:ascii="Times New Roman" w:eastAsia="宋体" w:hAnsi="Times New Roman" w:cs="Times New Roman"/>
          <w:sz w:val="24"/>
          <w:szCs w:val="24"/>
        </w:rPr>
        <w:t>负责各自管辖范围内的储备管理。</w:t>
      </w:r>
    </w:p>
    <w:p w:rsidR="00D359BE" w:rsidP="00530198" w14:paraId="004D7B7D" w14:textId="77777777">
      <w:pPr>
        <w:adjustRightInd w:val="0"/>
        <w:snapToGrid w:val="0"/>
        <w:spacing w:line="30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根据俄罗斯联邦能源安全与基础设施发展部的统计，截止到</w:t>
      </w:r>
      <w:r>
        <w:rPr>
          <w:rFonts w:ascii="Times New Roman" w:eastAsia="宋体" w:hAnsi="Times New Roman" w:cs="Times New Roman"/>
          <w:sz w:val="24"/>
          <w:szCs w:val="24"/>
        </w:rPr>
        <w:t>2010</w:t>
      </w:r>
      <w:r>
        <w:rPr>
          <w:rFonts w:ascii="Times New Roman" w:eastAsia="宋体" w:hAnsi="Times New Roman" w:cs="Times New Roman"/>
          <w:sz w:val="24"/>
          <w:szCs w:val="24"/>
        </w:rPr>
        <w:t>年，俄罗斯共有约</w:t>
      </w:r>
      <w:r>
        <w:rPr>
          <w:rFonts w:ascii="Times New Roman" w:eastAsia="宋体" w:hAnsi="Times New Roman" w:cs="Times New Roman"/>
          <w:sz w:val="24"/>
          <w:szCs w:val="24"/>
        </w:rPr>
        <w:t>355</w:t>
      </w:r>
      <w:r>
        <w:rPr>
          <w:rFonts w:ascii="Times New Roman" w:eastAsia="宋体" w:hAnsi="Times New Roman" w:cs="Times New Roman"/>
          <w:sz w:val="24"/>
          <w:szCs w:val="24"/>
        </w:rPr>
        <w:t>万个储罐，总容量为</w:t>
      </w:r>
      <w:r>
        <w:rPr>
          <w:rFonts w:ascii="Times New Roman" w:eastAsia="宋体" w:hAnsi="Times New Roman" w:cs="Times New Roman"/>
          <w:sz w:val="24"/>
          <w:szCs w:val="24"/>
        </w:rPr>
        <w:t>1330</w:t>
      </w:r>
      <w:r>
        <w:rPr>
          <w:rFonts w:ascii="Times New Roman" w:eastAsia="宋体" w:hAnsi="Times New Roman" w:cs="Times New Roman"/>
          <w:sz w:val="24"/>
          <w:szCs w:val="24"/>
        </w:rPr>
        <w:t>亿立方米（包括液化天然气的储罐容量）。俄罗斯石油储备的主要来源是由商业管道输送的原油、凝析油和石脑油等。为了满足国际市场上对石油的需求，俄罗斯政府有计划地增加石油储备。目前，俄罗斯政府正在积极筹备建立第二个大型石油储备基地，该基地位于莫斯科郊外的塔什干，基地内有</w:t>
      </w:r>
      <w:r>
        <w:rPr>
          <w:rFonts w:ascii="Times New Roman" w:eastAsia="宋体" w:hAnsi="Times New Roman" w:cs="Times New Roman"/>
          <w:sz w:val="24"/>
          <w:szCs w:val="24"/>
        </w:rPr>
        <w:t>9</w:t>
      </w:r>
      <w:r>
        <w:rPr>
          <w:rFonts w:ascii="Times New Roman" w:eastAsia="宋体" w:hAnsi="Times New Roman" w:cs="Times New Roman"/>
          <w:sz w:val="24"/>
          <w:szCs w:val="24"/>
        </w:rPr>
        <w:t>个原油和凝析油储罐区。</w:t>
      </w:r>
    </w:p>
    <w:p w:rsidR="00D359BE" w:rsidRPr="001C2293" w:rsidP="001C2293" w14:paraId="37871A37" w14:textId="4CB1388E">
      <w:pPr>
        <w:pStyle w:val="Heading2"/>
        <w:adjustRightInd w:val="0"/>
        <w:snapToGrid w:val="0"/>
        <w:spacing w:before="120" w:beforeLines="50" w:after="0" w:line="360" w:lineRule="auto"/>
        <w:rPr>
          <w:rFonts w:ascii="Times New Roman" w:hAnsi="Times New Roman" w:cs="Times New Roman"/>
          <w:b w:val="0"/>
        </w:rPr>
      </w:pPr>
      <w:bookmarkStart w:id="8" w:name="_Toc135660712"/>
      <w:r w:rsidRPr="001C2293">
        <w:rPr>
          <w:rFonts w:ascii="Times New Roman" w:hAnsi="Times New Roman" w:cs="Times New Roman"/>
          <w:b w:val="0"/>
        </w:rPr>
        <w:t>1.4</w:t>
      </w:r>
      <w:r w:rsidRPr="001C2293" w:rsidR="007C777D">
        <w:rPr>
          <w:rFonts w:ascii="Times New Roman" w:hAnsi="Times New Roman" w:cs="Times New Roman" w:hint="eastAsia"/>
          <w:b w:val="0"/>
        </w:rPr>
        <w:t xml:space="preserve"> </w:t>
      </w:r>
      <w:r w:rsidRPr="001C2293">
        <w:rPr>
          <w:rFonts w:ascii="Times New Roman" w:hAnsi="Times New Roman" w:cs="Times New Roman" w:hint="eastAsia"/>
          <w:b w:val="0"/>
        </w:rPr>
        <w:t>设计依据</w:t>
      </w:r>
      <w:bookmarkEnd w:id="8"/>
    </w:p>
    <w:p w:rsidR="00D359BE" w:rsidP="00530198" w14:paraId="550590F9" w14:textId="750AA70D">
      <w:pPr>
        <w:adjustRightInd w:val="0"/>
        <w:snapToGrid w:val="0"/>
        <w:spacing w:line="300" w:lineRule="auto"/>
        <w:ind w:firstLine="480" w:firstLineChars="200"/>
        <w:rPr>
          <w:rFonts w:ascii="Times New Roman" w:eastAsia="宋体" w:hAnsi="Times New Roman" w:cs="Times New Roman"/>
          <w:sz w:val="24"/>
          <w:szCs w:val="24"/>
        </w:rPr>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1985" w:right="1418" w:bottom="1418" w:left="1418" w:header="1417" w:footer="1134" w:gutter="0"/>
          <w:pgNumType w:start="3"/>
          <w:cols w:space="425"/>
          <w:titlePg w:val="0"/>
          <w:docGrid w:linePitch="312"/>
        </w:sectPr>
      </w:pPr>
      <w:r>
        <w:rPr>
          <w:rFonts w:ascii="Times New Roman" w:eastAsia="宋体" w:hAnsi="Times New Roman" w:cs="Times New Roman"/>
          <w:sz w:val="24"/>
          <w:szCs w:val="24"/>
        </w:rPr>
        <w:t>本设计中的计算及设备的选取</w:t>
      </w:r>
      <w:r>
        <w:rPr>
          <w:rFonts w:ascii="Times New Roman" w:eastAsia="宋体" w:hAnsi="Times New Roman" w:cs="Times New Roman"/>
          <w:sz w:val="24"/>
          <w:szCs w:val="24"/>
        </w:rPr>
        <w:t>主要依取</w:t>
      </w:r>
      <w:r>
        <w:rPr>
          <w:rFonts w:ascii="Times New Roman" w:eastAsia="宋体" w:hAnsi="Times New Roman" w:cs="Times New Roman"/>
          <w:sz w:val="24"/>
          <w:szCs w:val="24"/>
        </w:rPr>
        <w:t>SY/T 6529-2010,</w:t>
      </w:r>
      <w:r>
        <w:rPr>
          <w:rFonts w:ascii="Times New Roman" w:eastAsia="宋体" w:hAnsi="Times New Roman" w:cs="Times New Roman"/>
          <w:sz w:val="24"/>
          <w:szCs w:val="24"/>
        </w:rPr>
        <w:t>《原油库固定式消防系统运行规范》；</w:t>
      </w:r>
      <w:r>
        <w:rPr>
          <w:rFonts w:ascii="Times New Roman" w:eastAsia="宋体" w:hAnsi="Times New Roman" w:cs="Times New Roman"/>
          <w:sz w:val="24"/>
          <w:szCs w:val="24"/>
        </w:rPr>
        <w:t>GB50160-2008</w:t>
      </w:r>
      <w:r>
        <w:rPr>
          <w:rFonts w:ascii="Times New Roman" w:eastAsia="宋体" w:hAnsi="Times New Roman" w:cs="Times New Roman"/>
          <w:sz w:val="24"/>
          <w:szCs w:val="24"/>
        </w:rPr>
        <w:t>《石油化工企业设计防火火规范》；</w:t>
      </w:r>
      <w:r>
        <w:rPr>
          <w:rFonts w:ascii="Times New Roman" w:eastAsia="宋体" w:hAnsi="Times New Roman" w:cs="Times New Roman"/>
          <w:sz w:val="24"/>
          <w:szCs w:val="24"/>
        </w:rPr>
        <w:t>GB 50074-2014</w:t>
      </w:r>
      <w:r>
        <w:rPr>
          <w:rFonts w:ascii="Times New Roman" w:eastAsia="宋体" w:hAnsi="Times New Roman" w:cs="Times New Roman"/>
          <w:sz w:val="24"/>
          <w:szCs w:val="24"/>
        </w:rPr>
        <w:t>《石油库设计规范》；</w:t>
      </w:r>
      <w:r>
        <w:rPr>
          <w:rFonts w:ascii="Times New Roman" w:eastAsia="宋体" w:hAnsi="Times New Roman" w:cs="Times New Roman"/>
          <w:sz w:val="24"/>
          <w:szCs w:val="24"/>
        </w:rPr>
        <w:t>GB50253—2014</w:t>
      </w:r>
      <w:r>
        <w:rPr>
          <w:rFonts w:ascii="Times New Roman" w:eastAsia="宋体" w:hAnsi="Times New Roman" w:cs="Times New Roman"/>
          <w:sz w:val="24"/>
          <w:szCs w:val="24"/>
        </w:rPr>
        <w:t>《成品油管道工程设计规范》；</w:t>
      </w:r>
      <w:r>
        <w:rPr>
          <w:rFonts w:ascii="Times New Roman" w:eastAsia="宋体" w:hAnsi="Times New Roman" w:cs="Times New Roman"/>
          <w:sz w:val="24"/>
          <w:szCs w:val="24"/>
        </w:rPr>
        <w:t>SH3125-2017</w:t>
      </w:r>
      <w:r>
        <w:rPr>
          <w:rFonts w:ascii="Times New Roman" w:eastAsia="宋体" w:hAnsi="Times New Roman" w:cs="Times New Roman"/>
          <w:sz w:val="24"/>
          <w:szCs w:val="24"/>
        </w:rPr>
        <w:t>《石油化工防火堤设计规范》；</w:t>
      </w:r>
      <w:r>
        <w:rPr>
          <w:rFonts w:ascii="Times New Roman" w:eastAsia="宋体" w:hAnsi="Times New Roman" w:cs="Times New Roman"/>
          <w:kern w:val="0"/>
          <w:sz w:val="24"/>
          <w:szCs w:val="24"/>
        </w:rPr>
        <w:t>《石</w:t>
      </w:r>
      <w:r>
        <w:rPr>
          <w:rFonts w:ascii="Times New Roman" w:eastAsia="宋体" w:hAnsi="Times New Roman" w:cs="Times New Roman"/>
          <w:sz w:val="24"/>
          <w:szCs w:val="24"/>
        </w:rPr>
        <w:t>油库设计规范</w:t>
      </w:r>
      <w:r>
        <w:rPr>
          <w:rFonts w:ascii="Times New Roman" w:eastAsia="宋体" w:hAnsi="Times New Roman" w:cs="Times New Roman"/>
          <w:kern w:val="0"/>
          <w:sz w:val="24"/>
          <w:szCs w:val="24"/>
        </w:rPr>
        <w:t>宣贯辅导教材》</w:t>
      </w:r>
      <w:r>
        <w:rPr>
          <w:rFonts w:ascii="Times New Roman" w:eastAsia="宋体" w:hAnsi="Times New Roman" w:cs="Times New Roman"/>
          <w:kern w:val="0"/>
          <w:sz w:val="24"/>
          <w:szCs w:val="24"/>
        </w:rPr>
        <w:t>TE922—65</w:t>
      </w:r>
      <w:r>
        <w:rPr>
          <w:rFonts w:ascii="Times New Roman" w:eastAsia="宋体" w:hAnsi="Times New Roman" w:cs="Times New Roman"/>
          <w:kern w:val="0"/>
          <w:sz w:val="24"/>
          <w:szCs w:val="24"/>
        </w:rPr>
        <w:t>；</w:t>
      </w:r>
      <w:r>
        <w:rPr>
          <w:rFonts w:ascii="Times New Roman" w:eastAsia="宋体" w:hAnsi="Times New Roman" w:cs="Times New Roman"/>
          <w:bCs/>
          <w:kern w:val="0"/>
          <w:sz w:val="24"/>
          <w:szCs w:val="24"/>
        </w:rPr>
        <w:t>《</w:t>
      </w:r>
      <w:r>
        <w:rPr>
          <w:rFonts w:ascii="Times New Roman" w:eastAsia="宋体" w:hAnsi="Times New Roman" w:cs="Times New Roman"/>
          <w:sz w:val="24"/>
          <w:szCs w:val="24"/>
        </w:rPr>
        <w:t>泵和压缩机》；</w:t>
      </w:r>
      <w:r>
        <w:rPr>
          <w:rFonts w:ascii="Times New Roman" w:eastAsia="宋体" w:hAnsi="Times New Roman" w:cs="Times New Roman"/>
          <w:kern w:val="0"/>
          <w:sz w:val="24"/>
          <w:szCs w:val="24"/>
        </w:rPr>
        <w:t>GB 50737-2011</w:t>
      </w:r>
      <w:r>
        <w:rPr>
          <w:rFonts w:ascii="Times New Roman" w:eastAsia="宋体" w:hAnsi="Times New Roman" w:cs="Times New Roman"/>
          <w:kern w:val="0"/>
          <w:sz w:val="24"/>
          <w:szCs w:val="24"/>
        </w:rPr>
        <w:t>《石油储备库设计规范》。</w:t>
      </w:r>
    </w:p>
    <w:p w:rsidR="00D359BE" w:rsidRPr="001C2293" w:rsidP="001C2293" w14:paraId="51977E7E" w14:textId="45D38FD4">
      <w:pPr>
        <w:pStyle w:val="Heading2"/>
        <w:adjustRightInd w:val="0"/>
        <w:snapToGrid w:val="0"/>
        <w:spacing w:before="120" w:beforeLines="50" w:after="0" w:line="360" w:lineRule="auto"/>
        <w:rPr>
          <w:rFonts w:ascii="Times New Roman" w:hAnsi="Times New Roman" w:cs="Times New Roman"/>
          <w:b w:val="0"/>
        </w:rPr>
      </w:pPr>
      <w:bookmarkStart w:id="9" w:name="_Toc133274415"/>
      <w:bookmarkStart w:id="10" w:name="_Toc262902795"/>
      <w:bookmarkStart w:id="11" w:name="_Toc294692582"/>
      <w:bookmarkStart w:id="12" w:name="_Toc517533807"/>
      <w:bookmarkStart w:id="13" w:name="_Toc135660713"/>
      <w:r w:rsidRPr="001C2293">
        <w:rPr>
          <w:rFonts w:ascii="Times New Roman" w:hAnsi="Times New Roman" w:cs="Times New Roman"/>
          <w:b w:val="0"/>
        </w:rPr>
        <w:t>1.5</w:t>
      </w:r>
      <w:r w:rsidRPr="001C2293" w:rsidR="007C777D">
        <w:rPr>
          <w:rFonts w:ascii="Times New Roman" w:hAnsi="Times New Roman" w:cs="Times New Roman" w:hint="eastAsia"/>
          <w:b w:val="0"/>
        </w:rPr>
        <w:t xml:space="preserve"> </w:t>
      </w:r>
      <w:r w:rsidRPr="001C2293">
        <w:rPr>
          <w:rFonts w:ascii="Times New Roman" w:hAnsi="Times New Roman" w:cs="Times New Roman"/>
          <w:b w:val="0"/>
        </w:rPr>
        <w:t>主要设计资料</w:t>
      </w:r>
      <w:bookmarkEnd w:id="9"/>
      <w:bookmarkEnd w:id="10"/>
      <w:bookmarkEnd w:id="11"/>
      <w:bookmarkEnd w:id="12"/>
      <w:bookmarkEnd w:id="13"/>
    </w:p>
    <w:p w:rsidR="00530198" w:rsidRPr="00CA7143" w:rsidP="00CA7143" w14:paraId="44C1ACEF" w14:textId="26625F1D">
      <w:pPr>
        <w:spacing w:line="400" w:lineRule="atLeast"/>
        <w:jc w:val="left"/>
        <w:rPr>
          <w:rFonts w:ascii="Times New Roman" w:eastAsia="宋体" w:hAnsi="Times New Roman" w:cs="Times New Roman"/>
          <w:sz w:val="24"/>
          <w:szCs w:val="24"/>
        </w:rPr>
      </w:pPr>
      <w:r>
        <w:rPr>
          <w:rFonts w:ascii="宋体" w:eastAsia="宋体" w:hAnsi="宋体" w:cs="Times New Roman" w:hint="eastAsia"/>
          <w:sz w:val="24"/>
          <w:szCs w:val="24"/>
        </w:rPr>
        <w:t>⑴</w:t>
      </w:r>
      <w:r>
        <w:rPr>
          <w:rFonts w:ascii="Times New Roman" w:eastAsia="宋体" w:hAnsi="宋体" w:cs="Times New Roman" w:hint="eastAsia"/>
          <w:sz w:val="24"/>
          <w:szCs w:val="24"/>
        </w:rPr>
        <w:t xml:space="preserve"> </w:t>
      </w:r>
      <w:r w:rsidRPr="00CA7143" w:rsidR="00C30E28">
        <w:rPr>
          <w:rFonts w:ascii="Times New Roman" w:eastAsia="宋体" w:hAnsi="宋体" w:cs="Times New Roman" w:hint="eastAsia"/>
          <w:sz w:val="24"/>
          <w:szCs w:val="24"/>
        </w:rPr>
        <w:t>本设计具体资料</w:t>
      </w:r>
      <w:r w:rsidRPr="00CA7143" w:rsidR="00C30E28">
        <w:rPr>
          <w:rFonts w:ascii="Times New Roman" w:eastAsia="宋体" w:hAnsi="宋体" w:cs="Times New Roman" w:hint="eastAsia"/>
          <w:sz w:val="24"/>
          <w:szCs w:val="24"/>
        </w:rPr>
        <w:t>祥见任务</w:t>
      </w:r>
      <w:r w:rsidRPr="00CA7143" w:rsidR="00C30E28">
        <w:rPr>
          <w:rFonts w:ascii="Times New Roman" w:eastAsia="宋体" w:hAnsi="宋体" w:cs="Times New Roman" w:hint="eastAsia"/>
          <w:sz w:val="24"/>
          <w:szCs w:val="24"/>
        </w:rPr>
        <w:t>书。</w:t>
      </w:r>
    </w:p>
    <w:p w:rsidR="00D359BE" w:rsidRPr="000F3F1A" w:rsidP="000F3F1A" w14:paraId="5B038A70" w14:textId="1E602101">
      <w:pPr>
        <w:spacing w:line="400" w:lineRule="atLeast"/>
        <w:jc w:val="left"/>
        <w:rPr>
          <w:rFonts w:ascii="Times New Roman" w:eastAsia="宋体" w:hAnsi="Times New Roman" w:cs="Times New Roman"/>
          <w:sz w:val="24"/>
          <w:szCs w:val="24"/>
        </w:rPr>
      </w:pPr>
      <w:r>
        <w:rPr>
          <w:rFonts w:ascii="宋体" w:eastAsia="宋体" w:hAnsi="宋体" w:cs="Times New Roman" w:hint="eastAsia"/>
          <w:sz w:val="24"/>
          <w:szCs w:val="24"/>
        </w:rPr>
        <w:t>⑵</w:t>
      </w:r>
      <w:r>
        <w:rPr>
          <w:rFonts w:ascii="Times New Roman" w:eastAsia="宋体" w:hAnsi="宋体" w:cs="Times New Roman" w:hint="eastAsia"/>
          <w:sz w:val="24"/>
          <w:szCs w:val="24"/>
        </w:rPr>
        <w:t xml:space="preserve"> </w:t>
      </w:r>
      <w:r w:rsidRPr="000F3F1A" w:rsidR="00C30E28">
        <w:rPr>
          <w:rFonts w:ascii="Times New Roman" w:eastAsia="宋体" w:hAnsi="宋体" w:cs="Times New Roman" w:hint="eastAsia"/>
          <w:sz w:val="24"/>
          <w:szCs w:val="24"/>
        </w:rPr>
        <w:t>本库经营油品的种类及主要参数见表</w:t>
      </w:r>
      <w:r w:rsidRPr="000F3F1A" w:rsidR="00C30E28">
        <w:rPr>
          <w:rFonts w:ascii="Times New Roman" w:eastAsia="宋体" w:hAnsi="Times New Roman" w:cs="Times New Roman"/>
          <w:sz w:val="24"/>
          <w:szCs w:val="24"/>
        </w:rPr>
        <w:t>1.1</w:t>
      </w:r>
      <w:r w:rsidRPr="000F3F1A" w:rsidR="00C30E28">
        <w:rPr>
          <w:rFonts w:ascii="Times New Roman" w:eastAsia="宋体" w:hAnsi="宋体" w:cs="Times New Roman" w:hint="eastAsia"/>
          <w:sz w:val="24"/>
          <w:szCs w:val="24"/>
        </w:rPr>
        <w:t>。</w:t>
      </w:r>
      <w:r w:rsidRPr="000F3F1A" w:rsidR="00C30E28">
        <w:rPr>
          <w:rFonts w:ascii="Times New Roman" w:eastAsia="宋体" w:hAnsi="Times New Roman" w:cs="Times New Roman"/>
          <w:color w:val="FFFFFF"/>
          <w:sz w:val="0"/>
          <w:szCs w:val="24"/>
        </w:rPr>
        <w:t>油库设</w:t>
      </w:r>
    </w:p>
    <w:p w:rsidR="00D15E05" w:rsidP="008F654D" w14:paraId="6665EBAC" w14:textId="77777777">
      <w:pPr>
        <w:spacing w:line="400" w:lineRule="atLeast"/>
        <w:rPr>
          <w:rFonts w:ascii="宋体" w:eastAsia="宋体" w:hAnsi="宋体" w:cs="Times New Roman"/>
          <w:bCs/>
          <w:szCs w:val="21"/>
        </w:rPr>
      </w:pPr>
    </w:p>
    <w:p w:rsidR="00D359BE" w:rsidRPr="000F3F1A" w14:paraId="666EA01F" w14:textId="77777777">
      <w:pPr>
        <w:spacing w:line="400" w:lineRule="atLeast"/>
        <w:ind w:firstLine="3150" w:firstLineChars="1500"/>
        <w:rPr>
          <w:rFonts w:ascii="Times New Roman" w:eastAsia="宋体" w:hAnsi="Times New Roman" w:cs="Times New Roman"/>
          <w:bCs/>
          <w:szCs w:val="21"/>
        </w:rPr>
      </w:pPr>
      <w:r w:rsidRPr="000F3F1A">
        <w:rPr>
          <w:rFonts w:ascii="Times New Roman" w:eastAsia="宋体" w:hAnsi="Times New Roman" w:cs="Times New Roman"/>
          <w:bCs/>
          <w:szCs w:val="21"/>
        </w:rPr>
        <w:t>表</w:t>
      </w:r>
      <w:r w:rsidRPr="000F3F1A">
        <w:rPr>
          <w:rFonts w:ascii="Times New Roman" w:eastAsia="宋体" w:hAnsi="Times New Roman" w:cs="Times New Roman"/>
          <w:bCs/>
          <w:szCs w:val="21"/>
        </w:rPr>
        <w:t xml:space="preserve">1.1 </w:t>
      </w:r>
      <w:r w:rsidRPr="000F3F1A">
        <w:rPr>
          <w:rFonts w:ascii="Times New Roman" w:eastAsia="宋体" w:hAnsi="Times New Roman" w:cs="Times New Roman"/>
          <w:bCs/>
          <w:szCs w:val="21"/>
        </w:rPr>
        <w:t>油品的种类及主要参数</w:t>
      </w:r>
      <w:r w:rsidRPr="000F3F1A">
        <w:rPr>
          <w:rFonts w:ascii="Times New Roman" w:eastAsia="宋体" w:hAnsi="Times New Roman" w:cs="Times New Roman"/>
          <w:bCs/>
          <w:color w:val="FFFFFF"/>
          <w:szCs w:val="21"/>
        </w:rPr>
        <w:t>油库</w:t>
      </w:r>
    </w:p>
    <w:tbl>
      <w:tblPr>
        <w:tblStyle w:val="100"/>
        <w:tblW w:w="0" w:type="auto"/>
        <w:jc w:val="center"/>
        <w:tblBorders>
          <w:top w:val="single" w:sz="4" w:space="0" w:color="auto"/>
          <w:bottom w:val="single" w:sz="4" w:space="0" w:color="auto"/>
          <w:insideH w:val="none" w:sz="0" w:space="0" w:color="auto"/>
          <w:insideV w:val="none" w:sz="0" w:space="0" w:color="auto"/>
        </w:tblBorders>
        <w:tblLayout w:type="fixed"/>
        <w:tblLook w:val="04A0"/>
      </w:tblPr>
      <w:tblGrid>
        <w:gridCol w:w="2047"/>
        <w:gridCol w:w="2047"/>
        <w:gridCol w:w="2047"/>
        <w:gridCol w:w="2047"/>
      </w:tblGrid>
      <w:tr w14:paraId="2136105B" w14:textId="77777777" w:rsidTr="000F3F1A">
        <w:tblPrEx>
          <w:tblW w:w="0" w:type="auto"/>
          <w:jc w:val="center"/>
          <w:tblBorders>
            <w:top w:val="single" w:sz="4" w:space="0" w:color="auto"/>
            <w:bottom w:val="single" w:sz="4" w:space="0" w:color="auto"/>
            <w:insideH w:val="none" w:sz="0" w:space="0" w:color="auto"/>
            <w:insideV w:val="none" w:sz="0" w:space="0" w:color="auto"/>
          </w:tblBorders>
          <w:tblLayout w:type="fixed"/>
          <w:tblLook w:val="04A0"/>
        </w:tblPrEx>
        <w:trPr>
          <w:jc w:val="center"/>
        </w:trPr>
        <w:tc>
          <w:tcPr>
            <w:tcW w:w="2047" w:type="dxa"/>
            <w:tcBorders>
              <w:top w:val="single" w:sz="4" w:space="0" w:color="auto"/>
              <w:bottom w:val="single" w:sz="4" w:space="0" w:color="auto"/>
            </w:tcBorders>
          </w:tcPr>
          <w:p w:rsidR="00D359BE" w:rsidRPr="000F3F1A" w:rsidP="000F3F1A" w14:paraId="3D01C251"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油品名称</w:t>
            </w:r>
          </w:p>
        </w:tc>
        <w:tc>
          <w:tcPr>
            <w:tcW w:w="2047" w:type="dxa"/>
            <w:tcBorders>
              <w:top w:val="single" w:sz="4" w:space="0" w:color="auto"/>
              <w:bottom w:val="single" w:sz="4" w:space="0" w:color="auto"/>
            </w:tcBorders>
          </w:tcPr>
          <w:p w:rsidR="00D359BE" w:rsidRPr="000F3F1A" w:rsidP="000F3F1A" w14:paraId="07887D56"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计算温度</w:t>
            </w:r>
          </w:p>
        </w:tc>
        <w:tc>
          <w:tcPr>
            <w:tcW w:w="2047" w:type="dxa"/>
            <w:tcBorders>
              <w:top w:val="single" w:sz="4" w:space="0" w:color="auto"/>
              <w:bottom w:val="single" w:sz="4" w:space="0" w:color="auto"/>
            </w:tcBorders>
          </w:tcPr>
          <w:p w:rsidR="00D359BE" w:rsidRPr="000F3F1A" w:rsidP="000F3F1A" w14:paraId="1A3D12E7"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粘度</w:t>
            </w:r>
          </w:p>
        </w:tc>
        <w:tc>
          <w:tcPr>
            <w:tcW w:w="2047" w:type="dxa"/>
            <w:tcBorders>
              <w:top w:val="single" w:sz="4" w:space="0" w:color="auto"/>
              <w:bottom w:val="single" w:sz="4" w:space="0" w:color="auto"/>
            </w:tcBorders>
          </w:tcPr>
          <w:p w:rsidR="00D359BE" w:rsidRPr="000F3F1A" w:rsidP="000F3F1A" w14:paraId="340AE669" w14:textId="77777777">
            <w:pPr>
              <w:adjustRightInd w:val="0"/>
              <w:snapToGrid w:val="0"/>
              <w:spacing w:line="300" w:lineRule="auto"/>
              <w:ind w:firstLine="525"/>
              <w:jc w:val="center"/>
              <w:rPr>
                <w:rFonts w:ascii="Times New Roman" w:hAnsi="Times New Roman" w:cs="Times New Roman"/>
                <w:szCs w:val="21"/>
              </w:rPr>
            </w:pPr>
            <w:r w:rsidRPr="000F3F1A">
              <w:rPr>
                <w:rFonts w:ascii="Times New Roman" w:hAnsi="Times New Roman" w:cs="Times New Roman"/>
                <w:szCs w:val="21"/>
              </w:rPr>
              <w:t>密度</w:t>
            </w:r>
            <w:r w:rsidRPr="000F3F1A">
              <w:rPr>
                <w:rFonts w:ascii="Times New Roman" w:hAnsi="Times New Roman" w:cs="Times New Roman"/>
                <w:szCs w:val="21"/>
              </w:rPr>
              <w:t>t/m</w:t>
            </w:r>
            <w:r w:rsidRPr="000F3F1A">
              <w:rPr>
                <w:rFonts w:ascii="Times New Roman" w:hAnsi="Times New Roman" w:cs="Times New Roman"/>
                <w:szCs w:val="21"/>
                <w:vertAlign w:val="superscript"/>
              </w:rPr>
              <w:t>3</w:t>
            </w:r>
          </w:p>
        </w:tc>
      </w:tr>
      <w:tr w14:paraId="3787DBD1" w14:textId="77777777" w:rsidTr="000F3F1A">
        <w:tblPrEx>
          <w:tblW w:w="0" w:type="auto"/>
          <w:jc w:val="center"/>
          <w:tblLayout w:type="fixed"/>
          <w:tblLook w:val="04A0"/>
        </w:tblPrEx>
        <w:trPr>
          <w:jc w:val="center"/>
        </w:trPr>
        <w:tc>
          <w:tcPr>
            <w:tcW w:w="2047" w:type="dxa"/>
            <w:tcBorders>
              <w:top w:val="single" w:sz="4" w:space="0" w:color="auto"/>
            </w:tcBorders>
          </w:tcPr>
          <w:p w:rsidR="00D359BE" w:rsidRPr="000F3F1A" w:rsidP="000F3F1A" w14:paraId="321E2E1A"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92#</w:t>
            </w:r>
            <w:r w:rsidRPr="000F3F1A">
              <w:rPr>
                <w:rFonts w:ascii="Times New Roman" w:hAnsi="Times New Roman" w:cs="Times New Roman"/>
                <w:szCs w:val="21"/>
              </w:rPr>
              <w:t>汽油</w:t>
            </w:r>
          </w:p>
        </w:tc>
        <w:tc>
          <w:tcPr>
            <w:tcW w:w="2047" w:type="dxa"/>
            <w:tcBorders>
              <w:top w:val="single" w:sz="4" w:space="0" w:color="auto"/>
            </w:tcBorders>
          </w:tcPr>
          <w:p w:rsidR="00D359BE" w:rsidRPr="000F3F1A" w:rsidP="000F3F1A" w14:paraId="4ADB7A61"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35℃/-12℃</w:t>
            </w:r>
          </w:p>
        </w:tc>
        <w:tc>
          <w:tcPr>
            <w:tcW w:w="2047" w:type="dxa"/>
            <w:tcBorders>
              <w:top w:val="single" w:sz="4" w:space="0" w:color="auto"/>
            </w:tcBorders>
          </w:tcPr>
          <w:p w:rsidR="00D359BE" w:rsidRPr="000F3F1A" w:rsidP="000F3F1A" w14:paraId="60F2BA65"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0.76</w:t>
            </w:r>
          </w:p>
        </w:tc>
        <w:tc>
          <w:tcPr>
            <w:tcW w:w="2047" w:type="dxa"/>
            <w:tcBorders>
              <w:top w:val="single" w:sz="4" w:space="0" w:color="auto"/>
            </w:tcBorders>
          </w:tcPr>
          <w:p w:rsidR="00D359BE" w:rsidRPr="000F3F1A" w:rsidP="000F3F1A" w14:paraId="5AE5A8C1"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0.73</w:t>
            </w:r>
          </w:p>
        </w:tc>
      </w:tr>
      <w:tr w14:paraId="1F9FFD5F" w14:textId="77777777" w:rsidTr="000F3F1A">
        <w:tblPrEx>
          <w:tblW w:w="0" w:type="auto"/>
          <w:jc w:val="center"/>
          <w:tblLayout w:type="fixed"/>
          <w:tblLook w:val="04A0"/>
        </w:tblPrEx>
        <w:trPr>
          <w:jc w:val="center"/>
        </w:trPr>
        <w:tc>
          <w:tcPr>
            <w:tcW w:w="2047" w:type="dxa"/>
          </w:tcPr>
          <w:p w:rsidR="00D359BE" w:rsidRPr="000F3F1A" w:rsidP="000F3F1A" w14:paraId="7208A362"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93#</w:t>
            </w:r>
            <w:r w:rsidRPr="000F3F1A">
              <w:rPr>
                <w:rFonts w:ascii="Times New Roman" w:hAnsi="Times New Roman" w:cs="Times New Roman"/>
                <w:szCs w:val="21"/>
              </w:rPr>
              <w:t>汽油</w:t>
            </w:r>
          </w:p>
        </w:tc>
        <w:tc>
          <w:tcPr>
            <w:tcW w:w="2047" w:type="dxa"/>
          </w:tcPr>
          <w:p w:rsidR="00D359BE" w:rsidRPr="000F3F1A" w:rsidP="000F3F1A" w14:paraId="5070EB39"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35℃/-12℃</w:t>
            </w:r>
          </w:p>
        </w:tc>
        <w:tc>
          <w:tcPr>
            <w:tcW w:w="2047" w:type="dxa"/>
          </w:tcPr>
          <w:p w:rsidR="00D359BE" w:rsidRPr="000F3F1A" w:rsidP="000F3F1A" w14:paraId="16FCD708"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0.76</w:t>
            </w:r>
          </w:p>
        </w:tc>
        <w:tc>
          <w:tcPr>
            <w:tcW w:w="2047" w:type="dxa"/>
          </w:tcPr>
          <w:p w:rsidR="00D359BE" w:rsidRPr="000F3F1A" w:rsidP="000F3F1A" w14:paraId="7CD201E7"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0.72</w:t>
            </w:r>
          </w:p>
        </w:tc>
      </w:tr>
      <w:tr w14:paraId="3190E344" w14:textId="77777777" w:rsidTr="000F3F1A">
        <w:tblPrEx>
          <w:tblW w:w="0" w:type="auto"/>
          <w:jc w:val="center"/>
          <w:tblLayout w:type="fixed"/>
          <w:tblLook w:val="04A0"/>
        </w:tblPrEx>
        <w:trPr>
          <w:trHeight w:val="105"/>
          <w:jc w:val="center"/>
        </w:trPr>
        <w:tc>
          <w:tcPr>
            <w:tcW w:w="2047" w:type="dxa"/>
          </w:tcPr>
          <w:p w:rsidR="00D359BE" w:rsidRPr="000F3F1A" w:rsidP="000F3F1A" w14:paraId="57C7E221"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98#</w:t>
            </w:r>
            <w:r w:rsidRPr="000F3F1A">
              <w:rPr>
                <w:rFonts w:ascii="Times New Roman" w:hAnsi="Times New Roman" w:cs="Times New Roman"/>
                <w:szCs w:val="21"/>
              </w:rPr>
              <w:t>汽油</w:t>
            </w:r>
          </w:p>
        </w:tc>
        <w:tc>
          <w:tcPr>
            <w:tcW w:w="2047" w:type="dxa"/>
          </w:tcPr>
          <w:p w:rsidR="00D359BE" w:rsidRPr="000F3F1A" w:rsidP="000F3F1A" w14:paraId="2A3AE3CE"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35℃/-12℃</w:t>
            </w:r>
          </w:p>
        </w:tc>
        <w:tc>
          <w:tcPr>
            <w:tcW w:w="2047" w:type="dxa"/>
          </w:tcPr>
          <w:p w:rsidR="00D359BE" w:rsidRPr="000F3F1A" w:rsidP="000F3F1A" w14:paraId="30422B2E"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0.76</w:t>
            </w:r>
          </w:p>
        </w:tc>
        <w:tc>
          <w:tcPr>
            <w:tcW w:w="2047" w:type="dxa"/>
          </w:tcPr>
          <w:p w:rsidR="00D359BE" w:rsidRPr="000F3F1A" w:rsidP="000F3F1A" w14:paraId="757F5947"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0.70</w:t>
            </w:r>
          </w:p>
        </w:tc>
      </w:tr>
      <w:tr w14:paraId="3688C9BB" w14:textId="77777777" w:rsidTr="000F3F1A">
        <w:tblPrEx>
          <w:tblW w:w="0" w:type="auto"/>
          <w:jc w:val="center"/>
          <w:tblLayout w:type="fixed"/>
          <w:tblLook w:val="04A0"/>
        </w:tblPrEx>
        <w:trPr>
          <w:trHeight w:val="105"/>
          <w:jc w:val="center"/>
        </w:trPr>
        <w:tc>
          <w:tcPr>
            <w:tcW w:w="2047" w:type="dxa"/>
          </w:tcPr>
          <w:p w:rsidR="00D359BE" w:rsidRPr="000F3F1A" w:rsidP="000F3F1A" w14:paraId="1E6B85E4"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航空汽油</w:t>
            </w:r>
          </w:p>
        </w:tc>
        <w:tc>
          <w:tcPr>
            <w:tcW w:w="2047" w:type="dxa"/>
          </w:tcPr>
          <w:p w:rsidR="00D359BE" w:rsidRPr="000F3F1A" w:rsidP="000F3F1A" w14:paraId="1DFC3BAB"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35℃/-12℃</w:t>
            </w:r>
          </w:p>
        </w:tc>
        <w:tc>
          <w:tcPr>
            <w:tcW w:w="2047" w:type="dxa"/>
          </w:tcPr>
          <w:p w:rsidR="00D359BE" w:rsidRPr="000F3F1A" w:rsidP="000F3F1A" w14:paraId="7089DFAB"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0.76</w:t>
            </w:r>
          </w:p>
        </w:tc>
        <w:tc>
          <w:tcPr>
            <w:tcW w:w="2047" w:type="dxa"/>
          </w:tcPr>
          <w:p w:rsidR="00D359BE" w:rsidRPr="000F3F1A" w:rsidP="000F3F1A" w14:paraId="74568713"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0.72</w:t>
            </w:r>
          </w:p>
        </w:tc>
      </w:tr>
      <w:tr w14:paraId="40F9CE4E" w14:textId="77777777" w:rsidTr="000F3F1A">
        <w:tblPrEx>
          <w:tblW w:w="0" w:type="auto"/>
          <w:jc w:val="center"/>
          <w:tblLayout w:type="fixed"/>
          <w:tblLook w:val="04A0"/>
        </w:tblPrEx>
        <w:trPr>
          <w:trHeight w:val="105"/>
          <w:jc w:val="center"/>
        </w:trPr>
        <w:tc>
          <w:tcPr>
            <w:tcW w:w="2047" w:type="dxa"/>
          </w:tcPr>
          <w:p w:rsidR="00D359BE" w:rsidRPr="000F3F1A" w:rsidP="000F3F1A" w14:paraId="38AFDF14"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-10#</w:t>
            </w:r>
            <w:r w:rsidRPr="000F3F1A">
              <w:rPr>
                <w:rFonts w:ascii="Times New Roman" w:hAnsi="Times New Roman" w:cs="Times New Roman"/>
                <w:szCs w:val="21"/>
              </w:rPr>
              <w:t>柴油</w:t>
            </w:r>
          </w:p>
        </w:tc>
        <w:tc>
          <w:tcPr>
            <w:tcW w:w="2047" w:type="dxa"/>
          </w:tcPr>
          <w:p w:rsidR="00D359BE" w:rsidRPr="000F3F1A" w:rsidP="000F3F1A" w14:paraId="4E0DDB6E"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-12℃</w:t>
            </w:r>
          </w:p>
        </w:tc>
        <w:tc>
          <w:tcPr>
            <w:tcW w:w="2047" w:type="dxa"/>
          </w:tcPr>
          <w:p w:rsidR="00D359BE" w:rsidRPr="000F3F1A" w:rsidP="000F3F1A" w14:paraId="04A7EAA6"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8.5</w:t>
            </w:r>
          </w:p>
        </w:tc>
        <w:tc>
          <w:tcPr>
            <w:tcW w:w="2047" w:type="dxa"/>
          </w:tcPr>
          <w:p w:rsidR="00D359BE" w:rsidRPr="000F3F1A" w:rsidP="000F3F1A" w14:paraId="38E1940F"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0.85</w:t>
            </w:r>
          </w:p>
        </w:tc>
      </w:tr>
      <w:tr w14:paraId="2597E53A" w14:textId="77777777" w:rsidTr="000F3F1A">
        <w:tblPrEx>
          <w:tblW w:w="0" w:type="auto"/>
          <w:jc w:val="center"/>
          <w:tblLayout w:type="fixed"/>
          <w:tblLook w:val="04A0"/>
        </w:tblPrEx>
        <w:trPr>
          <w:trHeight w:val="105"/>
          <w:jc w:val="center"/>
        </w:trPr>
        <w:tc>
          <w:tcPr>
            <w:tcW w:w="2047" w:type="dxa"/>
          </w:tcPr>
          <w:p w:rsidR="00D359BE" w:rsidRPr="000F3F1A" w:rsidP="000F3F1A" w14:paraId="4A6C4B6B"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10#</w:t>
            </w:r>
            <w:r w:rsidRPr="000F3F1A">
              <w:rPr>
                <w:rFonts w:ascii="Times New Roman" w:hAnsi="Times New Roman" w:cs="Times New Roman"/>
                <w:szCs w:val="21"/>
              </w:rPr>
              <w:t>柴油</w:t>
            </w:r>
          </w:p>
        </w:tc>
        <w:tc>
          <w:tcPr>
            <w:tcW w:w="2047" w:type="dxa"/>
          </w:tcPr>
          <w:p w:rsidR="00D359BE" w:rsidRPr="000F3F1A" w:rsidP="000F3F1A" w14:paraId="379633D8"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-12℃</w:t>
            </w:r>
          </w:p>
        </w:tc>
        <w:tc>
          <w:tcPr>
            <w:tcW w:w="2047" w:type="dxa"/>
          </w:tcPr>
          <w:p w:rsidR="00D359BE" w:rsidRPr="000F3F1A" w:rsidP="000F3F1A" w14:paraId="184FB57F"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8.5</w:t>
            </w:r>
          </w:p>
        </w:tc>
        <w:tc>
          <w:tcPr>
            <w:tcW w:w="2047" w:type="dxa"/>
          </w:tcPr>
          <w:p w:rsidR="00D359BE" w:rsidRPr="000F3F1A" w:rsidP="000F3F1A" w14:paraId="44F27C50"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0.83</w:t>
            </w:r>
          </w:p>
        </w:tc>
      </w:tr>
      <w:tr w14:paraId="59FEC31C" w14:textId="77777777" w:rsidTr="000F3F1A">
        <w:tblPrEx>
          <w:tblW w:w="0" w:type="auto"/>
          <w:jc w:val="center"/>
          <w:tblLayout w:type="fixed"/>
          <w:tblLook w:val="04A0"/>
        </w:tblPrEx>
        <w:trPr>
          <w:trHeight w:val="105"/>
          <w:jc w:val="center"/>
        </w:trPr>
        <w:tc>
          <w:tcPr>
            <w:tcW w:w="2047" w:type="dxa"/>
          </w:tcPr>
          <w:p w:rsidR="00D359BE" w:rsidRPr="000F3F1A" w:rsidP="000F3F1A" w14:paraId="4F41A595"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10#</w:t>
            </w:r>
            <w:r w:rsidRPr="000F3F1A">
              <w:rPr>
                <w:rFonts w:ascii="Times New Roman" w:hAnsi="Times New Roman" w:cs="Times New Roman"/>
                <w:szCs w:val="21"/>
              </w:rPr>
              <w:t>重柴油</w:t>
            </w:r>
          </w:p>
        </w:tc>
        <w:tc>
          <w:tcPr>
            <w:tcW w:w="2047" w:type="dxa"/>
          </w:tcPr>
          <w:p w:rsidR="00D359BE" w:rsidRPr="000F3F1A" w:rsidP="000F3F1A" w14:paraId="247A11DC"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9℃</w:t>
            </w:r>
          </w:p>
        </w:tc>
        <w:tc>
          <w:tcPr>
            <w:tcW w:w="2047" w:type="dxa"/>
          </w:tcPr>
          <w:p w:rsidR="00D359BE" w:rsidRPr="000F3F1A" w:rsidP="000F3F1A" w14:paraId="7A0BD865"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120</w:t>
            </w:r>
          </w:p>
        </w:tc>
        <w:tc>
          <w:tcPr>
            <w:tcW w:w="2047" w:type="dxa"/>
          </w:tcPr>
          <w:p w:rsidR="00D359BE" w:rsidRPr="000F3F1A" w:rsidP="000F3F1A" w14:paraId="337992BA"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0.92</w:t>
            </w:r>
          </w:p>
        </w:tc>
      </w:tr>
      <w:tr w14:paraId="1E7CED97" w14:textId="77777777" w:rsidTr="000F3F1A">
        <w:tblPrEx>
          <w:tblW w:w="0" w:type="auto"/>
          <w:jc w:val="center"/>
          <w:tblLayout w:type="fixed"/>
          <w:tblLook w:val="04A0"/>
        </w:tblPrEx>
        <w:trPr>
          <w:trHeight w:val="105"/>
          <w:jc w:val="center"/>
        </w:trPr>
        <w:tc>
          <w:tcPr>
            <w:tcW w:w="2047" w:type="dxa"/>
          </w:tcPr>
          <w:p w:rsidR="00D359BE" w:rsidRPr="000F3F1A" w:rsidP="000F3F1A" w14:paraId="1D8FE556"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20#</w:t>
            </w:r>
            <w:r w:rsidRPr="000F3F1A">
              <w:rPr>
                <w:rFonts w:ascii="Times New Roman" w:hAnsi="Times New Roman" w:cs="Times New Roman"/>
                <w:szCs w:val="21"/>
              </w:rPr>
              <w:t>重柴油</w:t>
            </w:r>
          </w:p>
        </w:tc>
        <w:tc>
          <w:tcPr>
            <w:tcW w:w="2047" w:type="dxa"/>
          </w:tcPr>
          <w:p w:rsidR="00D359BE" w:rsidRPr="000F3F1A" w:rsidP="000F3F1A" w14:paraId="345DD7C1"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9℃</w:t>
            </w:r>
          </w:p>
        </w:tc>
        <w:tc>
          <w:tcPr>
            <w:tcW w:w="2047" w:type="dxa"/>
          </w:tcPr>
          <w:p w:rsidR="00D359BE" w:rsidRPr="000F3F1A" w:rsidP="000F3F1A" w14:paraId="0F2AD3D8"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110</w:t>
            </w:r>
          </w:p>
        </w:tc>
        <w:tc>
          <w:tcPr>
            <w:tcW w:w="2047" w:type="dxa"/>
          </w:tcPr>
          <w:p w:rsidR="00D359BE" w:rsidRPr="000F3F1A" w:rsidP="000F3F1A" w14:paraId="790DB8F1" w14:textId="77777777">
            <w:pPr>
              <w:adjustRightInd w:val="0"/>
              <w:snapToGrid w:val="0"/>
              <w:spacing w:line="300" w:lineRule="auto"/>
              <w:jc w:val="center"/>
              <w:rPr>
                <w:rFonts w:ascii="Times New Roman" w:hAnsi="Times New Roman" w:cs="Times New Roman"/>
                <w:szCs w:val="21"/>
              </w:rPr>
            </w:pPr>
            <w:r w:rsidRPr="000F3F1A">
              <w:rPr>
                <w:rFonts w:ascii="Times New Roman" w:hAnsi="Times New Roman" w:cs="Times New Roman"/>
                <w:szCs w:val="21"/>
              </w:rPr>
              <w:t>0.92</w:t>
            </w:r>
          </w:p>
        </w:tc>
      </w:tr>
    </w:tbl>
    <w:p w:rsidR="00D359BE" w:rsidP="000F3F1A" w14:paraId="39B36D08" w14:textId="77777777">
      <w:pPr>
        <w:adjustRightInd w:val="0"/>
        <w:snapToGrid w:val="0"/>
        <w:spacing w:line="300" w:lineRule="auto"/>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1985" w:right="1418" w:bottom="1418" w:left="1418" w:header="1417" w:footer="1134" w:gutter="0"/>
          <w:pgNumType w:start="4"/>
          <w:cols w:space="425"/>
          <w:titlePg w:val="0"/>
          <w:docGrid w:linePitch="312"/>
        </w:sectPr>
      </w:pPr>
    </w:p>
    <w:p w:rsidR="00D359BE" w:rsidRPr="001C2293" w:rsidP="001C2293" w14:paraId="1DBE7E0D" w14:textId="77777777">
      <w:pPr>
        <w:pStyle w:val="Heading1"/>
        <w:adjustRightInd w:val="0"/>
        <w:snapToGrid w:val="0"/>
        <w:spacing w:before="0" w:beforeLines="0" w:after="220"/>
        <w:rPr>
          <w:rFonts w:ascii="Times New Roman" w:hAnsi="Times New Roman" w:cs="Times New Roman"/>
          <w:b w:val="0"/>
          <w:sz w:val="30"/>
          <w:szCs w:val="30"/>
        </w:rPr>
      </w:pPr>
      <w:bookmarkStart w:id="14" w:name="_Toc135660714"/>
      <w:r w:rsidRPr="001C2293">
        <w:rPr>
          <w:rFonts w:ascii="Times New Roman" w:hAnsi="Times New Roman" w:cs="Times New Roman"/>
          <w:b w:val="0"/>
          <w:sz w:val="30"/>
          <w:szCs w:val="30"/>
        </w:rPr>
        <w:t xml:space="preserve">2 </w:t>
      </w:r>
      <w:r w:rsidRPr="001C2293">
        <w:rPr>
          <w:rFonts w:ascii="Times New Roman" w:hAnsi="Times New Roman" w:cs="Times New Roman"/>
          <w:b w:val="0"/>
          <w:sz w:val="30"/>
          <w:szCs w:val="30"/>
        </w:rPr>
        <w:t>库区总平面布置</w:t>
      </w:r>
      <w:bookmarkEnd w:id="14"/>
    </w:p>
    <w:p w:rsidR="00D359BE" w:rsidRPr="001C2293" w:rsidP="001C2293" w14:paraId="2FF68573" w14:textId="60419599">
      <w:pPr>
        <w:pStyle w:val="Heading2"/>
        <w:adjustRightInd w:val="0"/>
        <w:snapToGrid w:val="0"/>
        <w:spacing w:before="120" w:beforeLines="50" w:after="0" w:line="360" w:lineRule="auto"/>
        <w:rPr>
          <w:rFonts w:ascii="Times New Roman" w:hAnsi="Times New Roman" w:cs="Times New Roman"/>
          <w:b w:val="0"/>
        </w:rPr>
      </w:pPr>
      <w:bookmarkStart w:id="15" w:name="_Toc517533810"/>
      <w:bookmarkStart w:id="16" w:name="_Toc294692585"/>
      <w:bookmarkStart w:id="17" w:name="_Toc262902798"/>
      <w:bookmarkStart w:id="18" w:name="_Toc135660715"/>
      <w:r w:rsidRPr="001C2293">
        <w:rPr>
          <w:rFonts w:ascii="Times New Roman" w:hAnsi="Times New Roman" w:cs="Times New Roman"/>
          <w:b w:val="0"/>
        </w:rPr>
        <w:t>2.1</w:t>
      </w:r>
      <w:bookmarkEnd w:id="15"/>
      <w:bookmarkEnd w:id="16"/>
      <w:bookmarkEnd w:id="17"/>
      <w:r w:rsidRPr="001C2293" w:rsidR="007C777D">
        <w:rPr>
          <w:rFonts w:ascii="Times New Roman" w:hAnsi="Times New Roman" w:cs="Times New Roman"/>
          <w:b w:val="0"/>
        </w:rPr>
        <w:t xml:space="preserve"> </w:t>
      </w:r>
      <w:r w:rsidRPr="001C2293">
        <w:rPr>
          <w:rFonts w:ascii="Times New Roman" w:hAnsi="Times New Roman" w:cs="Times New Roman"/>
          <w:b w:val="0"/>
        </w:rPr>
        <w:t>库区概论</w:t>
      </w:r>
      <w:bookmarkEnd w:id="18"/>
    </w:p>
    <w:p w:rsidR="00D359BE" w:rsidP="000F3F1A" w14:paraId="1F6A669E" w14:textId="77777777">
      <w:pPr>
        <w:adjustRightInd w:val="0"/>
        <w:snapToGrid w:val="0"/>
        <w:spacing w:line="300" w:lineRule="auto"/>
        <w:ind w:firstLine="480" w:firstLineChars="200"/>
        <w:rPr>
          <w:rFonts w:ascii="宋体" w:eastAsia="宋体" w:hAnsi="宋体"/>
          <w:sz w:val="24"/>
          <w:szCs w:val="24"/>
        </w:rPr>
      </w:pPr>
      <w:r>
        <w:rPr>
          <w:rFonts w:ascii="宋体" w:eastAsia="宋体" w:hAnsi="宋体" w:hint="eastAsia"/>
          <w:sz w:val="24"/>
          <w:szCs w:val="24"/>
        </w:rPr>
        <w:t>按照任务书规定，油库的重要功能有以下几点：</w:t>
      </w:r>
      <w:r>
        <w:rPr>
          <w:rFonts w:ascii="宋体" w:eastAsia="宋体" w:hAnsi="宋体"/>
          <w:sz w:val="24"/>
          <w:szCs w:val="24"/>
        </w:rPr>
        <w:t xml:space="preserve"> </w:t>
      </w:r>
    </w:p>
    <w:p w:rsidR="00D359BE" w:rsidRPr="00D15E05" w:rsidP="000F3F1A" w14:paraId="4FEF8D12" w14:textId="485D8258">
      <w:pPr>
        <w:adjustRightInd w:val="0"/>
        <w:snapToGrid w:val="0"/>
        <w:spacing w:line="300" w:lineRule="auto"/>
        <w:rPr>
          <w:rFonts w:ascii="Times New Roman" w:eastAsia="宋体" w:hAnsi="Times New Roman" w:cs="Times New Roman"/>
          <w:sz w:val="24"/>
          <w:szCs w:val="24"/>
        </w:rPr>
      </w:pPr>
      <w:r w:rsidRPr="00D15E05">
        <w:rPr>
          <w:rFonts w:ascii="宋体" w:eastAsia="宋体" w:hAnsi="宋体" w:cs="宋体" w:hint="eastAsia"/>
          <w:sz w:val="24"/>
          <w:szCs w:val="24"/>
        </w:rPr>
        <w:t>⑴</w:t>
      </w:r>
      <w:r w:rsidRPr="00D15E05">
        <w:rPr>
          <w:rFonts w:ascii="Times New Roman" w:eastAsia="宋体" w:hAnsi="Times New Roman" w:cs="Times New Roman"/>
          <w:sz w:val="24"/>
          <w:szCs w:val="24"/>
        </w:rPr>
        <w:t xml:space="preserve"> </w:t>
      </w:r>
      <w:r w:rsidRPr="00D15E05" w:rsidR="00C30E28">
        <w:rPr>
          <w:rFonts w:ascii="Times New Roman" w:eastAsia="宋体" w:hAnsi="Times New Roman" w:cs="Times New Roman"/>
          <w:sz w:val="24"/>
          <w:szCs w:val="24"/>
        </w:rPr>
        <w:t>接收并计量上游成品油管道输送的油；</w:t>
      </w:r>
      <w:r w:rsidRPr="00D15E05" w:rsidR="00C30E28">
        <w:rPr>
          <w:rFonts w:ascii="Times New Roman" w:eastAsia="宋体" w:hAnsi="Times New Roman" w:cs="Times New Roman"/>
          <w:sz w:val="24"/>
          <w:szCs w:val="24"/>
        </w:rPr>
        <w:t xml:space="preserve"> </w:t>
      </w:r>
    </w:p>
    <w:p w:rsidR="00D359BE" w:rsidRPr="00D15E05" w:rsidP="000F3F1A" w14:paraId="3403C4EE" w14:textId="2C198E51">
      <w:pPr>
        <w:adjustRightInd w:val="0"/>
        <w:snapToGrid w:val="0"/>
        <w:spacing w:line="300" w:lineRule="auto"/>
        <w:rPr>
          <w:rFonts w:ascii="Times New Roman" w:eastAsia="宋体" w:hAnsi="Times New Roman" w:cs="Times New Roman"/>
          <w:sz w:val="24"/>
          <w:szCs w:val="24"/>
        </w:rPr>
      </w:pPr>
      <w:r w:rsidRPr="00D15E05">
        <w:rPr>
          <w:rFonts w:ascii="宋体" w:eastAsia="宋体" w:hAnsi="宋体" w:cs="宋体" w:hint="eastAsia"/>
          <w:sz w:val="24"/>
          <w:szCs w:val="24"/>
        </w:rPr>
        <w:t>⑵</w:t>
      </w:r>
      <w:r w:rsidRPr="00D15E05">
        <w:rPr>
          <w:rFonts w:ascii="Times New Roman" w:eastAsia="宋体" w:hAnsi="Times New Roman" w:cs="Times New Roman"/>
          <w:sz w:val="24"/>
          <w:szCs w:val="24"/>
        </w:rPr>
        <w:t xml:space="preserve"> </w:t>
      </w:r>
      <w:r w:rsidRPr="00D15E05" w:rsidR="00C30E28">
        <w:rPr>
          <w:rFonts w:ascii="Times New Roman" w:eastAsia="宋体" w:hAnsi="Times New Roman" w:cs="Times New Roman"/>
          <w:sz w:val="24"/>
          <w:szCs w:val="24"/>
        </w:rPr>
        <w:t>存储成品油，保证在任何不利情况下均有足够的空间接收管道来油；</w:t>
      </w:r>
      <w:r w:rsidRPr="00D15E05" w:rsidR="00C30E28">
        <w:rPr>
          <w:rFonts w:ascii="Times New Roman" w:eastAsia="宋体" w:hAnsi="Times New Roman" w:cs="Times New Roman"/>
          <w:sz w:val="24"/>
          <w:szCs w:val="24"/>
        </w:rPr>
        <w:t xml:space="preserve"> </w:t>
      </w:r>
    </w:p>
    <w:p w:rsidR="00D359BE" w:rsidRPr="00D15E05" w:rsidP="000F3F1A" w14:paraId="0FA6ACB0" w14:textId="1757B81F">
      <w:pPr>
        <w:adjustRightInd w:val="0"/>
        <w:snapToGrid w:val="0"/>
        <w:spacing w:line="300" w:lineRule="auto"/>
        <w:rPr>
          <w:rFonts w:ascii="Times New Roman" w:eastAsia="宋体" w:hAnsi="Times New Roman" w:cs="Times New Roman"/>
          <w:sz w:val="24"/>
          <w:szCs w:val="24"/>
        </w:rPr>
      </w:pPr>
      <w:bookmarkStart w:id="19" w:name="_Hlk135670151"/>
      <w:r w:rsidRPr="00D15E05">
        <w:rPr>
          <w:rFonts w:ascii="宋体" w:eastAsia="宋体" w:hAnsi="宋体" w:cs="宋体" w:hint="eastAsia"/>
          <w:sz w:val="24"/>
          <w:szCs w:val="24"/>
        </w:rPr>
        <w:t>⑶</w:t>
      </w:r>
      <w:bookmarkEnd w:id="19"/>
      <w:r w:rsidRPr="00D15E05">
        <w:rPr>
          <w:rFonts w:ascii="Times New Roman" w:eastAsia="宋体" w:hAnsi="Times New Roman" w:cs="Times New Roman"/>
          <w:sz w:val="24"/>
          <w:szCs w:val="24"/>
        </w:rPr>
        <w:t xml:space="preserve"> </w:t>
      </w:r>
      <w:r w:rsidRPr="00D15E05" w:rsidR="00C30E28">
        <w:rPr>
          <w:rFonts w:ascii="Times New Roman" w:eastAsia="宋体" w:hAnsi="Times New Roman" w:cs="Times New Roman"/>
          <w:sz w:val="24"/>
          <w:szCs w:val="24"/>
        </w:rPr>
        <w:t>接收并计量上游成品油管道输送的油；</w:t>
      </w:r>
      <w:r w:rsidRPr="00D15E05" w:rsidR="00C30E28">
        <w:rPr>
          <w:rFonts w:ascii="Times New Roman" w:eastAsia="宋体" w:hAnsi="Times New Roman" w:cs="Times New Roman"/>
          <w:sz w:val="24"/>
          <w:szCs w:val="24"/>
        </w:rPr>
        <w:t xml:space="preserve"> </w:t>
      </w:r>
    </w:p>
    <w:p w:rsidR="00D359BE" w:rsidRPr="00D15E05" w:rsidP="000F3F1A" w14:paraId="083BA7B2" w14:textId="639684D0">
      <w:pPr>
        <w:adjustRightInd w:val="0"/>
        <w:snapToGrid w:val="0"/>
        <w:spacing w:line="300" w:lineRule="auto"/>
        <w:rPr>
          <w:rFonts w:ascii="Times New Roman" w:eastAsia="宋体" w:hAnsi="Times New Roman" w:cs="Times New Roman"/>
          <w:sz w:val="24"/>
          <w:szCs w:val="24"/>
        </w:rPr>
      </w:pPr>
      <w:r w:rsidRPr="00D15E05">
        <w:rPr>
          <w:rFonts w:ascii="宋体" w:eastAsia="宋体" w:hAnsi="宋体" w:cs="宋体" w:hint="eastAsia"/>
          <w:sz w:val="24"/>
          <w:szCs w:val="24"/>
        </w:rPr>
        <w:t>⑷</w:t>
      </w:r>
      <w:r w:rsidRPr="00D15E05">
        <w:rPr>
          <w:rFonts w:ascii="Times New Roman" w:eastAsia="宋体" w:hAnsi="Times New Roman" w:cs="Times New Roman"/>
          <w:sz w:val="24"/>
          <w:szCs w:val="24"/>
        </w:rPr>
        <w:t xml:space="preserve"> </w:t>
      </w:r>
      <w:r w:rsidRPr="00D15E05" w:rsidR="00C30E28">
        <w:rPr>
          <w:rFonts w:ascii="Times New Roman" w:eastAsia="宋体" w:hAnsi="Times New Roman" w:cs="Times New Roman"/>
          <w:sz w:val="24"/>
          <w:szCs w:val="24"/>
        </w:rPr>
        <w:t>存储成品油，保证在任何不利情况下均有足够的空间接收管道来油；</w:t>
      </w:r>
      <w:r w:rsidRPr="00D15E05" w:rsidR="00C30E28">
        <w:rPr>
          <w:rFonts w:ascii="Times New Roman" w:eastAsia="宋体" w:hAnsi="Times New Roman" w:cs="Times New Roman"/>
          <w:sz w:val="24"/>
          <w:szCs w:val="24"/>
        </w:rPr>
        <w:t xml:space="preserve"> </w:t>
      </w:r>
    </w:p>
    <w:p w:rsidR="00D359BE" w:rsidRPr="000F3F1A" w:rsidP="000F3F1A" w14:paraId="739CFD46" w14:textId="50096F9F">
      <w:pPr>
        <w:adjustRightInd w:val="0"/>
        <w:snapToGrid w:val="0"/>
        <w:spacing w:line="300" w:lineRule="auto"/>
        <w:rPr>
          <w:rFonts w:ascii="宋体" w:eastAsia="宋体" w:hAnsi="宋体"/>
          <w:sz w:val="24"/>
          <w:szCs w:val="24"/>
        </w:rPr>
      </w:pPr>
      <w:r w:rsidRPr="00D15E05">
        <w:rPr>
          <w:rFonts w:ascii="宋体" w:eastAsia="宋体" w:hAnsi="宋体" w:cs="宋体" w:hint="eastAsia"/>
          <w:sz w:val="24"/>
          <w:szCs w:val="24"/>
        </w:rPr>
        <w:t>⑸</w:t>
      </w:r>
      <w:r w:rsidRPr="00D15E05">
        <w:rPr>
          <w:rFonts w:ascii="Times New Roman" w:eastAsia="宋体" w:hAnsi="Times New Roman" w:cs="Times New Roman"/>
          <w:sz w:val="24"/>
          <w:szCs w:val="24"/>
        </w:rPr>
        <w:t xml:space="preserve"> </w:t>
      </w:r>
      <w:r w:rsidRPr="000F3F1A" w:rsidR="00C30E28">
        <w:rPr>
          <w:rFonts w:ascii="宋体" w:eastAsia="宋体" w:hAnsi="宋体"/>
          <w:sz w:val="24"/>
          <w:szCs w:val="24"/>
        </w:rPr>
        <w:t>根据外输计划，利用外输管线将原油运送到附近加油站。</w:t>
      </w:r>
    </w:p>
    <w:p w:rsidR="00D359BE" w:rsidP="000F3F1A" w14:paraId="68AD6DAC" w14:textId="77777777">
      <w:pPr>
        <w:pStyle w:val="NormalWeb"/>
        <w:adjustRightInd w:val="0"/>
        <w:snapToGrid w:val="0"/>
        <w:spacing w:before="0" w:beforeAutospacing="0" w:after="0" w:afterAutospacing="0" w:line="300" w:lineRule="auto"/>
        <w:ind w:firstLine="480" w:firstLineChars="200"/>
      </w:pPr>
      <w:r>
        <w:rPr>
          <w:rFonts w:hint="eastAsia"/>
        </w:rPr>
        <w:t>为了符合工艺要求，方便管理，</w:t>
      </w:r>
      <w:r w:rsidRPr="000F3F1A">
        <w:rPr>
          <w:sz w:val="21"/>
          <w:szCs w:val="21"/>
          <w:vertAlign w:val="superscript"/>
        </w:rPr>
        <w:fldChar w:fldCharType="begin"/>
      </w:r>
      <w:r w:rsidRPr="000F3F1A">
        <w:rPr>
          <w:sz w:val="21"/>
          <w:szCs w:val="21"/>
          <w:vertAlign w:val="superscript"/>
        </w:rPr>
        <w:instrText xml:space="preserve"> </w:instrText>
      </w:r>
      <w:r w:rsidRPr="000F3F1A">
        <w:rPr>
          <w:rFonts w:hint="eastAsia"/>
          <w:sz w:val="21"/>
          <w:szCs w:val="21"/>
          <w:vertAlign w:val="superscript"/>
        </w:rPr>
        <w:instrText>REF _Ref134563272 \r \h</w:instrText>
      </w:r>
      <w:r w:rsidRPr="000F3F1A">
        <w:rPr>
          <w:sz w:val="21"/>
          <w:szCs w:val="21"/>
          <w:vertAlign w:val="superscript"/>
        </w:rPr>
        <w:instrText xml:space="preserve">  \* MERGEFORMAT </w:instrText>
      </w:r>
      <w:r w:rsidRPr="000F3F1A">
        <w:rPr>
          <w:sz w:val="21"/>
          <w:szCs w:val="21"/>
          <w:vertAlign w:val="superscript"/>
        </w:rPr>
        <w:fldChar w:fldCharType="separate"/>
      </w:r>
      <w:r w:rsidRPr="000F3F1A">
        <w:rPr>
          <w:sz w:val="21"/>
          <w:szCs w:val="21"/>
          <w:vertAlign w:val="superscript"/>
        </w:rPr>
        <w:t>[5]</w:t>
      </w:r>
      <w:r w:rsidRPr="000F3F1A">
        <w:rPr>
          <w:sz w:val="21"/>
          <w:szCs w:val="21"/>
          <w:vertAlign w:val="superscript"/>
        </w:rPr>
        <w:fldChar w:fldCharType="end"/>
      </w:r>
      <w:r>
        <w:rPr>
          <w:rFonts w:hint="eastAsia"/>
        </w:rPr>
        <w:t>保障安全、便于作业，将末站站场内的全部设施建设、设备按作用进行区域布置。末站根据工艺布局设置三个区，即储油区、管理区和辅助区。为更好地对各作业区进行安全管理，居住区的设置应与存放石油产品的地方相隔很远。在各个片区中，根据各个区域的核心功能，以及对周围原油的收发、储存、安全、节能、管理等进行选择和配置，以适应不同生产规模的需求。</w:t>
      </w:r>
      <w:r>
        <w:t>如表</w:t>
      </w:r>
      <w:r>
        <w:rPr>
          <w:rFonts w:ascii="Times New Roman" w:hAnsi="Times New Roman" w:cs="Times New Roman"/>
        </w:rPr>
        <w:t>2.1</w:t>
      </w:r>
      <w:r>
        <w:t>所示。</w:t>
      </w:r>
    </w:p>
    <w:p w:rsidR="00D359BE" w14:paraId="60555A71" w14:textId="77777777">
      <w:pPr>
        <w:pStyle w:val="NormalWeb"/>
        <w:spacing w:before="0" w:beforeAutospacing="0" w:after="0" w:afterAutospacing="0" w:line="300" w:lineRule="auto"/>
      </w:pPr>
    </w:p>
    <w:p w:rsidR="00D359BE" w:rsidRPr="000F3F1A" w:rsidP="000F3F1A" w14:paraId="457B7DAA" w14:textId="77777777">
      <w:pPr>
        <w:adjustRightInd w:val="0"/>
        <w:snapToGrid w:val="0"/>
        <w:spacing w:line="300" w:lineRule="auto"/>
        <w:jc w:val="center"/>
        <w:rPr>
          <w:rFonts w:ascii="Times New Roman" w:eastAsia="宋体" w:hAnsi="Times New Roman" w:cs="Times New Roman"/>
          <w:szCs w:val="21"/>
        </w:rPr>
      </w:pPr>
      <w:r w:rsidRPr="000F3F1A">
        <w:rPr>
          <w:rFonts w:ascii="Times New Roman" w:eastAsia="宋体" w:hAnsi="Times New Roman" w:cs="Times New Roman"/>
          <w:color w:val="FFFFFF"/>
          <w:szCs w:val="21"/>
        </w:rPr>
        <w:t>示。</w:t>
      </w:r>
      <w:r w:rsidRPr="000F3F1A">
        <w:rPr>
          <w:rFonts w:ascii="Times New Roman" w:eastAsia="宋体" w:hAnsi="Times New Roman" w:cs="Times New Roman"/>
          <w:szCs w:val="21"/>
        </w:rPr>
        <w:t>表</w:t>
      </w:r>
      <w:r w:rsidRPr="000F3F1A">
        <w:rPr>
          <w:rFonts w:ascii="Times New Roman" w:eastAsia="宋体" w:hAnsi="Times New Roman" w:cs="Times New Roman"/>
          <w:szCs w:val="21"/>
        </w:rPr>
        <w:t xml:space="preserve">2.1 </w:t>
      </w:r>
      <w:r w:rsidRPr="000F3F1A">
        <w:rPr>
          <w:rFonts w:ascii="Times New Roman" w:eastAsia="宋体" w:hAnsi="Times New Roman" w:cs="Times New Roman"/>
          <w:szCs w:val="21"/>
        </w:rPr>
        <w:t>油库末站分区</w:t>
      </w:r>
    </w:p>
    <w:tbl>
      <w:tblPr>
        <w:tblStyle w:val="TableGrid00"/>
        <w:tblW w:w="8538" w:type="dxa"/>
        <w:tblInd w:w="-122" w:type="dxa"/>
        <w:tblBorders>
          <w:top w:val="single" w:sz="4" w:space="0" w:color="auto"/>
          <w:bottom w:val="single" w:sz="4" w:space="0" w:color="auto"/>
        </w:tblBorders>
        <w:tblCellMar>
          <w:top w:w="34" w:type="dxa"/>
          <w:left w:w="108" w:type="dxa"/>
          <w:right w:w="55" w:type="dxa"/>
        </w:tblCellMar>
        <w:tblLook w:val="04A0"/>
      </w:tblPr>
      <w:tblGrid>
        <w:gridCol w:w="1399"/>
        <w:gridCol w:w="7139"/>
      </w:tblGrid>
      <w:tr w14:paraId="1D8C598F" w14:textId="77777777" w:rsidTr="000F3F1A">
        <w:tblPrEx>
          <w:tblW w:w="8538" w:type="dxa"/>
          <w:tblInd w:w="-122" w:type="dxa"/>
          <w:tblBorders>
            <w:top w:val="single" w:sz="4" w:space="0" w:color="auto"/>
            <w:bottom w:val="single" w:sz="4" w:space="0" w:color="auto"/>
          </w:tblBorders>
          <w:tblCellMar>
            <w:top w:w="34" w:type="dxa"/>
            <w:left w:w="108" w:type="dxa"/>
            <w:right w:w="55" w:type="dxa"/>
          </w:tblCellMar>
          <w:tblLook w:val="04A0"/>
        </w:tblPrEx>
        <w:trPr>
          <w:trHeight w:val="418"/>
        </w:trPr>
        <w:tc>
          <w:tcPr>
            <w:tcW w:w="1399" w:type="dxa"/>
            <w:tcBorders>
              <w:top w:val="single" w:sz="4" w:space="0" w:color="auto"/>
              <w:bottom w:val="single" w:sz="4" w:space="0" w:color="auto"/>
            </w:tcBorders>
            <w:vAlign w:val="center"/>
          </w:tcPr>
          <w:p w:rsidR="00D359BE" w:rsidP="000F3F1A" w14:paraId="2D90A9B7" w14:textId="69858434">
            <w:pPr>
              <w:adjustRightInd w:val="0"/>
              <w:snapToGrid w:val="0"/>
              <w:spacing w:line="300" w:lineRule="auto"/>
              <w:ind w:left="178"/>
              <w:jc w:val="center"/>
              <w:rPr>
                <w:rFonts w:ascii="宋体" w:eastAsia="宋体" w:hAnsi="宋体"/>
                <w:szCs w:val="21"/>
              </w:rPr>
            </w:pPr>
            <w:r>
              <w:rPr>
                <w:rFonts w:ascii="宋体" w:eastAsia="宋体" w:hAnsi="宋体"/>
                <w:szCs w:val="21"/>
              </w:rPr>
              <w:t>区域名称</w:t>
            </w:r>
          </w:p>
        </w:tc>
        <w:tc>
          <w:tcPr>
            <w:tcW w:w="7139" w:type="dxa"/>
            <w:tcBorders>
              <w:top w:val="single" w:sz="4" w:space="0" w:color="auto"/>
              <w:bottom w:val="single" w:sz="4" w:space="0" w:color="auto"/>
            </w:tcBorders>
            <w:vAlign w:val="center"/>
          </w:tcPr>
          <w:p w:rsidR="00D359BE" w:rsidP="000F3F1A" w14:paraId="21CBABD9" w14:textId="77777777">
            <w:pPr>
              <w:adjustRightInd w:val="0"/>
              <w:snapToGrid w:val="0"/>
              <w:spacing w:line="300" w:lineRule="auto"/>
              <w:ind w:right="53"/>
              <w:jc w:val="center"/>
              <w:rPr>
                <w:rFonts w:ascii="宋体" w:eastAsia="宋体" w:hAnsi="宋体"/>
                <w:szCs w:val="21"/>
              </w:rPr>
            </w:pPr>
            <w:r>
              <w:rPr>
                <w:rFonts w:ascii="宋体" w:eastAsia="宋体" w:hAnsi="宋体"/>
                <w:szCs w:val="21"/>
              </w:rPr>
              <w:t>区内主要设施</w:t>
            </w:r>
          </w:p>
        </w:tc>
      </w:tr>
      <w:tr w14:paraId="1B2F0E3B" w14:textId="77777777" w:rsidTr="000F3F1A">
        <w:tblPrEx>
          <w:tblW w:w="8538" w:type="dxa"/>
          <w:tblInd w:w="-122" w:type="dxa"/>
          <w:tblCellMar>
            <w:top w:w="34" w:type="dxa"/>
            <w:left w:w="108" w:type="dxa"/>
            <w:right w:w="55" w:type="dxa"/>
          </w:tblCellMar>
          <w:tblLook w:val="04A0"/>
        </w:tblPrEx>
        <w:trPr>
          <w:trHeight w:val="406"/>
        </w:trPr>
        <w:tc>
          <w:tcPr>
            <w:tcW w:w="1399" w:type="dxa"/>
            <w:tcBorders>
              <w:top w:val="single" w:sz="4" w:space="0" w:color="auto"/>
            </w:tcBorders>
            <w:vAlign w:val="center"/>
          </w:tcPr>
          <w:p w:rsidR="00D359BE" w:rsidP="000F3F1A" w14:paraId="2C547F7E" w14:textId="77777777">
            <w:pPr>
              <w:adjustRightInd w:val="0"/>
              <w:snapToGrid w:val="0"/>
              <w:spacing w:line="300" w:lineRule="auto"/>
              <w:ind w:right="36" w:firstLine="200" w:firstLineChars="95"/>
              <w:jc w:val="center"/>
              <w:rPr>
                <w:rFonts w:ascii="宋体" w:eastAsia="宋体" w:hAnsi="宋体"/>
                <w:szCs w:val="21"/>
              </w:rPr>
            </w:pPr>
            <w:r>
              <w:rPr>
                <w:rFonts w:ascii="宋体" w:eastAsia="宋体" w:hAnsi="宋体"/>
                <w:szCs w:val="21"/>
              </w:rPr>
              <w:t>储油区</w:t>
            </w:r>
          </w:p>
        </w:tc>
        <w:tc>
          <w:tcPr>
            <w:tcW w:w="7139" w:type="dxa"/>
            <w:tcBorders>
              <w:top w:val="single" w:sz="4" w:space="0" w:color="auto"/>
            </w:tcBorders>
            <w:vAlign w:val="center"/>
          </w:tcPr>
          <w:p w:rsidR="00D359BE" w:rsidP="000F3F1A" w14:paraId="40ABD59F" w14:textId="77777777">
            <w:pPr>
              <w:adjustRightInd w:val="0"/>
              <w:snapToGrid w:val="0"/>
              <w:spacing w:line="300" w:lineRule="auto"/>
              <w:jc w:val="center"/>
              <w:rPr>
                <w:rFonts w:ascii="宋体" w:eastAsia="宋体" w:hAnsi="宋体"/>
                <w:szCs w:val="21"/>
              </w:rPr>
            </w:pPr>
            <w:r>
              <w:rPr>
                <w:rFonts w:ascii="宋体" w:eastAsia="宋体" w:hAnsi="宋体"/>
                <w:szCs w:val="21"/>
              </w:rPr>
              <w:t>储油罐、防火堤、泵站、变配电间、</w:t>
            </w:r>
            <w:r>
              <w:rPr>
                <w:rFonts w:ascii="宋体" w:eastAsia="宋体" w:hAnsi="宋体"/>
                <w:szCs w:val="21"/>
              </w:rPr>
              <w:t>消防间</w:t>
            </w:r>
            <w:r>
              <w:rPr>
                <w:rFonts w:ascii="宋体" w:eastAsia="宋体" w:hAnsi="宋体"/>
                <w:szCs w:val="21"/>
              </w:rPr>
              <w:t>等</w:t>
            </w:r>
          </w:p>
        </w:tc>
      </w:tr>
      <w:tr w14:paraId="51F14398" w14:textId="77777777" w:rsidTr="000F3F1A">
        <w:tblPrEx>
          <w:tblW w:w="8538" w:type="dxa"/>
          <w:tblInd w:w="-122" w:type="dxa"/>
          <w:tblCellMar>
            <w:top w:w="34" w:type="dxa"/>
            <w:left w:w="108" w:type="dxa"/>
            <w:right w:w="55" w:type="dxa"/>
          </w:tblCellMar>
          <w:tblLook w:val="04A0"/>
        </w:tblPrEx>
        <w:trPr>
          <w:trHeight w:val="554"/>
        </w:trPr>
        <w:tc>
          <w:tcPr>
            <w:tcW w:w="1399" w:type="dxa"/>
            <w:vAlign w:val="center"/>
          </w:tcPr>
          <w:p w:rsidR="00D359BE" w:rsidP="000F3F1A" w14:paraId="77419C43" w14:textId="77777777">
            <w:pPr>
              <w:adjustRightInd w:val="0"/>
              <w:snapToGrid w:val="0"/>
              <w:spacing w:line="300" w:lineRule="auto"/>
              <w:jc w:val="center"/>
              <w:rPr>
                <w:rFonts w:ascii="宋体" w:eastAsia="宋体" w:hAnsi="宋体"/>
                <w:szCs w:val="21"/>
              </w:rPr>
            </w:pPr>
            <w:r>
              <w:rPr>
                <w:rFonts w:ascii="宋体" w:eastAsia="宋体" w:hAnsi="宋体"/>
                <w:szCs w:val="21"/>
              </w:rPr>
              <w:t>辅助生产区</w:t>
            </w:r>
          </w:p>
        </w:tc>
        <w:tc>
          <w:tcPr>
            <w:tcW w:w="7139" w:type="dxa"/>
            <w:vAlign w:val="center"/>
          </w:tcPr>
          <w:p w:rsidR="00D359BE" w:rsidP="000F3F1A" w14:paraId="2B14A456" w14:textId="77777777">
            <w:pPr>
              <w:adjustRightInd w:val="0"/>
              <w:snapToGrid w:val="0"/>
              <w:spacing w:line="300" w:lineRule="auto"/>
              <w:jc w:val="center"/>
              <w:rPr>
                <w:rFonts w:ascii="宋体" w:eastAsia="宋体" w:hAnsi="宋体"/>
                <w:szCs w:val="21"/>
              </w:rPr>
            </w:pPr>
            <w:r>
              <w:rPr>
                <w:rFonts w:ascii="宋体" w:eastAsia="宋体" w:hAnsi="宋体"/>
                <w:szCs w:val="21"/>
              </w:rPr>
              <w:t>消防泵房、消防车库、变配电间、机修间、器材库、锅炉房、化验室、污水处理设施、计量室、车库等</w:t>
            </w:r>
          </w:p>
        </w:tc>
      </w:tr>
      <w:tr w14:paraId="75E2D482" w14:textId="77777777" w:rsidTr="000F3F1A">
        <w:tblPrEx>
          <w:tblW w:w="8538" w:type="dxa"/>
          <w:tblInd w:w="-122" w:type="dxa"/>
          <w:tblCellMar>
            <w:top w:w="34" w:type="dxa"/>
            <w:left w:w="108" w:type="dxa"/>
            <w:right w:w="55" w:type="dxa"/>
          </w:tblCellMar>
          <w:tblLook w:val="04A0"/>
        </w:tblPrEx>
        <w:trPr>
          <w:trHeight w:val="418"/>
        </w:trPr>
        <w:tc>
          <w:tcPr>
            <w:tcW w:w="1399" w:type="dxa"/>
            <w:vAlign w:val="center"/>
          </w:tcPr>
          <w:p w:rsidR="00D359BE" w:rsidP="000F3F1A" w14:paraId="2FBAFB95" w14:textId="77777777">
            <w:pPr>
              <w:adjustRightInd w:val="0"/>
              <w:snapToGrid w:val="0"/>
              <w:spacing w:line="300" w:lineRule="auto"/>
              <w:ind w:left="72"/>
              <w:jc w:val="center"/>
              <w:rPr>
                <w:rFonts w:ascii="宋体" w:eastAsia="宋体" w:hAnsi="宋体"/>
                <w:szCs w:val="21"/>
              </w:rPr>
            </w:pPr>
            <w:r>
              <w:rPr>
                <w:rFonts w:ascii="宋体" w:eastAsia="宋体" w:hAnsi="宋体"/>
                <w:szCs w:val="21"/>
              </w:rPr>
              <w:t>行政管理区</w:t>
            </w:r>
          </w:p>
        </w:tc>
        <w:tc>
          <w:tcPr>
            <w:tcW w:w="7139" w:type="dxa"/>
            <w:vAlign w:val="center"/>
          </w:tcPr>
          <w:p w:rsidR="00D359BE" w:rsidP="000F3F1A" w14:paraId="3352430B" w14:textId="77777777">
            <w:pPr>
              <w:adjustRightInd w:val="0"/>
              <w:snapToGrid w:val="0"/>
              <w:spacing w:line="300" w:lineRule="auto"/>
              <w:jc w:val="center"/>
              <w:rPr>
                <w:rFonts w:ascii="宋体" w:eastAsia="宋体" w:hAnsi="宋体"/>
                <w:szCs w:val="21"/>
              </w:rPr>
            </w:pPr>
            <w:r>
              <w:rPr>
                <w:rFonts w:ascii="宋体" w:eastAsia="宋体" w:hAnsi="宋体"/>
                <w:szCs w:val="21"/>
              </w:rPr>
              <w:t>办公室、传达室、汽车库、浴室、警卫及消防人员宿舍、集体宿舍、食堂等</w:t>
            </w:r>
          </w:p>
        </w:tc>
      </w:tr>
      <w:tr w14:paraId="0F99C75E" w14:textId="77777777" w:rsidTr="000F3F1A">
        <w:tblPrEx>
          <w:tblW w:w="8538" w:type="dxa"/>
          <w:tblInd w:w="-122" w:type="dxa"/>
          <w:tblCellMar>
            <w:top w:w="34" w:type="dxa"/>
            <w:left w:w="108" w:type="dxa"/>
            <w:right w:w="55" w:type="dxa"/>
          </w:tblCellMar>
          <w:tblLook w:val="04A0"/>
        </w:tblPrEx>
        <w:trPr>
          <w:trHeight w:val="418"/>
        </w:trPr>
        <w:tc>
          <w:tcPr>
            <w:tcW w:w="1399" w:type="dxa"/>
            <w:vAlign w:val="center"/>
          </w:tcPr>
          <w:p w:rsidR="00D359BE" w:rsidP="000F3F1A" w14:paraId="19FF856D" w14:textId="77777777">
            <w:pPr>
              <w:adjustRightInd w:val="0"/>
              <w:snapToGrid w:val="0"/>
              <w:spacing w:line="300" w:lineRule="auto"/>
              <w:ind w:left="72"/>
              <w:jc w:val="center"/>
              <w:rPr>
                <w:rFonts w:ascii="宋体" w:eastAsia="宋体" w:hAnsi="宋体"/>
                <w:szCs w:val="21"/>
              </w:rPr>
            </w:pPr>
            <w:r>
              <w:rPr>
                <w:rFonts w:ascii="宋体" w:eastAsia="宋体" w:hAnsi="宋体" w:hint="eastAsia"/>
                <w:szCs w:val="21"/>
              </w:rPr>
              <w:t>装卸区</w:t>
            </w:r>
          </w:p>
        </w:tc>
        <w:tc>
          <w:tcPr>
            <w:tcW w:w="7139" w:type="dxa"/>
            <w:vAlign w:val="center"/>
          </w:tcPr>
          <w:p w:rsidR="00D359BE" w:rsidP="000F3F1A" w14:paraId="7AAE665C" w14:textId="77777777">
            <w:pPr>
              <w:adjustRightInd w:val="0"/>
              <w:snapToGrid w:val="0"/>
              <w:spacing w:line="300" w:lineRule="auto"/>
              <w:jc w:val="center"/>
              <w:rPr>
                <w:rFonts w:ascii="宋体" w:eastAsia="宋体" w:hAnsi="宋体"/>
                <w:szCs w:val="21"/>
              </w:rPr>
            </w:pPr>
            <w:r>
              <w:rPr>
                <w:rFonts w:ascii="宋体" w:eastAsia="宋体" w:hAnsi="宋体" w:hint="eastAsia"/>
                <w:szCs w:val="21"/>
              </w:rPr>
              <w:t>成品油臂、泵房、变配电间、</w:t>
            </w:r>
            <w:r>
              <w:rPr>
                <w:rFonts w:ascii="宋体" w:eastAsia="宋体" w:hAnsi="宋体" w:hint="eastAsia"/>
                <w:szCs w:val="21"/>
              </w:rPr>
              <w:t>消防间</w:t>
            </w:r>
            <w:r>
              <w:rPr>
                <w:rFonts w:ascii="宋体" w:eastAsia="宋体" w:hAnsi="宋体" w:hint="eastAsia"/>
                <w:szCs w:val="21"/>
              </w:rPr>
              <w:t>等</w:t>
            </w:r>
          </w:p>
        </w:tc>
      </w:tr>
    </w:tbl>
    <w:p w:rsidR="00D359BE" w14:paraId="19822303" w14:textId="77777777">
      <w:pPr>
        <w:rPr>
          <w:rStyle w:val="2"/>
          <w:rFonts w:asciiTheme="minorHAnsi" w:hAnsiTheme="minorHAnsi" w:cstheme="minorBidi"/>
          <w:sz w:val="24"/>
          <w:szCs w:val="44"/>
        </w:rPr>
      </w:pPr>
      <w:bookmarkStart w:id="20" w:name="_Hlk133150530"/>
    </w:p>
    <w:p w:rsidR="00D359BE" w:rsidRPr="001C2293" w:rsidP="001C2293" w14:paraId="3085F6F8" w14:textId="4F1509C3">
      <w:pPr>
        <w:pStyle w:val="Heading2"/>
        <w:adjustRightInd w:val="0"/>
        <w:snapToGrid w:val="0"/>
        <w:spacing w:before="120" w:beforeLines="50" w:after="0" w:line="360" w:lineRule="auto"/>
        <w:rPr>
          <w:rFonts w:ascii="Times New Roman" w:hAnsi="Times New Roman" w:cs="Times New Roman"/>
          <w:b w:val="0"/>
        </w:rPr>
      </w:pPr>
      <w:bookmarkStart w:id="21" w:name="_Toc135660716"/>
      <w:r w:rsidRPr="001C2293">
        <w:rPr>
          <w:rFonts w:ascii="Times New Roman" w:hAnsi="Times New Roman" w:cs="Times New Roman"/>
          <w:b w:val="0"/>
        </w:rPr>
        <w:t>2.2</w:t>
      </w:r>
      <w:r w:rsidRPr="001C2293" w:rsidR="007C777D">
        <w:rPr>
          <w:rFonts w:ascii="Times New Roman" w:hAnsi="Times New Roman" w:cs="Times New Roman" w:hint="eastAsia"/>
          <w:b w:val="0"/>
        </w:rPr>
        <w:t xml:space="preserve"> </w:t>
      </w:r>
      <w:r w:rsidRPr="001C2293">
        <w:rPr>
          <w:rFonts w:ascii="Times New Roman" w:hAnsi="Times New Roman" w:cs="Times New Roman" w:hint="eastAsia"/>
          <w:b w:val="0"/>
        </w:rPr>
        <w:t>油库库区总平面布置的原则</w:t>
      </w:r>
      <w:bookmarkEnd w:id="21"/>
    </w:p>
    <w:bookmarkEnd w:id="20"/>
    <w:p w:rsidR="00D359BE" w:rsidP="000F3F1A" w14:paraId="1E604982" w14:textId="561F03DB">
      <w:pPr>
        <w:adjustRightInd w:val="0"/>
        <w:snapToGrid w:val="0"/>
        <w:spacing w:line="300" w:lineRule="auto"/>
        <w:ind w:firstLine="480" w:firstLineChars="200"/>
        <w:rPr>
          <w:rFonts w:ascii="Times New Roman" w:eastAsia="宋体" w:hAnsi="Times New Roman" w:cs="Times New Roman"/>
          <w:sz w:val="24"/>
          <w:szCs w:val="24"/>
        </w:rPr>
      </w:pPr>
      <w:r>
        <w:rPr>
          <w:rFonts w:ascii="Times New Roman" w:eastAsia="宋体" w:hAnsi="Times New Roman" w:cs="Times New Roman" w:hint="eastAsia"/>
          <w:sz w:val="24"/>
          <w:szCs w:val="24"/>
        </w:rPr>
        <w:t>为能满足油品储藏、周转和输送需求，工序流程科学合理；</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结合空间情况、外部环境，要因地制宜展开站场设计；能够满足防火、检查维修和交通运送的规定，安全可靠性有充分保障；充足思考保护环境及工业卫生安全的规程，降低能源消耗高度重视合理布局，设置紧凑科学合理；严格落实国家现行的标准、规定。</w:t>
      </w:r>
    </w:p>
    <w:p w:rsidR="00D359BE" w:rsidP="000F3F1A" w14:paraId="6EF0C9A7" w14:textId="77777777">
      <w:pPr>
        <w:adjustRightInd w:val="0"/>
        <w:snapToGrid w:val="0"/>
        <w:spacing w:line="300" w:lineRule="auto"/>
        <w:ind w:firstLine="480" w:firstLineChars="200"/>
        <w:rPr>
          <w:rFonts w:ascii="宋体" w:eastAsia="宋体" w:hAnsi="宋体" w:cs="Times New Roman"/>
          <w:sz w:val="24"/>
          <w:szCs w:val="24"/>
        </w:rPr>
        <w:sectPr>
          <w:headerReference w:type="even" r:id="rId60"/>
          <w:headerReference w:type="default" r:id="rId61"/>
          <w:footerReference w:type="even" r:id="rId62"/>
          <w:footerReference w:type="default" r:id="rId63"/>
          <w:headerReference w:type="first" r:id="rId64"/>
          <w:footerReference w:type="first" r:id="rId65"/>
          <w:type w:val="nextPage"/>
          <w:pgSz w:w="11906" w:h="16838"/>
          <w:pgMar w:top="1985" w:right="1418" w:bottom="1418" w:left="1418" w:header="1417" w:footer="1134" w:gutter="0"/>
          <w:pgNumType w:start="5"/>
          <w:cols w:space="425"/>
          <w:titlePg w:val="0"/>
          <w:docGrid w:linePitch="312"/>
        </w:sectPr>
      </w:pPr>
      <w:r>
        <w:rPr>
          <w:rFonts w:ascii="Times New Roman" w:eastAsia="宋体" w:hAnsi="Times New Roman" w:cs="Times New Roman" w:hint="eastAsia"/>
          <w:sz w:val="24"/>
          <w:szCs w:val="24"/>
        </w:rPr>
        <w:t>首站各片区的各个装备、建筑群油汽发散量的多少、着火危险系数、制造操作形式有特别大的差距，有必要按制造控制、起火风险系数、经营管理的特征采取区域划分布局，把独特的片区来进行分隔，严格限制无关人员的进出，利于增强安全生产管理。各片区间应当道路相连，布局合理和防火工作。</w:t>
      </w:r>
    </w:p>
    <w:p w:rsidR="00D359BE" w:rsidRPr="001C2293" w:rsidP="001C2293" w14:paraId="26750C2C" w14:textId="75246F5A">
      <w:pPr>
        <w:pStyle w:val="Heading2"/>
        <w:adjustRightInd w:val="0"/>
        <w:snapToGrid w:val="0"/>
        <w:spacing w:before="120" w:beforeLines="50" w:after="0" w:line="360" w:lineRule="auto"/>
        <w:rPr>
          <w:rFonts w:ascii="Times New Roman" w:hAnsi="Times New Roman" w:cs="Times New Roman"/>
          <w:b w:val="0"/>
        </w:rPr>
      </w:pPr>
      <w:bookmarkStart w:id="22" w:name="_Toc135660717"/>
      <w:r w:rsidRPr="001C2293">
        <w:rPr>
          <w:rFonts w:ascii="Times New Roman" w:hAnsi="Times New Roman" w:cs="Times New Roman"/>
          <w:b w:val="0"/>
        </w:rPr>
        <w:t>2.3</w:t>
      </w:r>
      <w:r w:rsidRPr="001C2293" w:rsidR="007C777D">
        <w:rPr>
          <w:rFonts w:ascii="Times New Roman" w:hAnsi="Times New Roman" w:cs="Times New Roman" w:hint="eastAsia"/>
          <w:b w:val="0"/>
        </w:rPr>
        <w:t xml:space="preserve"> </w:t>
      </w:r>
      <w:r w:rsidRPr="001C2293">
        <w:rPr>
          <w:rFonts w:ascii="Times New Roman" w:hAnsi="Times New Roman" w:cs="Times New Roman" w:hint="eastAsia"/>
          <w:b w:val="0"/>
        </w:rPr>
        <w:t>库内分区及区内设施</w:t>
      </w:r>
      <w:bookmarkEnd w:id="22"/>
    </w:p>
    <w:p w:rsidR="00D359BE" w:rsidP="000F3F1A" w14:paraId="7360BB3D" w14:textId="11D0D705">
      <w:pPr>
        <w:pStyle w:val="Heading3"/>
        <w:adjustRightInd w:val="0"/>
        <w:snapToGrid w:val="0"/>
        <w:spacing w:before="120" w:beforeLines="50" w:after="0" w:line="360" w:lineRule="auto"/>
        <w:rPr>
          <w:rFonts w:ascii="黑体" w:hAnsi="黑体"/>
          <w:b w:val="0"/>
          <w:bCs w:val="0"/>
        </w:rPr>
      </w:pPr>
      <w:bookmarkStart w:id="23" w:name="_Toc135660718"/>
      <w:r w:rsidRPr="00092AA8">
        <w:rPr>
          <w:rFonts w:ascii="Times New Roman" w:hAnsi="Times New Roman" w:cs="Times New Roman"/>
          <w:b w:val="0"/>
          <w:bCs w:val="0"/>
          <w:kern w:val="44"/>
          <w:szCs w:val="24"/>
        </w:rPr>
        <w:t>2.3.1</w:t>
      </w:r>
      <w:r w:rsidR="007C777D">
        <w:rPr>
          <w:rFonts w:ascii="Times New Roman" w:hAnsi="Times New Roman" w:cs="Times New Roman" w:hint="eastAsia"/>
          <w:b w:val="0"/>
          <w:bCs w:val="0"/>
          <w:kern w:val="44"/>
          <w:szCs w:val="24"/>
        </w:rPr>
        <w:t xml:space="preserve"> </w:t>
      </w:r>
      <w:r>
        <w:rPr>
          <w:rFonts w:ascii="黑体" w:hAnsi="黑体"/>
          <w:b w:val="0"/>
          <w:bCs w:val="0"/>
        </w:rPr>
        <w:t>储油区</w:t>
      </w:r>
      <w:bookmarkEnd w:id="23"/>
    </w:p>
    <w:p w:rsidR="00D359BE" w:rsidP="000F3F1A" w14:paraId="60FC0965" w14:textId="76AA3F1C">
      <w:pPr>
        <w:pStyle w:val="NormalWeb"/>
        <w:adjustRightInd w:val="0"/>
        <w:snapToGrid w:val="0"/>
        <w:spacing w:before="0" w:beforeAutospacing="0" w:after="0" w:afterAutospacing="0" w:line="300" w:lineRule="auto"/>
        <w:ind w:firstLine="480" w:firstLineChars="200"/>
        <w:rPr>
          <w:rFonts w:ascii="Times New Roman" w:hAnsi="Times New Roman" w:cs="Times New Roman"/>
        </w:rPr>
      </w:pPr>
      <w:r>
        <w:rPr>
          <w:rFonts w:ascii="Times New Roman" w:hAnsi="Times New Roman" w:cs="Times New Roman"/>
        </w:rPr>
        <w:t>储油区主要是指储存油料的建筑物，它包括油罐、油管、阀门、管线、通气管、人孔、呼吸阀、防雷设施等。储油区一般设在地形平坦的区域，便于布置消防设施。</w:t>
      </w:r>
    </w:p>
    <w:p w:rsidR="00D359BE" w:rsidP="000F3F1A" w14:paraId="400159CF" w14:textId="77777777">
      <w:pPr>
        <w:pStyle w:val="NormalWeb"/>
        <w:adjustRightInd w:val="0"/>
        <w:snapToGrid w:val="0"/>
        <w:spacing w:before="0" w:beforeAutospacing="0" w:after="0" w:afterAutospacing="0" w:line="300" w:lineRule="auto"/>
        <w:rPr>
          <w:rFonts w:ascii="Times New Roman" w:hAnsi="Times New Roman" w:cs="Times New Roman"/>
        </w:rPr>
      </w:pPr>
      <w:r>
        <w:rPr>
          <w:rFonts w:ascii="Times New Roman" w:hAnsi="Times New Roman" w:cs="Times New Roman"/>
        </w:rPr>
        <w:t>油罐：油罐是油库的主要储存设施，它的容积很大，如大容量的油罐，其储油量可达</w:t>
      </w:r>
      <w:r>
        <w:rPr>
          <w:rFonts w:ascii="Times New Roman" w:hAnsi="Times New Roman" w:cs="Times New Roman"/>
        </w:rPr>
        <w:t>10000~50000m</w:t>
      </w:r>
      <w:r>
        <w:rPr>
          <w:rFonts w:ascii="Times New Roman" w:hAnsi="Times New Roman" w:cs="Times New Roman"/>
          <w:vertAlign w:val="superscript"/>
        </w:rPr>
        <w:t>3</w:t>
      </w:r>
      <w:r>
        <w:rPr>
          <w:rFonts w:ascii="Times New Roman" w:hAnsi="Times New Roman" w:cs="Times New Roman"/>
        </w:rPr>
        <w:t>。油罐一般分为固定式和浮顶式两种。固定式油罐与油罐车相连，一般高出地面</w:t>
      </w:r>
      <w:r>
        <w:rPr>
          <w:rFonts w:ascii="Times New Roman" w:hAnsi="Times New Roman" w:cs="Times New Roman"/>
        </w:rPr>
        <w:t>10m</w:t>
      </w:r>
      <w:r>
        <w:rPr>
          <w:rFonts w:ascii="Times New Roman" w:hAnsi="Times New Roman" w:cs="Times New Roman"/>
        </w:rPr>
        <w:t>以上；</w:t>
      </w:r>
      <w:r>
        <w:rPr>
          <w:rFonts w:ascii="Times New Roman" w:hAnsi="Times New Roman" w:cs="Times New Roman"/>
        </w:rPr>
        <w:t>浮</w:t>
      </w:r>
      <w:r>
        <w:rPr>
          <w:rFonts w:ascii="Times New Roman" w:hAnsi="Times New Roman" w:cs="Times New Roman"/>
        </w:rPr>
        <w:t>顶式油罐一般高出地面</w:t>
      </w:r>
      <w:r>
        <w:rPr>
          <w:rFonts w:ascii="Times New Roman" w:hAnsi="Times New Roman" w:cs="Times New Roman"/>
        </w:rPr>
        <w:t>50m</w:t>
      </w:r>
      <w:r>
        <w:rPr>
          <w:rFonts w:ascii="Times New Roman" w:hAnsi="Times New Roman" w:cs="Times New Roman"/>
        </w:rPr>
        <w:t>以上。油罐内有罐壁，罐顶上有呼吸阀和人孔等。</w:t>
      </w:r>
    </w:p>
    <w:p w:rsidR="00D359BE" w:rsidP="000F3F1A" w14:paraId="0EDF262E" w14:textId="77777777">
      <w:pPr>
        <w:pStyle w:val="NormalWeb"/>
        <w:adjustRightInd w:val="0"/>
        <w:snapToGrid w:val="0"/>
        <w:spacing w:before="0" w:beforeAutospacing="0" w:after="0" w:afterAutospacing="0" w:line="300" w:lineRule="auto"/>
        <w:rPr>
          <w:rFonts w:ascii="Times New Roman" w:hAnsi="Times New Roman" w:cs="Times New Roman"/>
        </w:rPr>
      </w:pPr>
      <w:r>
        <w:rPr>
          <w:rFonts w:ascii="Times New Roman" w:hAnsi="Times New Roman" w:cs="Times New Roman"/>
        </w:rPr>
        <w:t>油管：油管是连接油库与油库之间输送油品的管道，主要起输油和输送的作用</w:t>
      </w:r>
      <w:r>
        <w:rPr>
          <w:rFonts w:ascii="Times New Roman" w:hAnsi="Times New Roman" w:cs="Times New Roman" w:hint="eastAsia"/>
        </w:rPr>
        <w:t>。</w:t>
      </w:r>
    </w:p>
    <w:p w:rsidR="00D359BE" w:rsidP="000F3F1A" w14:paraId="21C86D3B" w14:textId="77777777">
      <w:pPr>
        <w:pStyle w:val="NormalWeb"/>
        <w:adjustRightInd w:val="0"/>
        <w:snapToGrid w:val="0"/>
        <w:spacing w:before="0" w:beforeAutospacing="0" w:after="0" w:afterAutospacing="0" w:line="300" w:lineRule="auto"/>
        <w:rPr>
          <w:rFonts w:ascii="Times New Roman" w:hAnsi="Times New Roman" w:cs="Times New Roman"/>
        </w:rPr>
      </w:pPr>
      <w:r>
        <w:rPr>
          <w:rFonts w:ascii="Times New Roman" w:hAnsi="Times New Roman" w:cs="Times New Roman"/>
        </w:rPr>
        <w:t>储油区布置具体注意事项</w:t>
      </w:r>
      <w:r>
        <w:rPr>
          <w:rFonts w:ascii="Times New Roman" w:hAnsi="Times New Roman" w:cs="Times New Roman" w:hint="eastAsia"/>
        </w:rPr>
        <w:t>如下：</w:t>
      </w:r>
    </w:p>
    <w:p w:rsidR="00D359BE" w:rsidP="000F3F1A" w14:paraId="211344F4" w14:textId="271BCDAD">
      <w:pPr>
        <w:pStyle w:val="NormalWeb"/>
        <w:adjustRightInd w:val="0"/>
        <w:snapToGrid w:val="0"/>
        <w:spacing w:before="0" w:beforeAutospacing="0" w:after="0" w:afterAutospacing="0" w:line="300" w:lineRule="auto"/>
        <w:rPr>
          <w:rFonts w:ascii="Times New Roman" w:hAnsi="Times New Roman" w:cs="Times New Roman"/>
        </w:rPr>
      </w:pPr>
      <w:r>
        <w:rPr>
          <w:rFonts w:ascii="Times New Roman" w:hAnsi="Times New Roman" w:cs="Times New Roman"/>
        </w:rPr>
        <w:t>油罐区内布置要避开容易产生火花的地方，如高大的树木、花草，油库围墙、烟囱等。在油库围墙、烟囱等附近不宜布置易产生火花的建筑物。</w:t>
      </w:r>
    </w:p>
    <w:p w:rsidR="00D359BE" w:rsidP="000F3F1A" w14:paraId="7B491A48" w14:textId="70AE3DA9">
      <w:pPr>
        <w:pStyle w:val="NormalWeb"/>
        <w:adjustRightInd w:val="0"/>
        <w:snapToGrid w:val="0"/>
        <w:spacing w:before="0" w:beforeAutospacing="0" w:after="0" w:afterAutospacing="0" w:line="300" w:lineRule="auto"/>
        <w:rPr>
          <w:rFonts w:ascii="Times New Roman" w:hAnsi="Times New Roman" w:cs="Times New Roman"/>
        </w:rPr>
      </w:pPr>
      <w:r>
        <w:rPr>
          <w:rFonts w:ascii="Times New Roman" w:hAnsi="Times New Roman" w:cs="Times New Roman"/>
        </w:rPr>
        <w:t>油罐区内不应布置有可能产生爆炸危险的储存设施，如氢气瓶、液化石油气瓶、汽油瓶等。</w:t>
      </w:r>
    </w:p>
    <w:p w:rsidR="00D359BE" w:rsidP="000F3F1A" w14:paraId="3E822D99" w14:textId="67807819">
      <w:pPr>
        <w:pStyle w:val="NormalWeb"/>
        <w:adjustRightInd w:val="0"/>
        <w:snapToGrid w:val="0"/>
        <w:spacing w:before="0" w:beforeAutospacing="0" w:after="0" w:afterAutospacing="0" w:line="300" w:lineRule="auto"/>
        <w:rPr>
          <w:rFonts w:ascii="Times New Roman" w:hAnsi="Times New Roman" w:cs="Times New Roman"/>
        </w:rPr>
      </w:pPr>
      <w:r>
        <w:rPr>
          <w:rFonts w:ascii="Times New Roman" w:hAnsi="Times New Roman" w:cs="Times New Roman"/>
        </w:rPr>
        <w:t>油罐区内不应设置可能产生静电的设施，如静力绳、静电接地线、油槽等。</w:t>
      </w:r>
    </w:p>
    <w:p w:rsidR="00D359BE" w:rsidP="000F3F1A" w14:paraId="231C20B9" w14:textId="468C5317">
      <w:pPr>
        <w:pStyle w:val="NormalWeb"/>
        <w:adjustRightInd w:val="0"/>
        <w:snapToGrid w:val="0"/>
        <w:spacing w:before="0" w:beforeAutospacing="0" w:after="0" w:afterAutospacing="0" w:line="300" w:lineRule="auto"/>
        <w:rPr>
          <w:rFonts w:ascii="Times New Roman" w:hAnsi="Times New Roman" w:cs="Times New Roman"/>
        </w:rPr>
      </w:pPr>
      <w:r>
        <w:rPr>
          <w:rFonts w:ascii="Times New Roman" w:hAnsi="Times New Roman" w:cs="Times New Roman"/>
        </w:rPr>
        <w:t>油罐区内不应设置可能产生可燃气体的管道。如输油管道、油槽车和管线等。</w:t>
      </w:r>
    </w:p>
    <w:p w:rsidR="00D359BE" w:rsidRPr="000F3F1A" w:rsidP="000F3F1A" w14:paraId="09202065" w14:textId="13D58FF2">
      <w:pPr>
        <w:pStyle w:val="Heading3"/>
        <w:adjustRightInd w:val="0"/>
        <w:snapToGrid w:val="0"/>
        <w:spacing w:before="120" w:beforeLines="50" w:after="0" w:line="360" w:lineRule="auto"/>
        <w:rPr>
          <w:rFonts w:ascii="Times New Roman" w:hAnsi="Times New Roman" w:cs="Times New Roman"/>
          <w:b w:val="0"/>
          <w:bCs w:val="0"/>
          <w:kern w:val="44"/>
          <w:szCs w:val="24"/>
        </w:rPr>
      </w:pPr>
      <w:bookmarkStart w:id="24" w:name="_Toc135660719"/>
      <w:r w:rsidRPr="00092AA8">
        <w:rPr>
          <w:rFonts w:ascii="Times New Roman" w:hAnsi="Times New Roman" w:cs="Times New Roman"/>
          <w:b w:val="0"/>
          <w:bCs w:val="0"/>
          <w:kern w:val="44"/>
          <w:szCs w:val="24"/>
        </w:rPr>
        <w:t>2.3.2</w:t>
      </w:r>
      <w:r w:rsidR="007C777D">
        <w:rPr>
          <w:rFonts w:ascii="Times New Roman" w:hAnsi="Times New Roman" w:cs="Times New Roman" w:hint="eastAsia"/>
          <w:b w:val="0"/>
          <w:bCs w:val="0"/>
          <w:kern w:val="44"/>
          <w:szCs w:val="24"/>
        </w:rPr>
        <w:t xml:space="preserve"> </w:t>
      </w:r>
      <w:r w:rsidRPr="000F3F1A">
        <w:rPr>
          <w:rFonts w:ascii="Times New Roman" w:hAnsi="Times New Roman" w:cs="Times New Roman"/>
          <w:b w:val="0"/>
          <w:bCs w:val="0"/>
          <w:kern w:val="44"/>
          <w:szCs w:val="24"/>
        </w:rPr>
        <w:t>辅助生产区</w:t>
      </w:r>
      <w:bookmarkEnd w:id="24"/>
    </w:p>
    <w:p w:rsidR="00D359BE" w:rsidP="000F3F1A" w14:paraId="3087653C" w14:textId="77777777">
      <w:pPr>
        <w:adjustRightInd w:val="0"/>
        <w:snapToGrid w:val="0"/>
        <w:spacing w:line="30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辅助生产区是为生产服务的，其有关设施具体如下：</w:t>
      </w:r>
    </w:p>
    <w:p w:rsidR="00D359BE" w:rsidRPr="000F3F1A" w:rsidP="000F3F1A" w14:paraId="55437E85" w14:textId="0C0C3CC1">
      <w:pPr>
        <w:widowControl/>
        <w:adjustRightInd w:val="0"/>
        <w:snapToGrid w:val="0"/>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⑴</w:t>
      </w:r>
      <w:r>
        <w:rPr>
          <w:rFonts w:ascii="Times New Roman" w:eastAsia="宋体" w:hAnsi="Times New Roman" w:cs="Times New Roman" w:hint="eastAsia"/>
          <w:kern w:val="0"/>
          <w:sz w:val="24"/>
          <w:szCs w:val="24"/>
        </w:rPr>
        <w:t xml:space="preserve"> </w:t>
      </w:r>
      <w:r w:rsidRPr="000F3F1A" w:rsidR="00C30E28">
        <w:rPr>
          <w:rFonts w:ascii="Times New Roman" w:eastAsia="宋体" w:hAnsi="Times New Roman" w:cs="Times New Roman" w:hint="eastAsia"/>
          <w:kern w:val="0"/>
          <w:sz w:val="24"/>
          <w:szCs w:val="24"/>
        </w:rPr>
        <w:t>污水处理器</w:t>
      </w:r>
    </w:p>
    <w:p w:rsidR="00D359BE" w:rsidP="000F3F1A" w14:paraId="19599859" w14:textId="77777777">
      <w:pPr>
        <w:widowControl/>
        <w:adjustRightInd w:val="0"/>
        <w:snapToGrid w:val="0"/>
        <w:spacing w:line="300" w:lineRule="auto"/>
        <w:ind w:firstLine="480" w:firstLineChars="200"/>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污水处理器</w:t>
      </w:r>
      <w:r>
        <w:rPr>
          <w:rFonts w:ascii="Times New Roman" w:eastAsia="宋体" w:hAnsi="Times New Roman" w:cs="Times New Roman"/>
          <w:kern w:val="0"/>
          <w:sz w:val="24"/>
          <w:szCs w:val="24"/>
        </w:rPr>
        <w:t>是</w:t>
      </w:r>
      <w:r>
        <w:rPr>
          <w:rFonts w:ascii="Times New Roman" w:eastAsia="宋体" w:hAnsi="Times New Roman" w:cs="Times New Roman" w:hint="eastAsia"/>
          <w:kern w:val="0"/>
          <w:sz w:val="24"/>
          <w:szCs w:val="24"/>
        </w:rPr>
        <w:t>辅助生产</w:t>
      </w:r>
      <w:r>
        <w:rPr>
          <w:rFonts w:ascii="Times New Roman" w:eastAsia="宋体" w:hAnsi="Times New Roman" w:cs="Times New Roman"/>
          <w:kern w:val="0"/>
          <w:sz w:val="24"/>
          <w:szCs w:val="24"/>
        </w:rPr>
        <w:t>区的重要设备，其主要作用是：</w:t>
      </w:r>
      <w:r>
        <w:rPr>
          <w:rFonts w:ascii="Times New Roman" w:eastAsia="宋体" w:hAnsi="Times New Roman" w:cs="Times New Roman" w:hint="eastAsia"/>
          <w:kern w:val="0"/>
          <w:sz w:val="24"/>
          <w:szCs w:val="24"/>
        </w:rPr>
        <w:t xml:space="preserve"> </w:t>
      </w:r>
    </w:p>
    <w:p w:rsidR="00D359BE" w:rsidRPr="000F3F1A" w:rsidP="000F3F1A" w14:paraId="1D36549E" w14:textId="0AD03204">
      <w:pPr>
        <w:widowControl/>
        <w:adjustRightInd w:val="0"/>
        <w:snapToGrid w:val="0"/>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①</w:t>
      </w:r>
      <w:r>
        <w:rPr>
          <w:rFonts w:ascii="Times New Roman" w:eastAsia="宋体" w:hAnsi="Times New Roman" w:cs="Times New Roman" w:hint="eastAsia"/>
          <w:kern w:val="0"/>
          <w:sz w:val="24"/>
          <w:szCs w:val="24"/>
        </w:rPr>
        <w:t xml:space="preserve"> </w:t>
      </w:r>
      <w:r w:rsidRPr="000F3F1A" w:rsidR="00C30E28">
        <w:rPr>
          <w:rFonts w:ascii="Times New Roman" w:eastAsia="宋体" w:hAnsi="Times New Roman" w:cs="Times New Roman"/>
          <w:kern w:val="0"/>
          <w:sz w:val="24"/>
          <w:szCs w:val="24"/>
        </w:rPr>
        <w:t>保证储罐区内油品的质量和数量，并使油库的工作环境符合安全卫生要求；</w:t>
      </w:r>
    </w:p>
    <w:p w:rsidR="00D359BE" w:rsidRPr="000F3F1A" w:rsidP="000F3F1A" w14:paraId="4858F369" w14:textId="667533BD">
      <w:pPr>
        <w:widowControl/>
        <w:adjustRightInd w:val="0"/>
        <w:snapToGrid w:val="0"/>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②</w:t>
      </w:r>
      <w:r>
        <w:rPr>
          <w:rFonts w:ascii="Times New Roman" w:eastAsia="宋体" w:hAnsi="Times New Roman" w:cs="Times New Roman" w:hint="eastAsia"/>
          <w:kern w:val="0"/>
          <w:sz w:val="24"/>
          <w:szCs w:val="24"/>
        </w:rPr>
        <w:t xml:space="preserve"> </w:t>
      </w:r>
      <w:r w:rsidRPr="000F3F1A" w:rsidR="00C30E28">
        <w:rPr>
          <w:rFonts w:ascii="Times New Roman" w:eastAsia="宋体" w:hAnsi="Times New Roman" w:cs="Times New Roman"/>
          <w:kern w:val="0"/>
          <w:sz w:val="24"/>
          <w:szCs w:val="24"/>
        </w:rPr>
        <w:t>防止油品在储罐区内蒸发；</w:t>
      </w:r>
    </w:p>
    <w:p w:rsidR="00D359BE" w:rsidRPr="000F3F1A" w:rsidP="000F3F1A" w14:paraId="177EDDF6" w14:textId="1CC4761A">
      <w:pPr>
        <w:widowControl/>
        <w:adjustRightInd w:val="0"/>
        <w:snapToGrid w:val="0"/>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③</w:t>
      </w:r>
      <w:r>
        <w:rPr>
          <w:rFonts w:ascii="Times New Roman" w:eastAsia="宋体" w:hAnsi="Times New Roman" w:cs="Times New Roman" w:hint="eastAsia"/>
          <w:kern w:val="0"/>
          <w:sz w:val="24"/>
          <w:szCs w:val="24"/>
        </w:rPr>
        <w:t xml:space="preserve"> </w:t>
      </w:r>
      <w:r w:rsidRPr="000F3F1A" w:rsidR="00C30E28">
        <w:rPr>
          <w:rFonts w:ascii="Times New Roman" w:eastAsia="宋体" w:hAnsi="Times New Roman" w:cs="Times New Roman"/>
          <w:kern w:val="0"/>
          <w:sz w:val="24"/>
          <w:szCs w:val="24"/>
        </w:rPr>
        <w:t>提高储罐的使用寿命，延长储罐使用寿命，降低维修费用；</w:t>
      </w:r>
    </w:p>
    <w:p w:rsidR="00D359BE" w:rsidRPr="000F3F1A" w:rsidP="000F3F1A" w14:paraId="7915DF89" w14:textId="69028EAE">
      <w:pPr>
        <w:widowControl/>
        <w:adjustRightInd w:val="0"/>
        <w:snapToGrid w:val="0"/>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⑵</w:t>
      </w:r>
      <w:r>
        <w:rPr>
          <w:rFonts w:ascii="Times New Roman" w:eastAsia="宋体" w:hAnsi="Times New Roman" w:cs="Times New Roman" w:hint="eastAsia"/>
          <w:kern w:val="0"/>
          <w:sz w:val="24"/>
          <w:szCs w:val="24"/>
        </w:rPr>
        <w:t xml:space="preserve"> </w:t>
      </w:r>
      <w:r w:rsidRPr="000F3F1A" w:rsidR="00C30E28">
        <w:rPr>
          <w:rFonts w:ascii="Times New Roman" w:eastAsia="宋体" w:hAnsi="Times New Roman" w:cs="Times New Roman"/>
          <w:kern w:val="0"/>
          <w:sz w:val="24"/>
          <w:szCs w:val="24"/>
        </w:rPr>
        <w:t>泵房</w:t>
      </w:r>
    </w:p>
    <w:p w:rsidR="00D359BE" w:rsidP="000F3F1A" w14:paraId="572D7B50" w14:textId="77777777">
      <w:pPr>
        <w:widowControl/>
        <w:adjustRightInd w:val="0"/>
        <w:snapToGrid w:val="0"/>
        <w:spacing w:line="300" w:lineRule="auto"/>
        <w:ind w:firstLine="480" w:firstLineChars="20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泵房包括：储罐油泵、管道泵、电动机和控制装置等。其主要作用是：</w:t>
      </w:r>
    </w:p>
    <w:p w:rsidR="00D359BE" w:rsidRPr="000F3F1A" w:rsidP="000F3F1A" w14:paraId="06E07F50" w14:textId="16CC17DE">
      <w:pPr>
        <w:widowControl/>
        <w:adjustRightInd w:val="0"/>
        <w:snapToGrid w:val="0"/>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①</w:t>
      </w:r>
      <w:r>
        <w:rPr>
          <w:rFonts w:ascii="Times New Roman" w:eastAsia="宋体" w:hAnsi="Times New Roman" w:cs="Times New Roman" w:hint="eastAsia"/>
          <w:kern w:val="0"/>
          <w:sz w:val="24"/>
          <w:szCs w:val="24"/>
        </w:rPr>
        <w:t xml:space="preserve"> </w:t>
      </w:r>
      <w:r w:rsidRPr="000F3F1A" w:rsidR="00C30E28">
        <w:rPr>
          <w:rFonts w:ascii="Times New Roman" w:eastAsia="宋体" w:hAnsi="Times New Roman" w:cs="Times New Roman"/>
          <w:kern w:val="0"/>
          <w:sz w:val="24"/>
          <w:szCs w:val="24"/>
        </w:rPr>
        <w:t>满足生产和储存要求；</w:t>
      </w:r>
    </w:p>
    <w:p w:rsidR="00D359BE" w:rsidRPr="000F3F1A" w:rsidP="000F3F1A" w14:paraId="6D80CBF8" w14:textId="0CC4A229">
      <w:pPr>
        <w:widowControl/>
        <w:adjustRightInd w:val="0"/>
        <w:snapToGrid w:val="0"/>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②</w:t>
      </w:r>
      <w:r>
        <w:rPr>
          <w:rFonts w:ascii="Times New Roman" w:eastAsia="宋体" w:hAnsi="Times New Roman" w:cs="Times New Roman" w:hint="eastAsia"/>
          <w:kern w:val="0"/>
          <w:sz w:val="24"/>
          <w:szCs w:val="24"/>
        </w:rPr>
        <w:t xml:space="preserve"> </w:t>
      </w:r>
      <w:r w:rsidRPr="000F3F1A" w:rsidR="00C30E28">
        <w:rPr>
          <w:rFonts w:ascii="Times New Roman" w:eastAsia="宋体" w:hAnsi="Times New Roman" w:cs="Times New Roman"/>
          <w:kern w:val="0"/>
          <w:sz w:val="24"/>
          <w:szCs w:val="24"/>
        </w:rPr>
        <w:t>保证油库的正常生产和安全运行；</w:t>
      </w:r>
    </w:p>
    <w:p w:rsidR="00D359BE" w:rsidRPr="000F3F1A" w:rsidP="000F3F1A" w14:paraId="011DD3DF" w14:textId="4ADE90C1">
      <w:pPr>
        <w:widowControl/>
        <w:adjustRightInd w:val="0"/>
        <w:snapToGrid w:val="0"/>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③</w:t>
      </w:r>
      <w:r>
        <w:rPr>
          <w:rFonts w:ascii="Times New Roman" w:eastAsia="宋体" w:hAnsi="Times New Roman" w:cs="Times New Roman" w:hint="eastAsia"/>
          <w:kern w:val="0"/>
          <w:sz w:val="24"/>
          <w:szCs w:val="24"/>
        </w:rPr>
        <w:t xml:space="preserve"> </w:t>
      </w:r>
      <w:r w:rsidRPr="000F3F1A" w:rsidR="00C30E28">
        <w:rPr>
          <w:rFonts w:ascii="Times New Roman" w:eastAsia="宋体" w:hAnsi="Times New Roman" w:cs="Times New Roman"/>
          <w:kern w:val="0"/>
          <w:sz w:val="24"/>
          <w:szCs w:val="24"/>
        </w:rPr>
        <w:t>保证输送管道上的流量和压力。</w:t>
      </w:r>
    </w:p>
    <w:p w:rsidR="00D359BE" w:rsidRPr="000F3F1A" w:rsidP="000F3F1A" w14:paraId="7055BF57" w14:textId="02FFE214">
      <w:pPr>
        <w:pStyle w:val="Heading3"/>
        <w:adjustRightInd w:val="0"/>
        <w:snapToGrid w:val="0"/>
        <w:spacing w:before="120" w:beforeLines="50" w:after="0" w:line="360" w:lineRule="auto"/>
        <w:rPr>
          <w:rFonts w:ascii="Times New Roman" w:hAnsi="Times New Roman" w:cs="Times New Roman"/>
          <w:b w:val="0"/>
          <w:bCs w:val="0"/>
          <w:kern w:val="44"/>
          <w:szCs w:val="24"/>
        </w:rPr>
      </w:pPr>
      <w:bookmarkStart w:id="25" w:name="_Toc135660720"/>
      <w:r w:rsidRPr="00092AA8">
        <w:rPr>
          <w:rFonts w:ascii="Times New Roman" w:hAnsi="Times New Roman" w:cs="Times New Roman"/>
          <w:b w:val="0"/>
          <w:bCs w:val="0"/>
          <w:kern w:val="44"/>
          <w:szCs w:val="24"/>
        </w:rPr>
        <w:t>2.3.3</w:t>
      </w:r>
      <w:r w:rsidR="007C777D">
        <w:rPr>
          <w:rFonts w:ascii="Times New Roman" w:hAnsi="Times New Roman" w:cs="Times New Roman" w:hint="eastAsia"/>
          <w:b w:val="0"/>
          <w:bCs w:val="0"/>
          <w:kern w:val="44"/>
          <w:szCs w:val="24"/>
        </w:rPr>
        <w:t xml:space="preserve"> </w:t>
      </w:r>
      <w:r w:rsidRPr="000F3F1A">
        <w:rPr>
          <w:rFonts w:ascii="Times New Roman" w:hAnsi="Times New Roman" w:cs="Times New Roman" w:hint="eastAsia"/>
          <w:b w:val="0"/>
          <w:bCs w:val="0"/>
          <w:kern w:val="44"/>
          <w:szCs w:val="24"/>
        </w:rPr>
        <w:t>行政管理区</w:t>
      </w:r>
      <w:bookmarkEnd w:id="25"/>
    </w:p>
    <w:p w:rsidR="000F3F1A" w:rsidP="000F3F1A" w14:paraId="71735A24" w14:textId="77777777">
      <w:pPr>
        <w:pStyle w:val="NormalWeb"/>
        <w:adjustRightInd w:val="0"/>
        <w:snapToGrid w:val="0"/>
        <w:spacing w:before="0" w:beforeAutospacing="0" w:after="0" w:afterAutospacing="0" w:line="300" w:lineRule="auto"/>
        <w:ind w:firstLine="480" w:firstLineChars="200"/>
        <w:rPr>
          <w:rFonts w:ascii="Times New Roman" w:hAnsi="Times New Roman" w:cs="Times New Roman"/>
        </w:rPr>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985" w:right="1418" w:bottom="1418" w:left="1418" w:header="1417" w:footer="1134" w:gutter="0"/>
          <w:pgNumType w:start="6"/>
          <w:cols w:space="425"/>
          <w:titlePg w:val="0"/>
          <w:docGrid w:linePitch="312"/>
        </w:sectPr>
      </w:pPr>
      <w:r>
        <w:rPr>
          <w:rFonts w:ascii="Times New Roman" w:hAnsi="Times New Roman" w:cs="Times New Roman"/>
        </w:rPr>
        <w:t>行政管理区布置在油库主要出入口附近，并用道路和储油区隔离开，油库内行政管理区分为</w:t>
      </w:r>
      <w:r>
        <w:rPr>
          <w:rFonts w:ascii="Times New Roman" w:hAnsi="Times New Roman" w:cs="Times New Roman"/>
        </w:rPr>
        <w:t>3</w:t>
      </w:r>
      <w:r>
        <w:rPr>
          <w:rFonts w:ascii="Times New Roman" w:hAnsi="Times New Roman" w:cs="Times New Roman"/>
        </w:rPr>
        <w:t>个区域，分别为：</w:t>
      </w:r>
    </w:p>
    <w:p w:rsidR="000F3F1A" w:rsidP="00CA7143" w14:paraId="53E30D40" w14:textId="37F568EE">
      <w:pPr>
        <w:pStyle w:val="NormalWeb"/>
        <w:adjustRightInd w:val="0"/>
        <w:snapToGrid w:val="0"/>
        <w:spacing w:before="0" w:beforeAutospacing="0" w:after="0" w:afterAutospacing="0" w:line="300" w:lineRule="auto"/>
        <w:rPr>
          <w:rFonts w:ascii="Times New Roman" w:hAnsi="Times New Roman" w:cs="Times New Roman"/>
        </w:rPr>
      </w:pPr>
      <w:r>
        <w:rPr>
          <w:rFonts w:cs="Times New Roman" w:hint="eastAsia"/>
        </w:rPr>
        <w:t>⑴</w:t>
      </w:r>
      <w:r>
        <w:rPr>
          <w:rFonts w:ascii="Times New Roman" w:hAnsi="Times New Roman" w:cs="Times New Roman" w:hint="eastAsia"/>
        </w:rPr>
        <w:t xml:space="preserve"> </w:t>
      </w:r>
      <w:r w:rsidR="00C30E28">
        <w:rPr>
          <w:rFonts w:ascii="Times New Roman" w:hAnsi="Times New Roman" w:cs="Times New Roman"/>
        </w:rPr>
        <w:t>油库办公楼</w:t>
      </w:r>
      <w:r w:rsidR="00C30E28">
        <w:rPr>
          <w:rFonts w:ascii="Times New Roman" w:hAnsi="Times New Roman" w:cs="Times New Roman" w:hint="eastAsia"/>
        </w:rPr>
        <w:t>：</w:t>
      </w:r>
      <w:r w:rsidR="00C30E28">
        <w:rPr>
          <w:rFonts w:ascii="Times New Roman" w:hAnsi="Times New Roman" w:cs="Times New Roman"/>
        </w:rPr>
        <w:t>主要用于油库的办公，存放油库人员的生活用品及车辆，在办公楼的中间有一个消防水池，旁边有两个消防栓，并配有消防水带连接。</w:t>
      </w:r>
    </w:p>
    <w:p w:rsidR="00D359BE" w:rsidP="000F3F1A" w14:paraId="1F73BA80" w14:textId="653432BA">
      <w:pPr>
        <w:pStyle w:val="NormalWeb"/>
        <w:adjustRightInd w:val="0"/>
        <w:snapToGrid w:val="0"/>
        <w:spacing w:before="0" w:beforeAutospacing="0" w:after="0" w:afterAutospacing="0" w:line="300" w:lineRule="auto"/>
        <w:rPr>
          <w:rFonts w:ascii="Times New Roman" w:hAnsi="Times New Roman" w:cs="Times New Roman"/>
        </w:rPr>
      </w:pPr>
      <w:r>
        <w:rPr>
          <w:rFonts w:cs="Times New Roman" w:hint="eastAsia"/>
        </w:rPr>
        <w:t>⑵</w:t>
      </w:r>
      <w:r>
        <w:rPr>
          <w:rFonts w:ascii="Times New Roman" w:hAnsi="Times New Roman" w:cs="Times New Roman" w:hint="eastAsia"/>
        </w:rPr>
        <w:t xml:space="preserve"> </w:t>
      </w:r>
      <w:r w:rsidR="00C30E28">
        <w:rPr>
          <w:rFonts w:ascii="Times New Roman" w:hAnsi="Times New Roman" w:cs="Times New Roman"/>
        </w:rPr>
        <w:t>油库业务楼</w:t>
      </w:r>
      <w:r w:rsidR="00C30E28">
        <w:rPr>
          <w:rFonts w:ascii="Times New Roman" w:hAnsi="Times New Roman" w:cs="Times New Roman" w:hint="eastAsia"/>
        </w:rPr>
        <w:t>：</w:t>
      </w:r>
      <w:r w:rsidR="00C30E28">
        <w:rPr>
          <w:rFonts w:ascii="Times New Roman" w:hAnsi="Times New Roman" w:cs="Times New Roman"/>
        </w:rPr>
        <w:t>主要是为油库日常的业务办理而建。在业务楼中间有一个小广场，里面设有休息区，在休息区里有沙发和桌子可以供员工休息。</w:t>
      </w:r>
    </w:p>
    <w:p w:rsidR="00D359BE" w:rsidP="000F3F1A" w14:paraId="35C68BA7" w14:textId="5678C8CF">
      <w:pPr>
        <w:widowControl/>
        <w:tabs>
          <w:tab w:val="left" w:pos="360"/>
        </w:tabs>
        <w:spacing w:line="300" w:lineRule="auto"/>
        <w:jc w:val="left"/>
        <w:rPr>
          <w:rFonts w:ascii="Times New Roman" w:eastAsia="宋体" w:hAnsi="Times New Roman" w:cs="Times New Roman"/>
          <w:kern w:val="0"/>
          <w:sz w:val="24"/>
          <w:szCs w:val="24"/>
        </w:rPr>
      </w:pPr>
      <w:r>
        <w:rPr>
          <w:rFonts w:ascii="宋体" w:eastAsia="宋体" w:hAnsi="宋体" w:cs="Times New Roman" w:hint="eastAsia"/>
          <w:kern w:val="0"/>
          <w:sz w:val="24"/>
          <w:szCs w:val="24"/>
        </w:rPr>
        <w:t>⑶</w:t>
      </w:r>
      <w:r>
        <w:rPr>
          <w:rFonts w:ascii="Times New Roman" w:eastAsia="宋体" w:hAnsi="Times New Roman" w:cs="Times New Roman" w:hint="eastAsia"/>
          <w:kern w:val="0"/>
          <w:sz w:val="24"/>
          <w:szCs w:val="24"/>
        </w:rPr>
        <w:t xml:space="preserve"> </w:t>
      </w:r>
      <w:r w:rsidR="00C30E28">
        <w:rPr>
          <w:rFonts w:ascii="Times New Roman" w:eastAsia="宋体" w:hAnsi="Times New Roman" w:cs="Times New Roman"/>
          <w:kern w:val="0"/>
          <w:sz w:val="24"/>
          <w:szCs w:val="24"/>
        </w:rPr>
        <w:t>油库办公区</w:t>
      </w:r>
      <w:r w:rsidR="00C30E28">
        <w:rPr>
          <w:rFonts w:ascii="Times New Roman" w:eastAsia="宋体" w:hAnsi="Times New Roman" w:cs="Times New Roman" w:hint="eastAsia"/>
          <w:kern w:val="0"/>
          <w:sz w:val="24"/>
          <w:szCs w:val="24"/>
        </w:rPr>
        <w:t>：</w:t>
      </w:r>
      <w:r w:rsidR="00C30E28">
        <w:rPr>
          <w:rFonts w:ascii="Times New Roman" w:eastAsia="宋体" w:hAnsi="Times New Roman" w:cs="Times New Roman"/>
          <w:kern w:val="0"/>
          <w:sz w:val="24"/>
          <w:szCs w:val="24"/>
        </w:rPr>
        <w:t>主要用于员工的办公以及油库的后勤保障工作。在办公区的中间有一个消防水池以及消防水泵和消防水管。在办公区的两边还设有会议室和两个办公室，每个办公室都配有电脑、打印机、传真机等办公设施。</w:t>
      </w:r>
    </w:p>
    <w:p w:rsidR="00D359BE" w:rsidRPr="000F3F1A" w:rsidP="000F3F1A" w14:paraId="1CE866A1" w14:textId="2D90BE5B">
      <w:pPr>
        <w:pStyle w:val="Heading3"/>
        <w:adjustRightInd w:val="0"/>
        <w:snapToGrid w:val="0"/>
        <w:spacing w:before="120" w:beforeLines="50" w:after="0" w:line="360" w:lineRule="auto"/>
        <w:rPr>
          <w:rFonts w:ascii="Times New Roman" w:hAnsi="Times New Roman" w:cs="Times New Roman"/>
          <w:b w:val="0"/>
          <w:bCs w:val="0"/>
          <w:kern w:val="44"/>
          <w:szCs w:val="24"/>
        </w:rPr>
      </w:pPr>
      <w:bookmarkStart w:id="26" w:name="_Toc135660721"/>
      <w:r w:rsidRPr="00092AA8">
        <w:rPr>
          <w:rFonts w:ascii="Times New Roman" w:hAnsi="Times New Roman" w:cs="Times New Roman"/>
          <w:b w:val="0"/>
          <w:bCs w:val="0"/>
          <w:kern w:val="44"/>
          <w:szCs w:val="24"/>
        </w:rPr>
        <w:t>2.3.4</w:t>
      </w:r>
      <w:r w:rsidR="007C777D">
        <w:rPr>
          <w:rFonts w:ascii="Times New Roman" w:hAnsi="Times New Roman" w:cs="Times New Roman" w:hint="eastAsia"/>
          <w:b w:val="0"/>
          <w:bCs w:val="0"/>
          <w:kern w:val="44"/>
          <w:szCs w:val="24"/>
        </w:rPr>
        <w:t xml:space="preserve"> </w:t>
      </w:r>
      <w:r w:rsidRPr="000F3F1A">
        <w:rPr>
          <w:rFonts w:ascii="Times New Roman" w:hAnsi="Times New Roman" w:cs="Times New Roman" w:hint="eastAsia"/>
          <w:b w:val="0"/>
          <w:bCs w:val="0"/>
          <w:kern w:val="44"/>
          <w:szCs w:val="24"/>
        </w:rPr>
        <w:t>装卸区</w:t>
      </w:r>
      <w:bookmarkEnd w:id="26"/>
    </w:p>
    <w:p w:rsidR="00D359BE" w:rsidP="000F3F1A" w14:paraId="1AB5E39D" w14:textId="77777777">
      <w:pPr>
        <w:widowControl/>
        <w:adjustRightInd w:val="0"/>
        <w:snapToGrid w:val="0"/>
        <w:spacing w:line="300" w:lineRule="auto"/>
        <w:ind w:firstLine="480" w:firstLineChars="20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油库装卸区主要是完成油品的装卸、转运和储存等工作。</w:t>
      </w:r>
    </w:p>
    <w:p w:rsidR="00D359BE" w:rsidP="000F3F1A" w14:paraId="4EE9CF8E" w14:textId="77777777">
      <w:pPr>
        <w:widowControl/>
        <w:adjustRightInd w:val="0"/>
        <w:snapToGrid w:val="0"/>
        <w:spacing w:line="300" w:lineRule="auto"/>
        <w:ind w:firstLine="480" w:firstLineChars="20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油库装卸区应设在道路的一侧，以便于汽车槽车进出。应靠近油品堆场布置，与铁路槽车装卸作业的距离应大于等于</w:t>
      </w:r>
      <w:r>
        <w:rPr>
          <w:rFonts w:ascii="Times New Roman" w:eastAsia="宋体" w:hAnsi="Times New Roman" w:cs="Times New Roman"/>
          <w:kern w:val="0"/>
          <w:sz w:val="24"/>
          <w:szCs w:val="24"/>
        </w:rPr>
        <w:t>2m</w:t>
      </w:r>
      <w:r>
        <w:rPr>
          <w:rFonts w:ascii="Times New Roman" w:eastAsia="宋体" w:hAnsi="Times New Roman" w:cs="Times New Roman"/>
          <w:kern w:val="0"/>
          <w:sz w:val="24"/>
          <w:szCs w:val="24"/>
        </w:rPr>
        <w:t>。装车、卸油应采用自动控制，并应有可靠的防静电接地设施。自动控制系统宜设在地面上，</w:t>
      </w:r>
      <w:r w:rsidRPr="000F3F1A">
        <w:rPr>
          <w:rFonts w:ascii="Times New Roman" w:eastAsia="宋体" w:hAnsi="Times New Roman" w:cs="Times New Roman"/>
          <w:kern w:val="0"/>
          <w:szCs w:val="21"/>
          <w:vertAlign w:val="superscript"/>
        </w:rPr>
        <w:fldChar w:fldCharType="begin"/>
      </w:r>
      <w:r w:rsidRPr="000F3F1A">
        <w:rPr>
          <w:rFonts w:ascii="Times New Roman" w:eastAsia="宋体" w:hAnsi="Times New Roman" w:cs="Times New Roman"/>
          <w:kern w:val="0"/>
          <w:szCs w:val="21"/>
          <w:vertAlign w:val="superscript"/>
        </w:rPr>
        <w:instrText xml:space="preserve"> REF _Ref135492640 \r \h  \* MERGEFORMAT </w:instrText>
      </w:r>
      <w:r w:rsidRPr="000F3F1A">
        <w:rPr>
          <w:rFonts w:ascii="Times New Roman" w:eastAsia="宋体" w:hAnsi="Times New Roman" w:cs="Times New Roman"/>
          <w:kern w:val="0"/>
          <w:szCs w:val="21"/>
          <w:vertAlign w:val="superscript"/>
        </w:rPr>
        <w:fldChar w:fldCharType="separate"/>
      </w:r>
      <w:r w:rsidRPr="000F3F1A">
        <w:rPr>
          <w:rFonts w:ascii="Times New Roman" w:eastAsia="宋体" w:hAnsi="Times New Roman" w:cs="Times New Roman"/>
          <w:kern w:val="0"/>
          <w:szCs w:val="21"/>
          <w:vertAlign w:val="superscript"/>
        </w:rPr>
        <w:t>[15]</w:t>
      </w:r>
      <w:r w:rsidRPr="000F3F1A">
        <w:rPr>
          <w:rFonts w:ascii="Times New Roman" w:eastAsia="宋体" w:hAnsi="Times New Roman" w:cs="Times New Roman"/>
          <w:kern w:val="0"/>
          <w:szCs w:val="21"/>
          <w:vertAlign w:val="superscript"/>
        </w:rPr>
        <w:fldChar w:fldCharType="end"/>
      </w:r>
      <w:r>
        <w:rPr>
          <w:rFonts w:ascii="Times New Roman" w:eastAsia="宋体" w:hAnsi="Times New Roman" w:cs="Times New Roman"/>
          <w:kern w:val="0"/>
          <w:sz w:val="24"/>
          <w:szCs w:val="24"/>
        </w:rPr>
        <w:t>并应有防雨措施。装卸区的安全防护距离不应小于装卸区至厂区总图的距离。装卸区内的防火堤内，应设消防给水管道、消防水喷淋设施、消火栓、灭火</w:t>
      </w:r>
      <w:r>
        <w:rPr>
          <w:rFonts w:ascii="Times New Roman" w:eastAsia="宋体" w:hAnsi="Times New Roman" w:cs="Times New Roman"/>
          <w:kern w:val="0"/>
          <w:sz w:val="24"/>
          <w:szCs w:val="24"/>
        </w:rPr>
        <w:t>毯</w:t>
      </w:r>
      <w:r>
        <w:rPr>
          <w:rFonts w:ascii="Times New Roman" w:eastAsia="宋体" w:hAnsi="Times New Roman" w:cs="Times New Roman"/>
          <w:kern w:val="0"/>
          <w:sz w:val="24"/>
          <w:szCs w:val="24"/>
        </w:rPr>
        <w:t>等设施；或设置消防水池、消火栓等设施</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并应符合《石油化工企业设计防火规范》</w:t>
      </w:r>
      <w:r>
        <w:rPr>
          <w:rFonts w:ascii="Times New Roman" w:eastAsia="宋体" w:hAnsi="Times New Roman" w:cs="Times New Roman"/>
          <w:kern w:val="0"/>
          <w:sz w:val="24"/>
          <w:szCs w:val="24"/>
        </w:rPr>
        <w:t>GB50160</w:t>
      </w:r>
      <w:r>
        <w:rPr>
          <w:rFonts w:ascii="Times New Roman" w:eastAsia="宋体" w:hAnsi="Times New Roman" w:cs="Times New Roman"/>
          <w:kern w:val="0"/>
          <w:sz w:val="24"/>
          <w:szCs w:val="24"/>
        </w:rPr>
        <w:t>中有关规定。</w:t>
      </w:r>
    </w:p>
    <w:p w:rsidR="00D359BE" w:rsidP="000F3F1A" w14:paraId="7ACC6C66" w14:textId="77777777">
      <w:pPr>
        <w:widowControl/>
        <w:adjustRightInd w:val="0"/>
        <w:snapToGrid w:val="0"/>
        <w:spacing w:line="300" w:lineRule="auto"/>
        <w:ind w:firstLine="480" w:firstLineChars="200"/>
        <w:jc w:val="left"/>
        <w:rPr>
          <w:rFonts w:ascii="Times New Roman" w:eastAsia="宋体" w:hAnsi="Times New Roman" w:cs="Times New Roman"/>
          <w:sz w:val="24"/>
          <w:szCs w:val="24"/>
        </w:rPr>
      </w:pPr>
      <w:r>
        <w:rPr>
          <w:rFonts w:ascii="Times New Roman" w:eastAsia="宋体" w:hAnsi="Times New Roman" w:cs="Times New Roman"/>
          <w:sz w:val="24"/>
          <w:szCs w:val="24"/>
        </w:rPr>
        <w:t>库内道路连接各区，使联系方便、线路短捷，便于车辆行驶，特别是发生火灾时，消防车辆能迅速畅通到达火灾现场。</w:t>
      </w:r>
    </w:p>
    <w:p w:rsidR="00D359BE" w:rsidRPr="000F3F1A" w:rsidP="000F3F1A" w14:paraId="0F6781E3" w14:textId="24E37F88">
      <w:pPr>
        <w:pStyle w:val="Heading3"/>
        <w:adjustRightInd w:val="0"/>
        <w:snapToGrid w:val="0"/>
        <w:spacing w:before="120" w:beforeLines="50" w:after="0" w:line="360" w:lineRule="auto"/>
        <w:rPr>
          <w:rFonts w:ascii="Times New Roman" w:hAnsi="Times New Roman" w:cs="Times New Roman"/>
          <w:b w:val="0"/>
          <w:bCs w:val="0"/>
          <w:kern w:val="44"/>
          <w:szCs w:val="24"/>
        </w:rPr>
      </w:pPr>
      <w:bookmarkStart w:id="27" w:name="_Toc135660722"/>
      <w:r w:rsidRPr="00092AA8">
        <w:rPr>
          <w:rFonts w:ascii="Times New Roman" w:hAnsi="Times New Roman" w:cs="Times New Roman"/>
          <w:b w:val="0"/>
          <w:bCs w:val="0"/>
          <w:kern w:val="44"/>
          <w:szCs w:val="24"/>
        </w:rPr>
        <w:t>2.3.5</w:t>
      </w:r>
      <w:r w:rsidR="007C777D">
        <w:rPr>
          <w:rFonts w:ascii="Times New Roman" w:hAnsi="Times New Roman" w:cs="Times New Roman" w:hint="eastAsia"/>
          <w:b w:val="0"/>
          <w:bCs w:val="0"/>
          <w:kern w:val="44"/>
          <w:szCs w:val="24"/>
        </w:rPr>
        <w:t xml:space="preserve"> </w:t>
      </w:r>
      <w:r w:rsidRPr="000F3F1A">
        <w:rPr>
          <w:rFonts w:ascii="Times New Roman" w:hAnsi="Times New Roman" w:cs="Times New Roman" w:hint="eastAsia"/>
          <w:b w:val="0"/>
          <w:bCs w:val="0"/>
          <w:kern w:val="44"/>
          <w:szCs w:val="24"/>
        </w:rPr>
        <w:t>库内道路布置</w:t>
      </w:r>
      <w:bookmarkEnd w:id="27"/>
    </w:p>
    <w:p w:rsidR="00D359BE" w:rsidP="000F3F1A" w14:paraId="10EEAC9F" w14:textId="77777777">
      <w:pPr>
        <w:adjustRightInd w:val="0"/>
        <w:snapToGrid w:val="0"/>
        <w:spacing w:line="300" w:lineRule="auto"/>
        <w:ind w:firstLine="480" w:firstLineChars="200"/>
      </w:pPr>
      <w:r>
        <w:rPr>
          <w:rFonts w:ascii="Times New Roman" w:eastAsia="宋体" w:hAnsi="Times New Roman" w:cs="Times New Roman"/>
          <w:sz w:val="24"/>
          <w:szCs w:val="24"/>
        </w:rPr>
        <w:t>库内道路连接各区，使联系方便、线路短捷，便于车辆行驶，特别是发生火灾时，消防车辆能迅速畅通到达火灾现场。考虑到以上要求，基本设计思想如下：</w:t>
      </w:r>
    </w:p>
    <w:p w:rsidR="00D359BE" w:rsidP="000F3F1A" w14:paraId="2F610A5B" w14:textId="16A8DDCE">
      <w:pPr>
        <w:widowControl/>
        <w:adjustRightInd w:val="0"/>
        <w:snapToGrid w:val="0"/>
        <w:spacing w:line="300" w:lineRule="auto"/>
        <w:jc w:val="left"/>
        <w:rPr>
          <w:rFonts w:ascii="Times New Roman" w:eastAsia="宋体" w:hAnsi="Times New Roman" w:cs="Times New Roman"/>
          <w:sz w:val="24"/>
          <w:szCs w:val="24"/>
        </w:rPr>
      </w:pPr>
      <w:r>
        <w:rPr>
          <w:rFonts w:ascii="宋体" w:eastAsia="宋体" w:hAnsi="宋体" w:cs="Times New Roman" w:hint="eastAsia"/>
          <w:sz w:val="24"/>
          <w:szCs w:val="24"/>
        </w:rPr>
        <w:t>⑴</w:t>
      </w:r>
      <w:r>
        <w:rPr>
          <w:rFonts w:ascii="Times New Roman" w:eastAsia="宋体" w:hAnsi="Times New Roman" w:cs="Times New Roman" w:hint="eastAsia"/>
          <w:sz w:val="24"/>
          <w:szCs w:val="24"/>
        </w:rPr>
        <w:t xml:space="preserve"> </w:t>
      </w:r>
      <w:r w:rsidR="00C30E28">
        <w:rPr>
          <w:rFonts w:ascii="Times New Roman" w:eastAsia="宋体" w:hAnsi="Times New Roman" w:cs="Times New Roman"/>
          <w:sz w:val="24"/>
          <w:szCs w:val="24"/>
        </w:rPr>
        <w:t>油库内道路应做到运输车辆进出方便、行车畅通，并与防火堤、防火分隔、道路及</w:t>
      </w:r>
      <w:r>
        <w:rPr>
          <w:rFonts w:ascii="宋体" w:eastAsia="宋体" w:hAnsi="宋体" w:cs="Times New Roman" w:hint="eastAsia"/>
          <w:sz w:val="24"/>
          <w:szCs w:val="24"/>
        </w:rPr>
        <w:t>⑵</w:t>
      </w:r>
      <w:r>
        <w:rPr>
          <w:rFonts w:ascii="Times New Roman" w:eastAsia="宋体" w:hAnsi="Times New Roman" w:cs="Times New Roman" w:hint="eastAsia"/>
          <w:sz w:val="24"/>
          <w:szCs w:val="24"/>
        </w:rPr>
        <w:t xml:space="preserve"> </w:t>
      </w:r>
      <w:r w:rsidR="00C30E28">
        <w:rPr>
          <w:rFonts w:ascii="Times New Roman" w:eastAsia="宋体" w:hAnsi="Times New Roman" w:cs="Times New Roman"/>
          <w:sz w:val="24"/>
          <w:szCs w:val="24"/>
        </w:rPr>
        <w:t>消防道路相衔接</w:t>
      </w:r>
      <w:r w:rsidR="00C30E28">
        <w:rPr>
          <w:rFonts w:ascii="Times New Roman" w:eastAsia="宋体" w:hAnsi="Times New Roman" w:cs="Times New Roman"/>
          <w:sz w:val="24"/>
          <w:szCs w:val="24"/>
        </w:rPr>
        <w:t>,</w:t>
      </w:r>
      <w:r w:rsidR="00C30E28">
        <w:rPr>
          <w:rFonts w:ascii="Times New Roman" w:eastAsia="宋体" w:hAnsi="Times New Roman" w:cs="Times New Roman"/>
          <w:sz w:val="24"/>
          <w:szCs w:val="24"/>
        </w:rPr>
        <w:t>且设计应满足消防车的通行要求。</w:t>
      </w:r>
    </w:p>
    <w:p w:rsidR="00D359BE" w:rsidP="000F3F1A" w14:paraId="38D7208C" w14:textId="50D14FBD">
      <w:pPr>
        <w:widowControl/>
        <w:adjustRightInd w:val="0"/>
        <w:snapToGrid w:val="0"/>
        <w:spacing w:line="300" w:lineRule="auto"/>
        <w:jc w:val="left"/>
        <w:rPr>
          <w:rFonts w:ascii="Times New Roman" w:eastAsia="宋体" w:hAnsi="Times New Roman" w:cs="Times New Roman"/>
          <w:sz w:val="24"/>
          <w:szCs w:val="24"/>
        </w:rPr>
      </w:pPr>
      <w:r>
        <w:rPr>
          <w:rFonts w:ascii="宋体" w:eastAsia="宋体" w:hAnsi="宋体" w:cs="Times New Roman" w:hint="eastAsia"/>
          <w:sz w:val="24"/>
          <w:szCs w:val="24"/>
        </w:rPr>
        <w:t>⑶</w:t>
      </w:r>
      <w:r w:rsidR="009A5BDF">
        <w:rPr>
          <w:rFonts w:ascii="宋体" w:eastAsia="宋体" w:hAnsi="宋体" w:cs="Times New Roman" w:hint="eastAsia"/>
          <w:sz w:val="24"/>
          <w:szCs w:val="24"/>
        </w:rPr>
        <w:t xml:space="preserve"> </w:t>
      </w:r>
      <w:r w:rsidR="00C30E28">
        <w:rPr>
          <w:rFonts w:ascii="Times New Roman" w:eastAsia="宋体" w:hAnsi="Times New Roman" w:cs="Times New Roman"/>
          <w:sz w:val="24"/>
          <w:szCs w:val="24"/>
        </w:rPr>
        <w:t>库内道路的走向应方便车辆进出</w:t>
      </w:r>
      <w:r w:rsidR="00C30E28">
        <w:rPr>
          <w:rFonts w:ascii="Times New Roman" w:eastAsia="宋体" w:hAnsi="Times New Roman" w:cs="Times New Roman"/>
          <w:sz w:val="24"/>
          <w:szCs w:val="24"/>
        </w:rPr>
        <w:t>,</w:t>
      </w:r>
      <w:r w:rsidR="00C30E28">
        <w:rPr>
          <w:rFonts w:ascii="Times New Roman" w:eastAsia="宋体" w:hAnsi="Times New Roman" w:cs="Times New Roman"/>
          <w:sz w:val="24"/>
          <w:szCs w:val="24"/>
        </w:rPr>
        <w:t>并应避免交叉。</w:t>
      </w:r>
    </w:p>
    <w:p w:rsidR="00D359BE" w:rsidP="000F3F1A" w14:paraId="30086C62" w14:textId="4225E3A7">
      <w:pPr>
        <w:widowControl/>
        <w:adjustRightInd w:val="0"/>
        <w:snapToGrid w:val="0"/>
        <w:spacing w:line="300" w:lineRule="auto"/>
        <w:jc w:val="left"/>
        <w:rPr>
          <w:rFonts w:ascii="Times New Roman" w:eastAsia="宋体" w:hAnsi="Times New Roman" w:cs="Times New Roman"/>
          <w:sz w:val="24"/>
          <w:szCs w:val="24"/>
        </w:rPr>
      </w:pPr>
      <w:r>
        <w:rPr>
          <w:rFonts w:ascii="宋体" w:eastAsia="宋体" w:hAnsi="宋体" w:cs="Times New Roman" w:hint="eastAsia"/>
          <w:sz w:val="24"/>
          <w:szCs w:val="24"/>
        </w:rPr>
        <w:t>⑷</w:t>
      </w:r>
      <w:r>
        <w:rPr>
          <w:rFonts w:ascii="Times New Roman" w:eastAsia="宋体" w:hAnsi="Times New Roman" w:cs="Times New Roman" w:hint="eastAsia"/>
          <w:sz w:val="24"/>
          <w:szCs w:val="24"/>
        </w:rPr>
        <w:t xml:space="preserve"> </w:t>
      </w:r>
      <w:r w:rsidR="00C30E28">
        <w:rPr>
          <w:rFonts w:ascii="Times New Roman" w:eastAsia="宋体" w:hAnsi="Times New Roman" w:cs="Times New Roman"/>
          <w:sz w:val="24"/>
          <w:szCs w:val="24"/>
        </w:rPr>
        <w:t>油库内道路应便于检修、维护和管理</w:t>
      </w:r>
      <w:r w:rsidR="00C30E28">
        <w:rPr>
          <w:rFonts w:ascii="Times New Roman" w:eastAsia="宋体" w:hAnsi="Times New Roman" w:cs="Times New Roman" w:hint="eastAsia"/>
          <w:sz w:val="24"/>
          <w:szCs w:val="24"/>
        </w:rPr>
        <w:t>。</w:t>
      </w:r>
    </w:p>
    <w:p w:rsidR="00D359BE" w:rsidP="000F3F1A" w14:paraId="4E32B70E" w14:textId="034F7747">
      <w:pPr>
        <w:widowControl/>
        <w:adjustRightInd w:val="0"/>
        <w:snapToGrid w:val="0"/>
        <w:spacing w:line="300" w:lineRule="auto"/>
        <w:jc w:val="left"/>
        <w:rPr>
          <w:rFonts w:ascii="Times New Roman" w:eastAsia="宋体" w:hAnsi="Times New Roman" w:cs="Times New Roman"/>
          <w:sz w:val="24"/>
          <w:szCs w:val="24"/>
        </w:rPr>
      </w:pPr>
      <w:r>
        <w:rPr>
          <w:rFonts w:ascii="宋体" w:eastAsia="宋体" w:hAnsi="宋体" w:cs="Times New Roman" w:hint="eastAsia"/>
          <w:sz w:val="24"/>
          <w:szCs w:val="24"/>
        </w:rPr>
        <w:t>⑸</w:t>
      </w:r>
      <w:r>
        <w:rPr>
          <w:rFonts w:ascii="Times New Roman" w:eastAsia="宋体" w:hAnsi="Times New Roman" w:cs="Times New Roman" w:hint="eastAsia"/>
          <w:sz w:val="24"/>
          <w:szCs w:val="24"/>
        </w:rPr>
        <w:t xml:space="preserve"> </w:t>
      </w:r>
      <w:r w:rsidR="00C30E28">
        <w:rPr>
          <w:rFonts w:ascii="Times New Roman" w:eastAsia="宋体" w:hAnsi="Times New Roman" w:cs="Times New Roman"/>
          <w:sz w:val="24"/>
          <w:szCs w:val="24"/>
        </w:rPr>
        <w:t>库内道路的宽度不应小于</w:t>
      </w:r>
      <w:r w:rsidR="00C30E28">
        <w:rPr>
          <w:rFonts w:ascii="Times New Roman" w:eastAsia="宋体" w:hAnsi="Times New Roman" w:cs="Times New Roman" w:hint="eastAsia"/>
          <w:sz w:val="24"/>
          <w:szCs w:val="24"/>
        </w:rPr>
        <w:t>9</w:t>
      </w:r>
      <w:r w:rsidR="00C30E28">
        <w:rPr>
          <w:rFonts w:ascii="Times New Roman" w:eastAsia="宋体" w:hAnsi="Times New Roman" w:cs="Times New Roman"/>
          <w:sz w:val="24"/>
          <w:szCs w:val="24"/>
        </w:rPr>
        <w:t>m</w:t>
      </w:r>
      <w:r w:rsidR="00C30E28">
        <w:rPr>
          <w:rFonts w:ascii="Times New Roman" w:eastAsia="宋体" w:hAnsi="Times New Roman" w:cs="Times New Roman"/>
          <w:sz w:val="24"/>
          <w:szCs w:val="24"/>
        </w:rPr>
        <w:t>。当库内道路的宽度大于</w:t>
      </w:r>
      <w:r w:rsidR="00C30E28">
        <w:rPr>
          <w:rFonts w:ascii="Times New Roman" w:eastAsia="宋体" w:hAnsi="Times New Roman" w:cs="Times New Roman" w:hint="eastAsia"/>
          <w:sz w:val="24"/>
          <w:szCs w:val="24"/>
        </w:rPr>
        <w:t>1</w:t>
      </w:r>
      <w:r w:rsidR="00C30E28">
        <w:rPr>
          <w:rFonts w:ascii="Times New Roman" w:eastAsia="宋体" w:hAnsi="Times New Roman" w:cs="Times New Roman"/>
          <w:sz w:val="24"/>
          <w:szCs w:val="24"/>
        </w:rPr>
        <w:t>2m</w:t>
      </w:r>
      <w:r w:rsidR="00C30E28">
        <w:rPr>
          <w:rFonts w:ascii="Times New Roman" w:eastAsia="宋体" w:hAnsi="Times New Roman" w:cs="Times New Roman"/>
          <w:sz w:val="24"/>
          <w:szCs w:val="24"/>
        </w:rPr>
        <w:t>时</w:t>
      </w:r>
      <w:r w:rsidR="00C30E28">
        <w:rPr>
          <w:rFonts w:ascii="Times New Roman" w:eastAsia="宋体" w:hAnsi="Times New Roman" w:cs="Times New Roman"/>
          <w:sz w:val="24"/>
          <w:szCs w:val="24"/>
        </w:rPr>
        <w:t>,</w:t>
      </w:r>
      <w:r w:rsidR="00C30E28">
        <w:rPr>
          <w:rFonts w:ascii="Times New Roman" w:eastAsia="宋体" w:hAnsi="Times New Roman" w:cs="Times New Roman"/>
          <w:sz w:val="24"/>
          <w:szCs w:val="24"/>
        </w:rPr>
        <w:t>其转弯半径不应小于</w:t>
      </w:r>
      <w:r w:rsidR="00C30E28">
        <w:rPr>
          <w:rFonts w:ascii="Times New Roman" w:eastAsia="宋体" w:hAnsi="Times New Roman" w:cs="Times New Roman"/>
          <w:sz w:val="24"/>
          <w:szCs w:val="24"/>
        </w:rPr>
        <w:t>14m</w:t>
      </w:r>
      <w:r w:rsidR="00C30E28">
        <w:rPr>
          <w:rFonts w:ascii="Times New Roman" w:eastAsia="宋体" w:hAnsi="Times New Roman" w:cs="Times New Roman"/>
          <w:sz w:val="24"/>
          <w:szCs w:val="24"/>
        </w:rPr>
        <w:t>；当库内道路的宽度为</w:t>
      </w:r>
      <w:r w:rsidR="00C30E28">
        <w:rPr>
          <w:rFonts w:ascii="Times New Roman" w:eastAsia="宋体" w:hAnsi="Times New Roman" w:cs="Times New Roman"/>
          <w:sz w:val="24"/>
          <w:szCs w:val="24"/>
        </w:rPr>
        <w:t>6~8m</w:t>
      </w:r>
      <w:r w:rsidR="00C30E28">
        <w:rPr>
          <w:rFonts w:ascii="Times New Roman" w:eastAsia="宋体" w:hAnsi="Times New Roman" w:cs="Times New Roman"/>
          <w:sz w:val="24"/>
          <w:szCs w:val="24"/>
        </w:rPr>
        <w:t>时</w:t>
      </w:r>
      <w:r w:rsidR="00C30E28">
        <w:rPr>
          <w:rFonts w:ascii="Times New Roman" w:eastAsia="宋体" w:hAnsi="Times New Roman" w:cs="Times New Roman"/>
          <w:sz w:val="24"/>
          <w:szCs w:val="24"/>
        </w:rPr>
        <w:t>,</w:t>
      </w:r>
      <w:r w:rsidR="00C30E28">
        <w:rPr>
          <w:rFonts w:ascii="Times New Roman" w:eastAsia="宋体" w:hAnsi="Times New Roman" w:cs="Times New Roman"/>
          <w:sz w:val="24"/>
          <w:szCs w:val="24"/>
        </w:rPr>
        <w:t>其转弯半径不应小于</w:t>
      </w:r>
      <w:r w:rsidR="00C30E28">
        <w:rPr>
          <w:rFonts w:ascii="Times New Roman" w:eastAsia="宋体" w:hAnsi="Times New Roman" w:cs="Times New Roman"/>
          <w:sz w:val="24"/>
          <w:szCs w:val="24"/>
        </w:rPr>
        <w:t>12m</w:t>
      </w:r>
      <w:r w:rsidR="00C30E28">
        <w:rPr>
          <w:rFonts w:ascii="Times New Roman" w:eastAsia="宋体" w:hAnsi="Times New Roman" w:cs="Times New Roman"/>
          <w:sz w:val="24"/>
          <w:szCs w:val="24"/>
        </w:rPr>
        <w:t>。</w:t>
      </w:r>
    </w:p>
    <w:p w:rsidR="00D359BE" w:rsidP="000F3F1A" w14:paraId="0AA56A8F" w14:textId="5C7D5614">
      <w:pPr>
        <w:widowControl/>
        <w:adjustRightInd w:val="0"/>
        <w:snapToGrid w:val="0"/>
        <w:spacing w:line="300" w:lineRule="auto"/>
        <w:jc w:val="left"/>
        <w:rPr>
          <w:rFonts w:ascii="Times New Roman" w:eastAsia="宋体" w:hAnsi="Times New Roman" w:cs="Times New Roman"/>
          <w:sz w:val="24"/>
          <w:szCs w:val="24"/>
        </w:rPr>
      </w:pPr>
      <w:r>
        <w:rPr>
          <w:rFonts w:ascii="宋体" w:eastAsia="宋体" w:hAnsi="宋体" w:cs="Times New Roman" w:hint="eastAsia"/>
          <w:sz w:val="24"/>
          <w:szCs w:val="24"/>
        </w:rPr>
        <w:t xml:space="preserve">⑹ </w:t>
      </w:r>
      <w:r w:rsidR="00C30E28">
        <w:rPr>
          <w:rFonts w:ascii="Times New Roman" w:eastAsia="宋体" w:hAnsi="Times New Roman" w:cs="Times New Roman"/>
          <w:sz w:val="24"/>
          <w:szCs w:val="24"/>
        </w:rPr>
        <w:t>油库内道路上行驶的车辆车速不宜超过</w:t>
      </w:r>
      <w:r w:rsidR="00C30E28">
        <w:rPr>
          <w:rFonts w:ascii="Times New Roman" w:eastAsia="宋体" w:hAnsi="Times New Roman" w:cs="Times New Roman"/>
          <w:sz w:val="24"/>
          <w:szCs w:val="24"/>
        </w:rPr>
        <w:t>40 km/h</w:t>
      </w:r>
      <w:r w:rsidR="00C30E28">
        <w:rPr>
          <w:rFonts w:ascii="Times New Roman" w:eastAsia="宋体" w:hAnsi="Times New Roman" w:cs="Times New Roman"/>
          <w:sz w:val="24"/>
          <w:szCs w:val="24"/>
        </w:rPr>
        <w:t>。当车量较大时，应采取相应的安全措施。</w:t>
      </w:r>
    </w:p>
    <w:p w:rsidR="00D359BE" w:rsidP="000F3F1A" w14:paraId="06F59498" w14:textId="77777777">
      <w:pPr>
        <w:adjustRightInd w:val="0"/>
        <w:snapToGrid w:val="0"/>
        <w:spacing w:line="300" w:lineRule="auto"/>
        <w:ind w:firstLine="480" w:firstLineChars="200"/>
        <w:rPr>
          <w:rFonts w:ascii="宋体" w:eastAsia="宋体" w:hAnsi="宋体"/>
          <w:sz w:val="24"/>
          <w:szCs w:val="24"/>
        </w:rPr>
      </w:pPr>
      <w:r>
        <w:rPr>
          <w:rFonts w:ascii="宋体" w:eastAsia="宋体" w:hAnsi="宋体" w:hint="eastAsia"/>
          <w:sz w:val="24"/>
          <w:szCs w:val="24"/>
        </w:rPr>
        <w:t>油库平面布置图见附录</w:t>
      </w:r>
      <w:r>
        <w:rPr>
          <w:rFonts w:ascii="Times New Roman" w:eastAsia="宋体" w:hAnsi="Times New Roman" w:cs="Times New Roman"/>
          <w:sz w:val="24"/>
          <w:szCs w:val="24"/>
        </w:rPr>
        <w:t>1</w:t>
      </w:r>
      <w:r>
        <w:rPr>
          <w:rFonts w:ascii="宋体" w:eastAsia="宋体" w:hAnsi="宋体" w:hint="eastAsia"/>
          <w:sz w:val="24"/>
          <w:szCs w:val="24"/>
        </w:rPr>
        <w:t>。</w:t>
      </w:r>
    </w:p>
    <w:p w:rsidR="00D359BE" w:rsidRPr="001C2293" w:rsidP="001C2293" w14:paraId="165237E1" w14:textId="46A0400D">
      <w:pPr>
        <w:pStyle w:val="Heading2"/>
        <w:adjustRightInd w:val="0"/>
        <w:snapToGrid w:val="0"/>
        <w:spacing w:before="120" w:beforeLines="50" w:after="0" w:line="360" w:lineRule="auto"/>
        <w:rPr>
          <w:rFonts w:ascii="Times New Roman" w:hAnsi="Times New Roman" w:cs="Times New Roman"/>
          <w:b w:val="0"/>
        </w:rPr>
      </w:pPr>
      <w:bookmarkStart w:id="28" w:name="_Toc135660723"/>
      <w:r w:rsidRPr="001C2293">
        <w:rPr>
          <w:rFonts w:ascii="Times New Roman" w:hAnsi="Times New Roman" w:cs="Times New Roman"/>
          <w:b w:val="0"/>
        </w:rPr>
        <w:t>2.4</w:t>
      </w:r>
      <w:r w:rsidRPr="001C2293" w:rsidR="007C777D">
        <w:rPr>
          <w:rFonts w:ascii="Times New Roman" w:hAnsi="Times New Roman" w:cs="Times New Roman" w:hint="eastAsia"/>
          <w:b w:val="0"/>
        </w:rPr>
        <w:t xml:space="preserve"> </w:t>
      </w:r>
      <w:r w:rsidRPr="001C2293">
        <w:rPr>
          <w:rFonts w:ascii="Times New Roman" w:hAnsi="Times New Roman" w:cs="Times New Roman" w:hint="eastAsia"/>
          <w:b w:val="0"/>
        </w:rPr>
        <w:t>本章小结</w:t>
      </w:r>
      <w:bookmarkEnd w:id="28"/>
    </w:p>
    <w:p w:rsidR="00D359BE" w:rsidP="000F3F1A" w14:paraId="6B36701A" w14:textId="77777777">
      <w:pPr>
        <w:adjustRightInd w:val="0"/>
        <w:snapToGrid w:val="0"/>
        <w:spacing w:line="300" w:lineRule="auto"/>
        <w:ind w:firstLine="480" w:firstLineChars="200"/>
        <w:rPr>
          <w:rFonts w:ascii="宋体" w:eastAsia="宋体" w:hAnsi="宋体"/>
          <w:sz w:val="24"/>
          <w:szCs w:val="24"/>
        </w:rPr>
      </w:pPr>
      <w:r>
        <w:rPr>
          <w:rFonts w:ascii="宋体" w:eastAsia="宋体" w:hAnsi="宋体" w:hint="eastAsia"/>
          <w:sz w:val="24"/>
          <w:szCs w:val="24"/>
        </w:rPr>
        <w:t>本章得出结论如下：</w:t>
      </w:r>
    </w:p>
    <w:p w:rsidR="00D359BE" w:rsidRPr="00D15E05" w:rsidP="00D15E05" w14:paraId="5F5902C6" w14:textId="7EE3D4FA">
      <w:pPr>
        <w:adjustRightInd w:val="0"/>
        <w:snapToGrid w:val="0"/>
        <w:spacing w:line="300" w:lineRule="auto"/>
        <w:ind w:firstLine="480" w:firstLineChars="200"/>
        <w:rPr>
          <w:rFonts w:ascii="宋体" w:eastAsia="宋体" w:hAnsi="宋体"/>
          <w:sz w:val="24"/>
          <w:szCs w:val="24"/>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985" w:right="1418" w:bottom="1418" w:left="1418" w:header="1417" w:footer="1134" w:gutter="0"/>
          <w:pgNumType w:start="7"/>
          <w:cols w:space="425"/>
          <w:titlePg w:val="0"/>
          <w:docGrid w:linePitch="312"/>
        </w:sectPr>
      </w:pPr>
      <w:r>
        <w:rPr>
          <w:rFonts w:ascii="宋体" w:eastAsia="宋体" w:hAnsi="宋体" w:hint="eastAsia"/>
          <w:sz w:val="24"/>
          <w:szCs w:val="24"/>
        </w:rPr>
        <w:t>本重庆</w:t>
      </w:r>
      <w:r>
        <w:rPr>
          <w:rFonts w:ascii="Times New Roman" w:eastAsia="宋体" w:hAnsi="Times New Roman" w:cs="Times New Roman"/>
          <w:sz w:val="24"/>
          <w:szCs w:val="24"/>
        </w:rPr>
        <w:t>SX</w:t>
      </w:r>
    </w:p>
    <w:p w:rsidR="00D359BE" w:rsidRPr="00D15E05" w:rsidP="00D15E05" w14:textId="7EE3D4FA">
      <w:pPr>
        <w:adjustRightInd w:val="0"/>
        <w:snapToGrid w:val="0"/>
        <w:spacing w:line="300" w:lineRule="auto"/>
        <w:ind w:firstLine="480" w:firstLineChars="200"/>
        <w:rPr>
          <w:rFonts w:ascii="宋体" w:eastAsia="宋体" w:hAnsi="宋体"/>
          <w:sz w:val="24"/>
          <w:szCs w:val="24"/>
        </w:rPr>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985" w:right="1418" w:bottom="1418" w:left="1418" w:header="1417" w:footer="1134" w:gutter="0"/>
          <w:pgNumType w:start="8"/>
          <w:cols w:space="425"/>
          <w:titlePg w:val="0"/>
          <w:docGrid w:linePitch="312"/>
        </w:sectPr>
      </w:pPr>
      <w:r>
        <w:rPr>
          <w:rFonts w:ascii="宋体" w:eastAsia="宋体" w:hAnsi="宋体" w:hint="eastAsia"/>
          <w:sz w:val="24"/>
          <w:szCs w:val="24"/>
        </w:rPr>
        <w:t>油库主要分为储油区、辅助生产区、行政管理区、装卸区四个区以及道路和相应绿化。主要包括建筑物办公楼、接待楼、员工宿舍、食堂和配套设施：控制室、</w:t>
      </w:r>
      <w:r>
        <w:rPr>
          <w:rFonts w:ascii="宋体" w:eastAsia="宋体" w:hAnsi="宋体" w:hint="eastAsia"/>
          <w:sz w:val="24"/>
          <w:szCs w:val="24"/>
        </w:rPr>
        <w:t>泵区、污水处理区、</w:t>
      </w:r>
      <w:r>
        <w:rPr>
          <w:rFonts w:ascii="宋体" w:eastAsia="宋体" w:hAnsi="宋体" w:hint="eastAsia"/>
          <w:sz w:val="24"/>
          <w:szCs w:val="24"/>
        </w:rPr>
        <w:t>阀组区</w:t>
      </w:r>
      <w:r>
        <w:rPr>
          <w:rFonts w:ascii="宋体" w:eastAsia="宋体" w:hAnsi="宋体" w:hint="eastAsia"/>
          <w:sz w:val="24"/>
          <w:szCs w:val="24"/>
        </w:rPr>
        <w:t>、车库及修理间、</w:t>
      </w:r>
      <w:r>
        <w:rPr>
          <w:rFonts w:ascii="宋体" w:eastAsia="宋体" w:hAnsi="宋体" w:hint="eastAsia"/>
          <w:sz w:val="24"/>
          <w:szCs w:val="24"/>
        </w:rPr>
        <w:t>计量间</w:t>
      </w:r>
      <w:r>
        <w:rPr>
          <w:rFonts w:ascii="宋体" w:eastAsia="宋体" w:hAnsi="宋体" w:hint="eastAsia"/>
          <w:sz w:val="24"/>
          <w:szCs w:val="24"/>
        </w:rPr>
        <w:t>等。</w:t>
      </w:r>
    </w:p>
    <w:p w:rsidR="00D359BE" w:rsidRPr="00D15E05" w:rsidP="00D15E05" w14:textId="7EE3D4FA">
      <w:pPr>
        <w:adjustRightInd w:val="0"/>
        <w:snapToGrid w:val="0"/>
        <w:spacing w:line="300" w:lineRule="auto"/>
        <w:ind w:firstLine="600" w:firstLineChars="200"/>
        <w:rPr>
          <w:rFonts w:ascii="宋体" w:eastAsia="宋体" w:hAnsi="宋体"/>
          <w:sz w:val="24"/>
          <w:szCs w:val="24"/>
        </w:rPr>
      </w:pPr>
      <w:bookmarkStart w:id="29" w:name="_Toc135660724"/>
      <w:r w:rsidRPr="001C2293">
        <w:rPr>
          <w:rFonts w:ascii="Times New Roman" w:hAnsi="Times New Roman" w:cs="Times New Roman"/>
          <w:sz w:val="30"/>
          <w:szCs w:val="30"/>
        </w:rPr>
        <w:t>3</w:t>
      </w:r>
      <w:r w:rsidRPr="001C2293">
        <w:rPr>
          <w:rFonts w:ascii="Times New Roman" w:hAnsi="Times New Roman" w:cs="Times New Roman" w:hint="eastAsia"/>
          <w:sz w:val="30"/>
          <w:szCs w:val="30"/>
        </w:rPr>
        <w:t xml:space="preserve"> </w:t>
      </w:r>
      <w:r w:rsidRPr="001C2293">
        <w:rPr>
          <w:rFonts w:ascii="Times New Roman" w:hAnsi="Times New Roman" w:cs="Times New Roman" w:hint="eastAsia"/>
          <w:sz w:val="30"/>
          <w:szCs w:val="30"/>
        </w:rPr>
        <w:t>油库总平面计算</w:t>
      </w:r>
      <w:bookmarkEnd w:id="29"/>
    </w:p>
    <w:p w:rsidR="00D359BE" w:rsidRPr="001C2293" w:rsidP="001C2293" w14:paraId="74CC4D2E" w14:textId="71BB091D">
      <w:pPr>
        <w:pStyle w:val="Heading2"/>
        <w:adjustRightInd w:val="0"/>
        <w:snapToGrid w:val="0"/>
        <w:spacing w:before="120" w:beforeLines="50" w:after="0" w:line="360" w:lineRule="auto"/>
        <w:rPr>
          <w:rFonts w:ascii="Times New Roman" w:hAnsi="Times New Roman" w:cs="Times New Roman"/>
          <w:b w:val="0"/>
        </w:rPr>
      </w:pPr>
      <w:bookmarkStart w:id="30" w:name="_Toc135660725"/>
      <w:r w:rsidRPr="001C2293">
        <w:rPr>
          <w:rFonts w:ascii="Times New Roman" w:hAnsi="Times New Roman" w:cs="Times New Roman"/>
          <w:b w:val="0"/>
        </w:rPr>
        <w:t>3.1</w:t>
      </w:r>
      <w:r w:rsidRPr="001C2293" w:rsidR="007C777D">
        <w:rPr>
          <w:rFonts w:ascii="Times New Roman" w:hAnsi="Times New Roman" w:cs="Times New Roman" w:hint="eastAsia"/>
          <w:b w:val="0"/>
        </w:rPr>
        <w:t xml:space="preserve"> </w:t>
      </w:r>
      <w:r w:rsidRPr="001C2293">
        <w:rPr>
          <w:rFonts w:ascii="Times New Roman" w:hAnsi="Times New Roman" w:cs="Times New Roman" w:hint="eastAsia"/>
          <w:b w:val="0"/>
        </w:rPr>
        <w:t>库容的设计计算原则</w:t>
      </w:r>
      <w:bookmarkEnd w:id="30"/>
    </w:p>
    <w:p w:rsidR="00D359BE" w:rsidP="00B33D2C" w14:paraId="5CB9C316" w14:textId="77777777">
      <w:pPr>
        <w:adjustRightInd w:val="0"/>
        <w:snapToGrid w:val="0"/>
        <w:spacing w:line="30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储油区设计主要遵从以下四点原则：</w:t>
      </w:r>
    </w:p>
    <w:p w:rsidR="00D359BE" w:rsidP="00B33D2C" w14:paraId="5D7E1A0D" w14:textId="1E9B2E31">
      <w:pPr>
        <w:adjustRightInd w:val="0"/>
        <w:snapToGrid w:val="0"/>
        <w:spacing w:line="300" w:lineRule="auto"/>
        <w:rPr>
          <w:rFonts w:ascii="Times New Roman" w:eastAsia="宋体" w:hAnsi="Times New Roman" w:cs="Times New Roman"/>
          <w:sz w:val="24"/>
        </w:rPr>
      </w:pPr>
      <w:r>
        <w:rPr>
          <w:rFonts w:ascii="宋体" w:eastAsia="宋体" w:hAnsi="宋体" w:cs="Times New Roman" w:hint="eastAsia"/>
          <w:sz w:val="24"/>
        </w:rPr>
        <w:t>⑴</w:t>
      </w:r>
      <w:r>
        <w:rPr>
          <w:rFonts w:ascii="Times New Roman" w:eastAsia="宋体" w:hAnsi="Times New Roman" w:cs="Times New Roman" w:hint="eastAsia"/>
          <w:sz w:val="24"/>
        </w:rPr>
        <w:t xml:space="preserve"> </w:t>
      </w:r>
      <w:r w:rsidR="00C30E28">
        <w:rPr>
          <w:rFonts w:ascii="Times New Roman" w:eastAsia="宋体" w:hAnsi="Times New Roman" w:cs="Times New Roman"/>
          <w:sz w:val="24"/>
        </w:rPr>
        <w:t>严格遵守国家及行业有关标准、规范；</w:t>
      </w:r>
    </w:p>
    <w:p w:rsidR="00D359BE" w:rsidP="00B33D2C" w14:paraId="49BA569D" w14:textId="5AC2396E">
      <w:pPr>
        <w:adjustRightInd w:val="0"/>
        <w:snapToGrid w:val="0"/>
        <w:spacing w:line="300" w:lineRule="auto"/>
        <w:rPr>
          <w:rFonts w:ascii="Times New Roman" w:eastAsia="宋体" w:hAnsi="Times New Roman" w:cs="Times New Roman"/>
          <w:sz w:val="24"/>
        </w:rPr>
      </w:pPr>
      <w:r>
        <w:rPr>
          <w:rFonts w:ascii="宋体" w:eastAsia="宋体" w:hAnsi="宋体" w:cs="Times New Roman" w:hint="eastAsia"/>
          <w:sz w:val="24"/>
        </w:rPr>
        <w:t>⑵</w:t>
      </w:r>
      <w:r>
        <w:rPr>
          <w:rFonts w:ascii="Times New Roman" w:eastAsia="宋体" w:hAnsi="Times New Roman" w:cs="Times New Roman" w:hint="eastAsia"/>
          <w:sz w:val="24"/>
        </w:rPr>
        <w:t xml:space="preserve"> </w:t>
      </w:r>
      <w:r w:rsidR="00C30E28">
        <w:rPr>
          <w:rFonts w:ascii="Times New Roman" w:eastAsia="宋体" w:hAnsi="Times New Roman" w:cs="Times New Roman"/>
          <w:sz w:val="24"/>
        </w:rPr>
        <w:t>严格按照工艺参数进行设计，满足工艺要求；</w:t>
      </w:r>
    </w:p>
    <w:p w:rsidR="00D359BE" w:rsidP="00B33D2C" w14:paraId="0C99A279" w14:textId="008EA369">
      <w:pPr>
        <w:adjustRightInd w:val="0"/>
        <w:snapToGrid w:val="0"/>
        <w:spacing w:line="300" w:lineRule="auto"/>
        <w:rPr>
          <w:rFonts w:ascii="Times New Roman" w:eastAsia="宋体" w:hAnsi="Times New Roman" w:cs="Times New Roman"/>
          <w:sz w:val="24"/>
        </w:rPr>
      </w:pPr>
      <w:r>
        <w:rPr>
          <w:rFonts w:ascii="宋体" w:eastAsia="宋体" w:hAnsi="宋体" w:cs="Times New Roman" w:hint="eastAsia"/>
          <w:sz w:val="24"/>
        </w:rPr>
        <w:t>⑶</w:t>
      </w:r>
      <w:r>
        <w:rPr>
          <w:rFonts w:ascii="Times New Roman" w:eastAsia="宋体" w:hAnsi="Times New Roman" w:cs="Times New Roman" w:hint="eastAsia"/>
          <w:sz w:val="24"/>
        </w:rPr>
        <w:t xml:space="preserve"> </w:t>
      </w:r>
      <w:r w:rsidR="00C30E28">
        <w:rPr>
          <w:rFonts w:ascii="Times New Roman" w:eastAsia="宋体" w:hAnsi="Times New Roman" w:cs="Times New Roman"/>
          <w:sz w:val="24"/>
        </w:rPr>
        <w:t>储罐设计优先采用经过实践验证的新结构和新技术，做到技术先进、操作简便、安全可靠；</w:t>
      </w:r>
    </w:p>
    <w:p w:rsidR="00D359BE" w:rsidP="00B33D2C" w14:paraId="7CFAC2D6" w14:textId="0925497B">
      <w:pPr>
        <w:adjustRightInd w:val="0"/>
        <w:snapToGrid w:val="0"/>
        <w:spacing w:line="300" w:lineRule="auto"/>
        <w:rPr>
          <w:rFonts w:ascii="Times New Roman" w:eastAsia="宋体" w:hAnsi="Times New Roman" w:cs="Times New Roman"/>
          <w:sz w:val="24"/>
        </w:rPr>
      </w:pPr>
      <w:r>
        <w:rPr>
          <w:rFonts w:ascii="宋体" w:eastAsia="宋体" w:hAnsi="宋体" w:cs="Times New Roman" w:hint="eastAsia"/>
          <w:sz w:val="24"/>
        </w:rPr>
        <w:t>⑷</w:t>
      </w:r>
      <w:r>
        <w:rPr>
          <w:rFonts w:ascii="Times New Roman" w:eastAsia="宋体" w:hAnsi="Times New Roman" w:cs="Times New Roman" w:hint="eastAsia"/>
          <w:sz w:val="24"/>
        </w:rPr>
        <w:t xml:space="preserve"> </w:t>
      </w:r>
      <w:r w:rsidR="00C30E28">
        <w:rPr>
          <w:rFonts w:ascii="Times New Roman" w:eastAsia="宋体" w:hAnsi="Times New Roman" w:cs="Times New Roman"/>
          <w:sz w:val="24"/>
        </w:rPr>
        <w:t>材料选择合理、安全经济，并确保施工质量和工期的需要。</w:t>
      </w:r>
    </w:p>
    <w:p w:rsidR="00D359BE" w:rsidRPr="001C2293" w:rsidP="001C2293" w14:paraId="3B118580" w14:textId="2F598F6D">
      <w:pPr>
        <w:pStyle w:val="Heading2"/>
        <w:adjustRightInd w:val="0"/>
        <w:snapToGrid w:val="0"/>
        <w:spacing w:before="120" w:beforeLines="50" w:after="0" w:line="360" w:lineRule="auto"/>
        <w:rPr>
          <w:rFonts w:ascii="Times New Roman" w:hAnsi="Times New Roman" w:cs="Times New Roman"/>
          <w:b w:val="0"/>
        </w:rPr>
      </w:pPr>
      <w:bookmarkStart w:id="31" w:name="_Toc135660726"/>
      <w:bookmarkStart w:id="32" w:name="_Hlk40948828"/>
      <w:r w:rsidRPr="001C2293">
        <w:rPr>
          <w:rFonts w:ascii="Times New Roman" w:hAnsi="Times New Roman" w:cs="Times New Roman"/>
          <w:b w:val="0"/>
        </w:rPr>
        <w:t>3.2</w:t>
      </w:r>
      <w:r w:rsidRPr="001C2293" w:rsidR="007C777D">
        <w:rPr>
          <w:rFonts w:ascii="Times New Roman" w:hAnsi="Times New Roman" w:cs="Times New Roman" w:hint="eastAsia"/>
          <w:b w:val="0"/>
        </w:rPr>
        <w:t xml:space="preserve"> </w:t>
      </w:r>
      <w:r w:rsidRPr="001C2293">
        <w:rPr>
          <w:rFonts w:ascii="Times New Roman" w:hAnsi="Times New Roman" w:cs="Times New Roman"/>
          <w:b w:val="0"/>
        </w:rPr>
        <w:t>周转系数法</w:t>
      </w:r>
      <w:r w:rsidRPr="001C2293">
        <w:rPr>
          <w:rFonts w:ascii="Times New Roman" w:hAnsi="Times New Roman" w:cs="Times New Roman" w:hint="eastAsia"/>
          <w:b w:val="0"/>
        </w:rPr>
        <w:t>计算库容</w:t>
      </w:r>
      <w:bookmarkEnd w:id="31"/>
    </w:p>
    <w:p w:rsidR="00D359BE" w:rsidP="00B33D2C" w14:paraId="2A3B5FC9" w14:textId="77777777">
      <w:pPr>
        <w:pStyle w:val="NormalWeb"/>
        <w:adjustRightInd w:val="0"/>
        <w:snapToGrid w:val="0"/>
        <w:spacing w:before="0" w:beforeAutospacing="0" w:after="0" w:afterAutospacing="0" w:line="300" w:lineRule="auto"/>
        <w:ind w:firstLine="480" w:firstLineChars="200"/>
      </w:pPr>
      <w:r>
        <w:rPr>
          <w:rFonts w:hint="eastAsia"/>
        </w:rPr>
        <w:t>周转系数法是</w:t>
      </w:r>
      <w:r>
        <w:t>根据油品储存在不同储罐的时间长短来计算容积的一种方法</w:t>
      </w:r>
      <w:r>
        <w:rPr>
          <w:rFonts w:hint="eastAsia"/>
        </w:rPr>
        <w:t>，</w:t>
      </w:r>
      <w:r>
        <w:rPr>
          <w:rFonts w:ascii="Times New Roman" w:hAnsi="Times New Roman" w:cs="Times New Roman" w:hint="eastAsia"/>
        </w:rPr>
        <w:t>根据</w:t>
      </w:r>
      <w:r>
        <w:rPr>
          <w:rFonts w:ascii="Times New Roman" w:hAnsi="Times New Roman" w:cs="Times New Roman"/>
        </w:rPr>
        <w:t>周转系数法，该油库设计容量可由下式求得：</w:t>
      </w:r>
    </w:p>
    <w:p w:rsidR="00D359BE" w:rsidP="00B33D2C" w14:paraId="42D66528" w14:textId="384155A4">
      <w:pPr>
        <w:adjustRightInd w:val="0"/>
        <w:snapToGrid w:val="0"/>
        <w:spacing w:after="55" w:line="300" w:lineRule="auto"/>
        <w:ind w:right="272" w:firstLine="480" w:firstLineChars="200"/>
        <w:jc w:val="center"/>
        <w:rPr>
          <w:rFonts w:ascii="Times New Roman" w:eastAsia="宋体" w:hAnsi="Times New Roman" w:cs="Times New Roman"/>
          <w:sz w:val="24"/>
        </w:rPr>
      </w:pPr>
      <w:r>
        <w:rPr>
          <w:rFonts w:ascii="Times New Roman" w:eastAsia="宋体" w:hAnsi="Times New Roman" w:cs="Times New Roman" w:hint="eastAsia"/>
          <w:sz w:val="24"/>
        </w:rPr>
        <w:t xml:space="preserve">                       </w:t>
      </w:r>
      <w:r w:rsidR="00C30E28">
        <w:rPr>
          <w:rFonts w:ascii="Times New Roman" w:eastAsia="宋体" w:hAnsi="Times New Roman" w:cs="Times New Roman"/>
          <w:noProof/>
          <w:position w:val="-28"/>
          <w:sz w:val="24"/>
        </w:rPr>
        <w:drawing>
          <wp:inline distT="0" distB="0" distL="0" distR="0">
            <wp:extent cx="678180" cy="40386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xmlns:r="http://schemas.openxmlformats.org/officeDocument/2006/relationships" r:embed="rId84" cstate="print">
                      <a:extLst>
                        <a:ext xmlns:a="http://schemas.openxmlformats.org/drawingml/2006/main" uri="{28A0092B-C50C-407E-A947-70E740481C1C}">
                          <a14:useLocalDpi xmlns:a14="http://schemas.microsoft.com/office/drawing/2010/main" val="0"/>
                        </a:ext>
                      </a:extLst>
                    </a:blip>
                    <a:stretch>
                      <a:fillRect/>
                    </a:stretch>
                  </pic:blipFill>
                  <pic:spPr>
                    <a:xfrm>
                      <a:off x="0" y="0"/>
                      <a:ext cx="678180" cy="403860"/>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sidR="00C30E28">
        <w:rPr>
          <w:rFonts w:ascii="Times New Roman" w:eastAsia="宋体" w:hAnsi="Times New Roman" w:cs="Times New Roman"/>
          <w:sz w:val="24"/>
        </w:rPr>
        <w:t>（</w:t>
      </w:r>
      <w:r w:rsidR="00C30E28">
        <w:rPr>
          <w:rFonts w:ascii="Times New Roman" w:eastAsia="Times New Roman" w:hAnsi="Times New Roman" w:cs="Times New Roman"/>
          <w:sz w:val="24"/>
        </w:rPr>
        <w:t>3.1</w:t>
      </w:r>
      <w:r w:rsidR="00C30E28">
        <w:rPr>
          <w:rFonts w:ascii="Times New Roman" w:eastAsia="宋体" w:hAnsi="Times New Roman" w:cs="Times New Roman"/>
          <w:sz w:val="24"/>
        </w:rPr>
        <w:t>）</w:t>
      </w:r>
    </w:p>
    <w:p w:rsidR="00D359BE" w:rsidP="00F14C2B" w14:paraId="5979E3BC" w14:textId="2F0BC4B7">
      <w:pPr>
        <w:adjustRightInd w:val="0"/>
        <w:snapToGrid w:val="0"/>
        <w:spacing w:line="300" w:lineRule="auto"/>
        <w:ind w:right="2"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式中</w:t>
      </w:r>
      <w:r>
        <w:rPr>
          <w:rFonts w:ascii="Times New Roman" w:eastAsia="宋体" w:hAnsi="Times New Roman" w:cs="Times New Roman" w:hint="eastAsia"/>
          <w:sz w:val="24"/>
          <w:szCs w:val="24"/>
        </w:rPr>
        <w:t>：</w:t>
      </w:r>
      <w:r>
        <w:rPr>
          <w:rFonts w:ascii="Times New Roman" w:eastAsia="宋体" w:hAnsi="Times New Roman" w:cs="Times New Roman"/>
          <w:noProof/>
          <w:position w:val="-12"/>
          <w:sz w:val="24"/>
          <w:szCs w:val="24"/>
        </w:rPr>
        <w:drawing>
          <wp:inline distT="0" distB="0" distL="0" distR="0">
            <wp:extent cx="175260" cy="23622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noChangeArrowheads="1"/>
                    </pic:cNvPicPr>
                  </pic:nvPicPr>
                  <pic:blipFill>
                    <a:blip xmlns:r="http://schemas.openxmlformats.org/officeDocument/2006/relationships" r:embed="rId8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5260" cy="236220"/>
                    </a:xfrm>
                    <a:prstGeom prst="rect">
                      <a:avLst/>
                    </a:prstGeom>
                    <a:noFill/>
                    <a:ln>
                      <a:noFill/>
                    </a:ln>
                  </pic:spPr>
                </pic:pic>
              </a:graphicData>
            </a:graphic>
          </wp:inline>
        </w:drawing>
      </w:r>
      <w:r>
        <w:rPr>
          <w:rFonts w:ascii="Times New Roman" w:eastAsia="宋体" w:hAnsi="Times New Roman" w:cs="Times New Roman"/>
          <w:sz w:val="24"/>
          <w:szCs w:val="24"/>
        </w:rPr>
        <w:t>——</w:t>
      </w:r>
      <w:r>
        <w:rPr>
          <w:rFonts w:ascii="Times New Roman" w:eastAsia="宋体" w:hAnsi="Times New Roman" w:cs="Times New Roman"/>
          <w:sz w:val="24"/>
          <w:szCs w:val="24"/>
        </w:rPr>
        <w:t>原油的设计容量，</w:t>
      </w:r>
      <w:r>
        <w:rPr>
          <w:rFonts w:ascii="Times New Roman" w:eastAsia="宋体" w:hAnsi="Times New Roman" w:cs="Times New Roman"/>
          <w:sz w:val="24"/>
          <w:szCs w:val="24"/>
        </w:rPr>
        <w:t>m</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w:t>
      </w:r>
    </w:p>
    <w:p w:rsidR="00D359BE" w:rsidP="00F14C2B" w14:paraId="34229976" w14:textId="77777777">
      <w:pPr>
        <w:adjustRightInd w:val="0"/>
        <w:snapToGrid w:val="0"/>
        <w:spacing w:line="300" w:lineRule="auto"/>
        <w:ind w:right="2" w:firstLine="1200" w:firstLineChars="500"/>
        <w:rPr>
          <w:rFonts w:ascii="Times New Roman" w:eastAsia="宋体" w:hAnsi="Times New Roman" w:cs="Times New Roman"/>
          <w:sz w:val="24"/>
          <w:szCs w:val="24"/>
        </w:rPr>
      </w:pPr>
      <w:r>
        <w:rPr>
          <w:rFonts w:ascii="Times New Roman" w:eastAsia="宋体" w:hAnsi="Times New Roman" w:cs="Times New Roman"/>
          <w:i/>
          <w:noProof/>
          <w:position w:val="-6"/>
          <w:sz w:val="24"/>
          <w:szCs w:val="24"/>
        </w:rPr>
        <w:drawing>
          <wp:inline distT="0" distB="0" distL="0" distR="0">
            <wp:extent cx="175260" cy="17526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xmlns:r="http://schemas.openxmlformats.org/officeDocument/2006/relationships" r:embed="rId8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5260" cy="175260"/>
                    </a:xfrm>
                    <a:prstGeom prst="rect">
                      <a:avLst/>
                    </a:prstGeom>
                    <a:noFill/>
                    <a:ln>
                      <a:noFill/>
                    </a:ln>
                  </pic:spPr>
                </pic:pic>
              </a:graphicData>
            </a:graphic>
          </wp:inline>
        </w:drawing>
      </w:r>
      <w:r>
        <w:rPr>
          <w:rFonts w:ascii="Times New Roman" w:eastAsia="宋体" w:hAnsi="Times New Roman" w:cs="Times New Roman"/>
          <w:sz w:val="24"/>
          <w:szCs w:val="24"/>
        </w:rPr>
        <w:t>——</w:t>
      </w:r>
      <w:r>
        <w:rPr>
          <w:rFonts w:ascii="Times New Roman" w:eastAsia="宋体" w:hAnsi="Times New Roman" w:cs="Times New Roman"/>
          <w:sz w:val="24"/>
          <w:szCs w:val="24"/>
        </w:rPr>
        <w:t>原油的年周转额，</w:t>
      </w:r>
      <w:r>
        <w:rPr>
          <w:rFonts w:ascii="Times New Roman" w:eastAsia="宋体" w:hAnsi="Times New Roman" w:cs="Times New Roman"/>
          <w:sz w:val="24"/>
          <w:szCs w:val="24"/>
        </w:rPr>
        <w:t>t</w:t>
      </w:r>
      <w:r>
        <w:rPr>
          <w:rFonts w:ascii="Times New Roman" w:eastAsia="宋体" w:hAnsi="Times New Roman" w:cs="Times New Roman"/>
          <w:sz w:val="24"/>
          <w:szCs w:val="24"/>
        </w:rPr>
        <w:t>；</w:t>
      </w:r>
    </w:p>
    <w:p w:rsidR="00D359BE" w:rsidP="00F14C2B" w14:paraId="2E660881" w14:textId="77777777">
      <w:pPr>
        <w:adjustRightInd w:val="0"/>
        <w:snapToGrid w:val="0"/>
        <w:spacing w:line="300" w:lineRule="auto"/>
        <w:ind w:right="2" w:firstLine="1200" w:firstLineChars="500"/>
        <w:rPr>
          <w:rFonts w:ascii="Times New Roman" w:eastAsia="宋体" w:hAnsi="Times New Roman" w:cs="Times New Roman"/>
          <w:sz w:val="24"/>
          <w:szCs w:val="24"/>
        </w:rPr>
      </w:pPr>
      <w:r>
        <w:rPr>
          <w:rFonts w:ascii="Times New Roman" w:eastAsia="宋体" w:hAnsi="Times New Roman" w:cs="Times New Roman"/>
          <w:i/>
          <w:noProof/>
          <w:position w:val="-10"/>
          <w:sz w:val="24"/>
          <w:szCs w:val="24"/>
        </w:rPr>
        <w:drawing>
          <wp:inline distT="0" distB="0" distL="0" distR="0">
            <wp:extent cx="152400" cy="17526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xmlns:r="http://schemas.openxmlformats.org/officeDocument/2006/relationships" r:embed="rId8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 cy="175260"/>
                    </a:xfrm>
                    <a:prstGeom prst="rect">
                      <a:avLst/>
                    </a:prstGeom>
                    <a:noFill/>
                    <a:ln>
                      <a:noFill/>
                    </a:ln>
                  </pic:spPr>
                </pic:pic>
              </a:graphicData>
            </a:graphic>
          </wp:inline>
        </w:drawing>
      </w:r>
      <w:r>
        <w:rPr>
          <w:rFonts w:ascii="Times New Roman" w:eastAsia="宋体" w:hAnsi="Times New Roman" w:cs="Times New Roman"/>
          <w:sz w:val="24"/>
          <w:szCs w:val="24"/>
        </w:rPr>
        <w:t>——</w:t>
      </w:r>
      <w:r>
        <w:rPr>
          <w:rFonts w:ascii="Times New Roman" w:eastAsia="宋体" w:hAnsi="Times New Roman" w:cs="Times New Roman"/>
          <w:sz w:val="24"/>
          <w:szCs w:val="24"/>
        </w:rPr>
        <w:t>原油储存温度下的密度，</w:t>
      </w:r>
      <w:r>
        <w:rPr>
          <w:rFonts w:ascii="Times New Roman" w:eastAsia="宋体" w:hAnsi="Times New Roman" w:cs="Times New Roman"/>
          <w:sz w:val="24"/>
          <w:szCs w:val="24"/>
        </w:rPr>
        <w:t>t/m</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w:t>
      </w:r>
    </w:p>
    <w:p w:rsidR="00D359BE" w:rsidP="00F14C2B" w14:paraId="1B60FF07" w14:textId="77777777">
      <w:pPr>
        <w:adjustRightInd w:val="0"/>
        <w:snapToGrid w:val="0"/>
        <w:spacing w:line="300" w:lineRule="auto"/>
        <w:ind w:right="2960" w:firstLine="1200" w:firstLineChars="500"/>
        <w:rPr>
          <w:rFonts w:ascii="Times New Roman" w:eastAsia="宋体" w:hAnsi="Times New Roman" w:cs="Times New Roman"/>
          <w:sz w:val="24"/>
          <w:szCs w:val="24"/>
        </w:rPr>
      </w:pPr>
      <w:r>
        <w:rPr>
          <w:rFonts w:ascii="Times New Roman" w:eastAsia="宋体" w:hAnsi="Times New Roman" w:cs="Times New Roman"/>
          <w:noProof/>
          <w:position w:val="-4"/>
          <w:sz w:val="24"/>
          <w:szCs w:val="24"/>
        </w:rPr>
        <w:drawing>
          <wp:inline distT="0" distB="0" distL="0" distR="0">
            <wp:extent cx="175260" cy="175260"/>
            <wp:effectExtent l="0" t="0" r="7620" b="635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xmlns:r="http://schemas.openxmlformats.org/officeDocument/2006/relationships" r:embed="rId8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5260" cy="175260"/>
                    </a:xfrm>
                    <a:prstGeom prst="rect">
                      <a:avLst/>
                    </a:prstGeom>
                    <a:noFill/>
                    <a:ln>
                      <a:noFill/>
                    </a:ln>
                  </pic:spPr>
                </pic:pic>
              </a:graphicData>
            </a:graphic>
          </wp:inline>
        </w:drawing>
      </w:r>
      <w:r>
        <w:rPr>
          <w:rFonts w:ascii="Times New Roman" w:eastAsia="宋体" w:hAnsi="Times New Roman" w:cs="Times New Roman"/>
          <w:sz w:val="24"/>
          <w:szCs w:val="24"/>
        </w:rPr>
        <w:t>——</w:t>
      </w:r>
      <w:r>
        <w:rPr>
          <w:rFonts w:ascii="Times New Roman" w:eastAsia="宋体" w:hAnsi="Times New Roman" w:cs="Times New Roman"/>
          <w:sz w:val="24"/>
          <w:szCs w:val="24"/>
        </w:rPr>
        <w:t>原油的周转系数；</w:t>
      </w:r>
    </w:p>
    <w:p w:rsidR="00D359BE" w:rsidP="00F14C2B" w14:paraId="732471ED" w14:textId="77777777">
      <w:pPr>
        <w:pStyle w:val="NormalWeb"/>
        <w:adjustRightInd w:val="0"/>
        <w:snapToGrid w:val="0"/>
        <w:spacing w:before="0" w:beforeAutospacing="0" w:after="0" w:afterAutospacing="0" w:line="300" w:lineRule="auto"/>
        <w:ind w:firstLine="1200" w:firstLineChars="500"/>
        <w:rPr>
          <w:rFonts w:ascii="Times New Roman" w:hAnsi="Times New Roman" w:cs="Times New Roman"/>
        </w:rPr>
      </w:pPr>
      <w:r>
        <w:rPr>
          <w:rFonts w:ascii="Times New Roman" w:hAnsi="Times New Roman" w:cs="Times New Roman"/>
          <w:noProof/>
          <w:position w:val="-10"/>
        </w:rPr>
        <w:drawing>
          <wp:inline distT="0" distB="0" distL="0" distR="0">
            <wp:extent cx="129540" cy="17526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xmlns:r="http://schemas.openxmlformats.org/officeDocument/2006/relationships" r:embed="rId8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9540" cy="175260"/>
                    </a:xfrm>
                    <a:prstGeom prst="rect">
                      <a:avLst/>
                    </a:prstGeom>
                    <a:noFill/>
                    <a:ln>
                      <a:noFill/>
                    </a:ln>
                  </pic:spPr>
                </pic:pic>
              </a:graphicData>
            </a:graphic>
          </wp:inline>
        </w:drawing>
      </w:r>
      <w:r>
        <w:rPr>
          <w:rFonts w:ascii="Times New Roman" w:hAnsi="Times New Roman" w:cs="Times New Roman"/>
        </w:rPr>
        <w:t>——</w:t>
      </w:r>
      <w:r>
        <w:rPr>
          <w:rFonts w:ascii="Times New Roman" w:hAnsi="Times New Roman" w:cs="Times New Roman"/>
        </w:rPr>
        <w:t>油罐储存系数。</w:t>
      </w:r>
    </w:p>
    <w:p w:rsidR="00D359BE" w:rsidP="00B33D2C" w14:paraId="58338EC0" w14:textId="77777777">
      <w:pPr>
        <w:pStyle w:val="NormalWeb"/>
        <w:adjustRightInd w:val="0"/>
        <w:snapToGrid w:val="0"/>
        <w:spacing w:before="0" w:beforeAutospacing="0" w:after="0" w:afterAutospacing="0" w:line="300" w:lineRule="auto"/>
        <w:ind w:firstLine="480" w:firstLineChars="200"/>
        <w:rPr>
          <w:rFonts w:ascii="Times New Roman" w:hAnsi="Times New Roman" w:cs="Times New Roman"/>
        </w:rPr>
      </w:pPr>
      <w:r>
        <w:rPr>
          <w:rFonts w:ascii="Times New Roman" w:hAnsi="Times New Roman" w:cs="Times New Roman"/>
        </w:rPr>
        <w:t>《石油化工企业储运系统罐区设计规范》（</w:t>
      </w:r>
      <w:r>
        <w:rPr>
          <w:rFonts w:ascii="Times New Roman" w:hAnsi="Times New Roman" w:cs="Times New Roman"/>
        </w:rPr>
        <w:t>SH/T3007—2014</w:t>
      </w:r>
      <w:r>
        <w:rPr>
          <w:rFonts w:ascii="Times New Roman" w:hAnsi="Times New Roman" w:cs="Times New Roman"/>
        </w:rPr>
        <w:t>）中对油罐有详细的规定，具体内容可以参考以下表格</w:t>
      </w:r>
      <w:r>
        <w:rPr>
          <w:rFonts w:ascii="Times New Roman" w:hAnsi="Times New Roman" w:cs="Times New Roman"/>
        </w:rPr>
        <w:t>3.1</w:t>
      </w:r>
      <w:r>
        <w:rPr>
          <w:rFonts w:ascii="Times New Roman" w:hAnsi="Times New Roman" w:cs="Times New Roman"/>
        </w:rPr>
        <w:t>。</w:t>
      </w:r>
    </w:p>
    <w:p w:rsidR="00D359BE" w14:paraId="4CF84D1E" w14:textId="77777777">
      <w:pPr>
        <w:pStyle w:val="NormalWeb"/>
        <w:spacing w:before="0" w:beforeAutospacing="0" w:after="0" w:afterAutospacing="0"/>
        <w:ind w:firstLine="480" w:firstLineChars="200"/>
        <w:rPr>
          <w:rFonts w:ascii="Times New Roman" w:hAnsi="Times New Roman" w:cs="Times New Roman"/>
        </w:rPr>
      </w:pPr>
    </w:p>
    <w:p w:rsidR="00D359BE" w:rsidP="00B33D2C" w14:paraId="6CB34AEB" w14:textId="77777777">
      <w:pPr>
        <w:adjustRightInd w:val="0"/>
        <w:snapToGrid w:val="0"/>
        <w:spacing w:after="3" w:line="300" w:lineRule="auto"/>
        <w:ind w:left="369" w:right="635" w:firstLine="420" w:firstLineChars="200"/>
        <w:jc w:val="center"/>
        <w:rPr>
          <w:rFonts w:ascii="Times New Roman" w:eastAsia="宋体" w:hAnsi="Times New Roman" w:cs="Times New Roman"/>
          <w:szCs w:val="21"/>
        </w:rPr>
      </w:pPr>
      <w:r>
        <w:rPr>
          <w:rFonts w:ascii="Times New Roman" w:eastAsia="宋体" w:hAnsi="Times New Roman" w:cs="Times New Roman"/>
          <w:szCs w:val="21"/>
        </w:rPr>
        <w:t>表</w:t>
      </w:r>
      <w:r>
        <w:rPr>
          <w:rFonts w:ascii="Times New Roman" w:eastAsia="宋体" w:hAnsi="Times New Roman" w:cs="Times New Roman"/>
          <w:szCs w:val="21"/>
        </w:rPr>
        <w:t xml:space="preserve">3.1 </w:t>
      </w:r>
      <w:r>
        <w:rPr>
          <w:rFonts w:ascii="Times New Roman" w:eastAsia="宋体" w:hAnsi="Times New Roman" w:cs="Times New Roman"/>
          <w:szCs w:val="21"/>
        </w:rPr>
        <w:t>不同类型储罐储存系数</w:t>
      </w:r>
      <w:r>
        <w:rPr>
          <w:rFonts w:ascii="Times New Roman" w:eastAsia="宋体" w:hAnsi="Times New Roman" w:cs="Times New Roman"/>
          <w:szCs w:val="21"/>
        </w:rPr>
        <w:t xml:space="preserve"> </w:t>
      </w:r>
    </w:p>
    <w:tbl>
      <w:tblPr>
        <w:tblStyle w:val="TableGrid1"/>
        <w:tblW w:w="8538" w:type="dxa"/>
        <w:jc w:val="center"/>
        <w:tblInd w:w="0" w:type="dxa"/>
        <w:tblBorders>
          <w:top w:val="single" w:sz="4" w:space="0" w:color="auto"/>
          <w:bottom w:val="single" w:sz="4" w:space="0" w:color="auto"/>
        </w:tblBorders>
        <w:tblCellMar>
          <w:top w:w="28" w:type="dxa"/>
          <w:left w:w="115" w:type="dxa"/>
          <w:right w:w="115" w:type="dxa"/>
        </w:tblCellMar>
        <w:tblLook w:val="04A0"/>
      </w:tblPr>
      <w:tblGrid>
        <w:gridCol w:w="2854"/>
        <w:gridCol w:w="2842"/>
        <w:gridCol w:w="2842"/>
      </w:tblGrid>
      <w:tr w14:paraId="1C32D9B7" w14:textId="77777777" w:rsidTr="00B33D2C">
        <w:tblPrEx>
          <w:tblW w:w="8538" w:type="dxa"/>
          <w:jc w:val="center"/>
          <w:tblInd w:w="0" w:type="dxa"/>
          <w:tblBorders>
            <w:top w:val="single" w:sz="4" w:space="0" w:color="auto"/>
            <w:bottom w:val="single" w:sz="4" w:space="0" w:color="auto"/>
          </w:tblBorders>
          <w:tblCellMar>
            <w:top w:w="28" w:type="dxa"/>
            <w:left w:w="115" w:type="dxa"/>
            <w:right w:w="115" w:type="dxa"/>
          </w:tblCellMar>
          <w:tblLook w:val="04A0"/>
        </w:tblPrEx>
        <w:trPr>
          <w:trHeight w:val="360"/>
          <w:jc w:val="center"/>
        </w:trPr>
        <w:tc>
          <w:tcPr>
            <w:tcW w:w="5696" w:type="dxa"/>
            <w:gridSpan w:val="2"/>
            <w:tcBorders>
              <w:top w:val="single" w:sz="4" w:space="0" w:color="auto"/>
              <w:bottom w:val="single" w:sz="4" w:space="0" w:color="auto"/>
            </w:tcBorders>
            <w:vAlign w:val="center"/>
          </w:tcPr>
          <w:p w:rsidR="00D359BE" w:rsidP="00B33D2C" w14:paraId="354DFD1A" w14:textId="64339F89">
            <w:pPr>
              <w:adjustRightInd w:val="0"/>
              <w:snapToGrid w:val="0"/>
              <w:spacing w:line="300" w:lineRule="auto"/>
              <w:ind w:left="15" w:firstLine="420" w:firstLineChars="200"/>
              <w:jc w:val="center"/>
              <w:rPr>
                <w:rFonts w:ascii="Times New Roman" w:eastAsia="宋体" w:hAnsi="Times New Roman"/>
                <w:szCs w:val="21"/>
              </w:rPr>
            </w:pPr>
            <w:r>
              <w:rPr>
                <w:rFonts w:ascii="Times New Roman" w:eastAsia="宋体" w:hAnsi="Times New Roman"/>
                <w:szCs w:val="21"/>
              </w:rPr>
              <w:t>储罐类型</w:t>
            </w:r>
          </w:p>
        </w:tc>
        <w:tc>
          <w:tcPr>
            <w:tcW w:w="2842" w:type="dxa"/>
            <w:tcBorders>
              <w:top w:val="single" w:sz="4" w:space="0" w:color="auto"/>
              <w:bottom w:val="single" w:sz="4" w:space="0" w:color="auto"/>
            </w:tcBorders>
            <w:vAlign w:val="center"/>
          </w:tcPr>
          <w:p w:rsidR="00D359BE" w:rsidP="00B33D2C" w14:paraId="0BF39F4C" w14:textId="2B7C2836">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储存系数</w:t>
            </w:r>
          </w:p>
        </w:tc>
      </w:tr>
      <w:tr w14:paraId="5832FFD1" w14:textId="77777777" w:rsidTr="00B33D2C">
        <w:tblPrEx>
          <w:tblW w:w="8538" w:type="dxa"/>
          <w:jc w:val="center"/>
          <w:tblInd w:w="0" w:type="dxa"/>
          <w:tblCellMar>
            <w:top w:w="28" w:type="dxa"/>
            <w:left w:w="115" w:type="dxa"/>
            <w:right w:w="115" w:type="dxa"/>
          </w:tblCellMar>
          <w:tblLook w:val="04A0"/>
        </w:tblPrEx>
        <w:trPr>
          <w:trHeight w:val="350"/>
          <w:jc w:val="center"/>
        </w:trPr>
        <w:tc>
          <w:tcPr>
            <w:tcW w:w="2854" w:type="dxa"/>
            <w:vMerge w:val="restart"/>
            <w:tcBorders>
              <w:top w:val="single" w:sz="4" w:space="0" w:color="auto"/>
            </w:tcBorders>
            <w:vAlign w:val="center"/>
          </w:tcPr>
          <w:p w:rsidR="00D359BE" w:rsidP="00B33D2C" w14:paraId="65D6F04F" w14:textId="551F5723">
            <w:pPr>
              <w:adjustRightInd w:val="0"/>
              <w:snapToGrid w:val="0"/>
              <w:spacing w:line="300" w:lineRule="auto"/>
              <w:ind w:left="14" w:firstLine="420" w:firstLineChars="200"/>
              <w:jc w:val="center"/>
              <w:rPr>
                <w:rFonts w:ascii="Times New Roman" w:eastAsia="宋体" w:hAnsi="Times New Roman"/>
                <w:szCs w:val="21"/>
              </w:rPr>
            </w:pPr>
            <w:r>
              <w:rPr>
                <w:rFonts w:ascii="Times New Roman" w:eastAsia="宋体" w:hAnsi="Times New Roman"/>
                <w:szCs w:val="21"/>
              </w:rPr>
              <w:t>固定顶罐</w:t>
            </w:r>
          </w:p>
        </w:tc>
        <w:tc>
          <w:tcPr>
            <w:tcW w:w="2842" w:type="dxa"/>
            <w:tcBorders>
              <w:top w:val="single" w:sz="4" w:space="0" w:color="auto"/>
            </w:tcBorders>
            <w:vAlign w:val="center"/>
          </w:tcPr>
          <w:p w:rsidR="00D359BE" w:rsidP="00B33D2C" w14:paraId="01CDF4B3" w14:textId="2E5ECA69">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罐容</w:t>
            </w:r>
            <w:r>
              <w:rPr>
                <w:rFonts w:ascii="Times New Roman" w:eastAsia="宋体" w:hAnsi="Times New Roman"/>
                <w:szCs w:val="21"/>
              </w:rPr>
              <w:t>&lt;1000m</w:t>
            </w:r>
            <w:r>
              <w:rPr>
                <w:rFonts w:ascii="Times New Roman" w:eastAsia="宋体" w:hAnsi="Times New Roman"/>
                <w:szCs w:val="21"/>
                <w:vertAlign w:val="superscript"/>
              </w:rPr>
              <w:t>3</w:t>
            </w:r>
          </w:p>
        </w:tc>
        <w:tc>
          <w:tcPr>
            <w:tcW w:w="2842" w:type="dxa"/>
            <w:tcBorders>
              <w:top w:val="single" w:sz="4" w:space="0" w:color="auto"/>
            </w:tcBorders>
            <w:vAlign w:val="center"/>
          </w:tcPr>
          <w:p w:rsidR="00D359BE" w:rsidP="00B33D2C" w14:paraId="55311D04" w14:textId="0587D8D1">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0.85</w:t>
            </w:r>
          </w:p>
        </w:tc>
      </w:tr>
      <w:tr w14:paraId="08622D86" w14:textId="77777777" w:rsidTr="00B33D2C">
        <w:tblPrEx>
          <w:tblW w:w="8538" w:type="dxa"/>
          <w:jc w:val="center"/>
          <w:tblInd w:w="0" w:type="dxa"/>
          <w:tblCellMar>
            <w:top w:w="28" w:type="dxa"/>
            <w:left w:w="115" w:type="dxa"/>
            <w:right w:w="115" w:type="dxa"/>
          </w:tblCellMar>
          <w:tblLook w:val="04A0"/>
        </w:tblPrEx>
        <w:trPr>
          <w:trHeight w:val="350"/>
          <w:jc w:val="center"/>
        </w:trPr>
        <w:tc>
          <w:tcPr>
            <w:tcW w:w="0" w:type="auto"/>
            <w:vMerge/>
            <w:vAlign w:val="center"/>
          </w:tcPr>
          <w:p w:rsidR="00D359BE" w:rsidP="00B33D2C" w14:paraId="378CCBD8" w14:textId="77777777">
            <w:pPr>
              <w:adjustRightInd w:val="0"/>
              <w:snapToGrid w:val="0"/>
              <w:spacing w:line="300" w:lineRule="auto"/>
              <w:ind w:firstLine="420" w:firstLineChars="200"/>
              <w:jc w:val="center"/>
              <w:rPr>
                <w:rFonts w:ascii="Times New Roman" w:eastAsia="宋体" w:hAnsi="Times New Roman"/>
                <w:szCs w:val="21"/>
              </w:rPr>
            </w:pPr>
          </w:p>
        </w:tc>
        <w:tc>
          <w:tcPr>
            <w:tcW w:w="2842" w:type="dxa"/>
            <w:vAlign w:val="center"/>
          </w:tcPr>
          <w:p w:rsidR="00D359BE" w:rsidP="00B33D2C" w14:paraId="2F74EBEC" w14:textId="47958605">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罐容</w:t>
            </w:r>
            <w:r>
              <w:rPr>
                <w:rFonts w:ascii="Times New Roman" w:eastAsia="宋体" w:hAnsi="Times New Roman"/>
                <w:szCs w:val="21"/>
              </w:rPr>
              <w:t>&gt;1000m</w:t>
            </w:r>
            <w:r>
              <w:rPr>
                <w:rFonts w:ascii="Times New Roman" w:eastAsia="宋体" w:hAnsi="Times New Roman"/>
                <w:szCs w:val="21"/>
                <w:vertAlign w:val="superscript"/>
              </w:rPr>
              <w:t>3</w:t>
            </w:r>
          </w:p>
        </w:tc>
        <w:tc>
          <w:tcPr>
            <w:tcW w:w="2842" w:type="dxa"/>
            <w:vAlign w:val="center"/>
          </w:tcPr>
          <w:p w:rsidR="00D359BE" w:rsidP="00B33D2C" w14:paraId="338B7708" w14:textId="4E433B37">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0.90</w:t>
            </w:r>
          </w:p>
        </w:tc>
      </w:tr>
      <w:tr w14:paraId="5C3D335C" w14:textId="77777777" w:rsidTr="00B33D2C">
        <w:tblPrEx>
          <w:tblW w:w="8538" w:type="dxa"/>
          <w:jc w:val="center"/>
          <w:tblInd w:w="0" w:type="dxa"/>
          <w:tblCellMar>
            <w:top w:w="28" w:type="dxa"/>
            <w:left w:w="115" w:type="dxa"/>
            <w:right w:w="115" w:type="dxa"/>
          </w:tblCellMar>
          <w:tblLook w:val="04A0"/>
        </w:tblPrEx>
        <w:trPr>
          <w:trHeight w:val="350"/>
          <w:jc w:val="center"/>
        </w:trPr>
        <w:tc>
          <w:tcPr>
            <w:tcW w:w="5696" w:type="dxa"/>
            <w:gridSpan w:val="2"/>
            <w:vAlign w:val="center"/>
          </w:tcPr>
          <w:p w:rsidR="00D359BE" w:rsidP="00B33D2C" w14:paraId="39792953" w14:textId="04439F2D">
            <w:pPr>
              <w:adjustRightInd w:val="0"/>
              <w:snapToGrid w:val="0"/>
              <w:spacing w:line="300" w:lineRule="auto"/>
              <w:ind w:left="14" w:firstLine="420" w:firstLineChars="200"/>
              <w:jc w:val="center"/>
              <w:rPr>
                <w:rFonts w:ascii="Times New Roman" w:eastAsia="宋体" w:hAnsi="Times New Roman"/>
                <w:szCs w:val="21"/>
              </w:rPr>
            </w:pPr>
            <w:r>
              <w:rPr>
                <w:rFonts w:ascii="Times New Roman" w:eastAsia="宋体" w:hAnsi="Times New Roman"/>
                <w:szCs w:val="21"/>
              </w:rPr>
              <w:t>浮顶罐和</w:t>
            </w:r>
            <w:r>
              <w:rPr>
                <w:rFonts w:ascii="Times New Roman" w:eastAsia="宋体" w:hAnsi="Times New Roman"/>
                <w:szCs w:val="21"/>
              </w:rPr>
              <w:t>内</w:t>
            </w:r>
            <w:r>
              <w:rPr>
                <w:rFonts w:ascii="Times New Roman" w:eastAsia="宋体" w:hAnsi="Times New Roman"/>
                <w:szCs w:val="21"/>
              </w:rPr>
              <w:t>浮顶罐</w:t>
            </w:r>
          </w:p>
        </w:tc>
        <w:tc>
          <w:tcPr>
            <w:tcW w:w="2842" w:type="dxa"/>
            <w:vAlign w:val="center"/>
          </w:tcPr>
          <w:p w:rsidR="00D359BE" w:rsidP="00B33D2C" w14:paraId="78331F1A" w14:textId="313E2DEE">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0.90</w:t>
            </w:r>
          </w:p>
        </w:tc>
      </w:tr>
      <w:tr w14:paraId="6820579E" w14:textId="77777777" w:rsidTr="00B33D2C">
        <w:tblPrEx>
          <w:tblW w:w="8538" w:type="dxa"/>
          <w:jc w:val="center"/>
          <w:tblInd w:w="0" w:type="dxa"/>
          <w:tblCellMar>
            <w:top w:w="28" w:type="dxa"/>
            <w:left w:w="115" w:type="dxa"/>
            <w:right w:w="115" w:type="dxa"/>
          </w:tblCellMar>
          <w:tblLook w:val="04A0"/>
        </w:tblPrEx>
        <w:trPr>
          <w:trHeight w:val="363"/>
          <w:jc w:val="center"/>
        </w:trPr>
        <w:tc>
          <w:tcPr>
            <w:tcW w:w="5696" w:type="dxa"/>
            <w:gridSpan w:val="2"/>
            <w:vAlign w:val="center"/>
          </w:tcPr>
          <w:p w:rsidR="00D359BE" w:rsidP="00B33D2C" w14:paraId="32E847A2" w14:textId="3974E039">
            <w:pPr>
              <w:adjustRightInd w:val="0"/>
              <w:snapToGrid w:val="0"/>
              <w:spacing w:line="300" w:lineRule="auto"/>
              <w:ind w:left="15" w:firstLine="420" w:firstLineChars="200"/>
              <w:jc w:val="center"/>
              <w:rPr>
                <w:rFonts w:ascii="Times New Roman" w:eastAsia="宋体" w:hAnsi="Times New Roman"/>
                <w:szCs w:val="21"/>
              </w:rPr>
            </w:pPr>
            <w:r>
              <w:rPr>
                <w:rFonts w:ascii="Times New Roman" w:eastAsia="宋体" w:hAnsi="Times New Roman"/>
                <w:szCs w:val="21"/>
              </w:rPr>
              <w:t>球罐和卧罐</w:t>
            </w:r>
          </w:p>
        </w:tc>
        <w:tc>
          <w:tcPr>
            <w:tcW w:w="2842" w:type="dxa"/>
            <w:vAlign w:val="center"/>
          </w:tcPr>
          <w:p w:rsidR="00D359BE" w:rsidP="00B33D2C" w14:paraId="1410EB52" w14:textId="53CABF9A">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0.90</w:t>
            </w:r>
          </w:p>
        </w:tc>
      </w:tr>
      <w:bookmarkEnd w:id="32"/>
    </w:tbl>
    <w:p w:rsidR="00D359BE" w14:paraId="3BCE3665" w14:textId="77777777">
      <w:pPr>
        <w:snapToGrid w:val="0"/>
        <w:spacing w:line="300" w:lineRule="auto"/>
        <w:ind w:firstLine="480" w:firstLineChars="200"/>
        <w:rPr>
          <w:rFonts w:ascii="Times New Roman" w:eastAsia="宋体" w:hAnsi="Times New Roman" w:cs="Times New Roman"/>
          <w:sz w:val="24"/>
        </w:rPr>
      </w:pPr>
    </w:p>
    <w:p w:rsidR="00D359BE" w:rsidP="00B33D2C" w14:paraId="71098D0A" w14:textId="0D6E63BA">
      <w:pPr>
        <w:adjustRightInd w:val="0"/>
        <w:snapToGrid w:val="0"/>
        <w:spacing w:line="30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当采用周转系数法来确定库容时，原油周转系数</w:t>
      </w:r>
      <w:r>
        <w:rPr>
          <w:rFonts w:ascii="Times New Roman" w:eastAsia="宋体" w:hAnsi="Times New Roman" w:cs="Times New Roman"/>
          <w:sz w:val="24"/>
        </w:rPr>
        <w:t>K</w:t>
      </w:r>
      <w:r>
        <w:rPr>
          <w:rFonts w:ascii="Times New Roman" w:eastAsia="宋体" w:hAnsi="Times New Roman" w:cs="Times New Roman"/>
          <w:sz w:val="24"/>
        </w:rPr>
        <w:t>是一个重要的参数，在计算公式中，</w:t>
      </w:r>
      <w:r>
        <w:rPr>
          <w:rFonts w:ascii="Times New Roman" w:eastAsia="宋体" w:hAnsi="Times New Roman" w:cs="Times New Roman"/>
          <w:sz w:val="24"/>
        </w:rPr>
        <w:t>K</w:t>
      </w:r>
      <w:r>
        <w:rPr>
          <w:rFonts w:ascii="Times New Roman" w:eastAsia="宋体" w:hAnsi="Times New Roman" w:cs="Times New Roman"/>
          <w:sz w:val="24"/>
        </w:rPr>
        <w:t>值为通过库容量所确定的参考范围，</w:t>
      </w:r>
      <w:r>
        <w:rPr>
          <w:rFonts w:ascii="Times New Roman" w:eastAsia="宋体" w:hAnsi="Times New Roman" w:cs="Times New Roman" w:hint="eastAsia"/>
          <w:sz w:val="24"/>
        </w:rPr>
        <w:t>因已给出周转系数</w:t>
      </w:r>
      <w:r>
        <w:rPr>
          <w:rFonts w:ascii="Times New Roman" w:eastAsia="宋体" w:hAnsi="Times New Roman" w:cs="Times New Roman" w:hint="eastAsia"/>
          <w:sz w:val="24"/>
        </w:rPr>
        <w:t>K</w:t>
      </w:r>
      <w:r>
        <w:rPr>
          <w:rFonts w:ascii="Times New Roman" w:eastAsia="宋体" w:hAnsi="Times New Roman" w:cs="Times New Roman" w:hint="eastAsia"/>
          <w:sz w:val="24"/>
        </w:rPr>
        <w:t>，如表</w:t>
      </w:r>
      <w:r>
        <w:rPr>
          <w:rFonts w:ascii="Times New Roman" w:eastAsia="宋体" w:hAnsi="Times New Roman" w:cs="Times New Roman" w:hint="eastAsia"/>
          <w:sz w:val="24"/>
        </w:rPr>
        <w:t>3</w:t>
      </w:r>
      <w:r>
        <w:rPr>
          <w:rFonts w:ascii="Times New Roman" w:eastAsia="宋体" w:hAnsi="Times New Roman" w:cs="Times New Roman"/>
          <w:sz w:val="24"/>
        </w:rPr>
        <w:t>.2</w:t>
      </w:r>
      <w:r>
        <w:rPr>
          <w:rFonts w:ascii="Times New Roman" w:eastAsia="宋体" w:hAnsi="Times New Roman" w:cs="Times New Roman" w:hint="eastAsia"/>
          <w:sz w:val="24"/>
        </w:rPr>
        <w:t>所示，故可直接使用周转系数法，得出更为精准的数据。</w:t>
      </w:r>
    </w:p>
    <w:p w:rsidR="00D359BE" w14:paraId="1674BC5C" w14:textId="77777777">
      <w:pPr>
        <w:snapToGrid w:val="0"/>
        <w:spacing w:line="300" w:lineRule="auto"/>
        <w:ind w:firstLine="480" w:firstLineChars="200"/>
        <w:rPr>
          <w:rFonts w:ascii="Times New Roman" w:eastAsia="宋体" w:hAnsi="Times New Roman" w:cs="Times New Roman"/>
          <w:sz w:val="24"/>
        </w:rPr>
      </w:pPr>
    </w:p>
    <w:p w:rsidR="00D15E05" w:rsidP="00B33D2C" w14:paraId="797E11FE" w14:textId="77777777">
      <w:pPr>
        <w:adjustRightInd w:val="0"/>
        <w:snapToGrid w:val="0"/>
        <w:spacing w:line="300" w:lineRule="auto"/>
        <w:ind w:firstLine="420" w:firstLineChars="200"/>
        <w:jc w:val="center"/>
        <w:rPr>
          <w:rFonts w:ascii="Times New Roman" w:eastAsia="宋体" w:hAnsi="Times New Roman" w:cs="Times New Roman"/>
          <w:szCs w:val="21"/>
        </w:rPr>
        <w:sectPr>
          <w:headerReference w:type="even" r:id="rId90"/>
          <w:headerReference w:type="default" r:id="rId91"/>
          <w:footerReference w:type="even" r:id="rId92"/>
          <w:footerReference w:type="default" r:id="rId93"/>
          <w:headerReference w:type="first" r:id="rId94"/>
          <w:footerReference w:type="first" r:id="rId95"/>
          <w:type w:val="nextPage"/>
          <w:pgSz w:w="11906" w:h="16838"/>
          <w:pgMar w:top="1985" w:right="1418" w:bottom="1418" w:left="1418" w:header="1417" w:footer="1134" w:gutter="0"/>
          <w:pgNumType w:start="9"/>
          <w:cols w:space="425"/>
          <w:titlePg w:val="0"/>
          <w:docGrid w:linePitch="312"/>
        </w:sectPr>
      </w:pPr>
      <w:bookmarkStart w:id="33" w:name="_Hlk134107791"/>
    </w:p>
    <w:p w:rsidR="00D359BE" w:rsidP="00B33D2C" w14:paraId="176AD57D" w14:textId="056E74A8">
      <w:pPr>
        <w:adjustRightInd w:val="0"/>
        <w:snapToGrid w:val="0"/>
        <w:spacing w:line="300" w:lineRule="auto"/>
        <w:ind w:firstLine="420" w:firstLineChars="200"/>
        <w:jc w:val="center"/>
        <w:rPr>
          <w:rFonts w:ascii="Times New Roman" w:eastAsia="宋体" w:hAnsi="Times New Roman" w:cs="Times New Roman"/>
          <w:szCs w:val="21"/>
        </w:rPr>
      </w:pPr>
      <w:r>
        <w:rPr>
          <w:rFonts w:ascii="Times New Roman" w:eastAsia="宋体" w:hAnsi="Times New Roman" w:cs="Times New Roman" w:hint="eastAsia"/>
          <w:szCs w:val="21"/>
        </w:rPr>
        <w:t>表</w:t>
      </w:r>
      <w:r>
        <w:rPr>
          <w:rFonts w:ascii="Times New Roman" w:eastAsia="宋体" w:hAnsi="Times New Roman" w:cs="Times New Roman" w:hint="eastAsia"/>
          <w:szCs w:val="21"/>
        </w:rPr>
        <w:t>3</w:t>
      </w:r>
      <w:r>
        <w:rPr>
          <w:rFonts w:ascii="Times New Roman" w:eastAsia="宋体" w:hAnsi="Times New Roman" w:cs="Times New Roman"/>
          <w:szCs w:val="21"/>
        </w:rPr>
        <w:t xml:space="preserve">.2 </w:t>
      </w:r>
      <w:r>
        <w:rPr>
          <w:rFonts w:ascii="Times New Roman" w:eastAsia="宋体" w:hAnsi="Times New Roman" w:cs="Times New Roman" w:hint="eastAsia"/>
          <w:szCs w:val="21"/>
        </w:rPr>
        <w:t>油品销量</w:t>
      </w:r>
    </w:p>
    <w:tbl>
      <w:tblPr>
        <w:tblStyle w:val="110"/>
        <w:tblW w:w="9072" w:type="dxa"/>
        <w:tblBorders>
          <w:top w:val="single" w:sz="4" w:space="0" w:color="auto"/>
          <w:bottom w:val="single" w:sz="4" w:space="0" w:color="auto"/>
          <w:insideH w:val="none" w:sz="0" w:space="0" w:color="auto"/>
          <w:insideV w:val="none" w:sz="0" w:space="0" w:color="auto"/>
        </w:tblBorders>
        <w:tblLayout w:type="fixed"/>
        <w:tblLook w:val="04A0"/>
      </w:tblPr>
      <w:tblGrid>
        <w:gridCol w:w="1701"/>
        <w:gridCol w:w="1134"/>
        <w:gridCol w:w="1701"/>
        <w:gridCol w:w="1418"/>
        <w:gridCol w:w="1417"/>
        <w:gridCol w:w="1701"/>
      </w:tblGrid>
      <w:tr w14:paraId="4B9BF4B9" w14:textId="77777777" w:rsidTr="00B33D2C">
        <w:tblPrEx>
          <w:tblW w:w="9072" w:type="dxa"/>
          <w:tblBorders>
            <w:top w:val="single" w:sz="4" w:space="0" w:color="auto"/>
            <w:bottom w:val="single" w:sz="4" w:space="0" w:color="auto"/>
            <w:insideH w:val="none" w:sz="0" w:space="0" w:color="auto"/>
            <w:insideV w:val="none" w:sz="0" w:space="0" w:color="auto"/>
          </w:tblBorders>
          <w:tblLayout w:type="fixed"/>
          <w:tblLook w:val="04A0"/>
        </w:tblPrEx>
        <w:trPr>
          <w:trHeight w:val="425"/>
        </w:trPr>
        <w:tc>
          <w:tcPr>
            <w:tcW w:w="1701" w:type="dxa"/>
            <w:vMerge w:val="restart"/>
          </w:tcPr>
          <w:p w:rsidR="00D359BE" w:rsidRPr="00B33D2C" w:rsidP="00B33D2C" w14:paraId="788CDB7F"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bCs/>
                <w:kern w:val="0"/>
                <w:szCs w:val="21"/>
              </w:rPr>
              <w:t>油品名称</w:t>
            </w:r>
          </w:p>
        </w:tc>
        <w:tc>
          <w:tcPr>
            <w:tcW w:w="1134" w:type="dxa"/>
          </w:tcPr>
          <w:p w:rsidR="00D359BE" w:rsidRPr="00B33D2C" w:rsidP="00B33D2C" w14:paraId="4ECD9517"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bCs/>
                <w:kern w:val="0"/>
                <w:szCs w:val="21"/>
              </w:rPr>
              <w:t>密度</w:t>
            </w:r>
          </w:p>
        </w:tc>
        <w:tc>
          <w:tcPr>
            <w:tcW w:w="1701" w:type="dxa"/>
          </w:tcPr>
          <w:p w:rsidR="00D359BE" w:rsidRPr="00B33D2C" w:rsidP="00B33D2C" w14:paraId="3FDD7A3B"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bCs/>
                <w:kern w:val="0"/>
                <w:szCs w:val="21"/>
              </w:rPr>
              <w:t>年销量</w:t>
            </w:r>
          </w:p>
        </w:tc>
        <w:tc>
          <w:tcPr>
            <w:tcW w:w="1418" w:type="dxa"/>
          </w:tcPr>
          <w:p w:rsidR="00D359BE" w:rsidRPr="00B33D2C" w:rsidP="00B33D2C" w14:paraId="2EA71256"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铁路整装</w:t>
            </w:r>
          </w:p>
        </w:tc>
        <w:tc>
          <w:tcPr>
            <w:tcW w:w="1417" w:type="dxa"/>
          </w:tcPr>
          <w:p w:rsidR="00D359BE" w:rsidRPr="00B33D2C" w:rsidP="00B33D2C" w14:paraId="5A772C1B"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公路散装</w:t>
            </w:r>
          </w:p>
        </w:tc>
        <w:tc>
          <w:tcPr>
            <w:tcW w:w="1701" w:type="dxa"/>
            <w:vMerge w:val="restart"/>
          </w:tcPr>
          <w:p w:rsidR="00D359BE" w:rsidRPr="00B33D2C" w:rsidP="00B33D2C" w14:paraId="28E3F0DC"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周转系数</w:t>
            </w:r>
          </w:p>
        </w:tc>
      </w:tr>
      <w:tr w14:paraId="4A1FF6DB" w14:textId="77777777" w:rsidTr="00B33D2C">
        <w:tblPrEx>
          <w:tblW w:w="9072" w:type="dxa"/>
          <w:tblLayout w:type="fixed"/>
          <w:tblLook w:val="04A0"/>
        </w:tblPrEx>
        <w:trPr>
          <w:trHeight w:val="425"/>
        </w:trPr>
        <w:tc>
          <w:tcPr>
            <w:tcW w:w="1701" w:type="dxa"/>
            <w:vMerge/>
            <w:tcBorders>
              <w:bottom w:val="single" w:sz="4" w:space="0" w:color="auto"/>
            </w:tcBorders>
          </w:tcPr>
          <w:p w:rsidR="00D359BE" w:rsidRPr="00B33D2C" w:rsidP="00B33D2C" w14:paraId="39083E04" w14:textId="77777777">
            <w:pPr>
              <w:widowControl/>
              <w:adjustRightInd w:val="0"/>
              <w:snapToGrid w:val="0"/>
              <w:spacing w:line="300" w:lineRule="auto"/>
              <w:ind w:firstLine="420"/>
              <w:jc w:val="center"/>
              <w:rPr>
                <w:rFonts w:ascii="Times New Roman" w:hAnsi="Times New Roman" w:cs="Times New Roman"/>
                <w:kern w:val="0"/>
                <w:szCs w:val="21"/>
              </w:rPr>
            </w:pPr>
          </w:p>
        </w:tc>
        <w:tc>
          <w:tcPr>
            <w:tcW w:w="1134" w:type="dxa"/>
            <w:tcBorders>
              <w:bottom w:val="single" w:sz="4" w:space="0" w:color="auto"/>
            </w:tcBorders>
          </w:tcPr>
          <w:p w:rsidR="00D359BE" w:rsidRPr="00B33D2C" w:rsidP="00B33D2C" w14:paraId="0C3FED02"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t/m</w:t>
            </w:r>
            <w:r w:rsidRPr="00B33D2C">
              <w:rPr>
                <w:rFonts w:ascii="Times New Roman" w:hAnsi="Times New Roman" w:cs="Times New Roman"/>
                <w:kern w:val="0"/>
                <w:szCs w:val="21"/>
                <w:vertAlign w:val="superscript"/>
              </w:rPr>
              <w:t>3</w:t>
            </w:r>
          </w:p>
        </w:tc>
        <w:tc>
          <w:tcPr>
            <w:tcW w:w="1701" w:type="dxa"/>
            <w:tcBorders>
              <w:bottom w:val="single" w:sz="4" w:space="0" w:color="auto"/>
            </w:tcBorders>
          </w:tcPr>
          <w:p w:rsidR="00D359BE" w:rsidRPr="00B33D2C" w:rsidP="00B33D2C" w14:paraId="0B741922"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吨</w:t>
            </w:r>
            <w:r w:rsidRPr="00B33D2C">
              <w:rPr>
                <w:rFonts w:ascii="Times New Roman" w:hAnsi="Times New Roman" w:cs="Times New Roman"/>
                <w:kern w:val="0"/>
                <w:szCs w:val="21"/>
              </w:rPr>
              <w:t>/</w:t>
            </w:r>
            <w:r w:rsidRPr="00B33D2C">
              <w:rPr>
                <w:rFonts w:ascii="Times New Roman" w:hAnsi="Times New Roman" w:cs="Times New Roman"/>
                <w:kern w:val="0"/>
                <w:szCs w:val="21"/>
              </w:rPr>
              <w:t>年</w:t>
            </w:r>
          </w:p>
        </w:tc>
        <w:tc>
          <w:tcPr>
            <w:tcW w:w="1418" w:type="dxa"/>
            <w:tcBorders>
              <w:bottom w:val="single" w:sz="4" w:space="0" w:color="auto"/>
            </w:tcBorders>
          </w:tcPr>
          <w:p w:rsidR="00D359BE" w:rsidRPr="00B33D2C" w:rsidP="00B33D2C" w14:paraId="7FF4D1B0"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吨</w:t>
            </w:r>
            <w:r w:rsidRPr="00B33D2C">
              <w:rPr>
                <w:rFonts w:ascii="Times New Roman" w:hAnsi="Times New Roman" w:cs="Times New Roman"/>
                <w:kern w:val="0"/>
                <w:szCs w:val="21"/>
              </w:rPr>
              <w:t>/</w:t>
            </w:r>
            <w:r w:rsidRPr="00B33D2C">
              <w:rPr>
                <w:rFonts w:ascii="Times New Roman" w:hAnsi="Times New Roman" w:cs="Times New Roman"/>
                <w:kern w:val="0"/>
                <w:szCs w:val="21"/>
              </w:rPr>
              <w:t>年</w:t>
            </w:r>
          </w:p>
        </w:tc>
        <w:tc>
          <w:tcPr>
            <w:tcW w:w="1417" w:type="dxa"/>
            <w:tcBorders>
              <w:bottom w:val="single" w:sz="4" w:space="0" w:color="auto"/>
            </w:tcBorders>
          </w:tcPr>
          <w:p w:rsidR="00D359BE" w:rsidRPr="00B33D2C" w:rsidP="00B33D2C" w14:paraId="6E1D50CF"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吨</w:t>
            </w:r>
            <w:r w:rsidRPr="00B33D2C">
              <w:rPr>
                <w:rFonts w:ascii="Times New Roman" w:hAnsi="Times New Roman" w:cs="Times New Roman"/>
                <w:kern w:val="0"/>
                <w:szCs w:val="21"/>
              </w:rPr>
              <w:t>/</w:t>
            </w:r>
            <w:r w:rsidRPr="00B33D2C">
              <w:rPr>
                <w:rFonts w:ascii="Times New Roman" w:hAnsi="Times New Roman" w:cs="Times New Roman"/>
                <w:kern w:val="0"/>
                <w:szCs w:val="21"/>
              </w:rPr>
              <w:t>年</w:t>
            </w:r>
          </w:p>
        </w:tc>
        <w:tc>
          <w:tcPr>
            <w:tcW w:w="1701" w:type="dxa"/>
            <w:vMerge/>
            <w:tcBorders>
              <w:bottom w:val="single" w:sz="4" w:space="0" w:color="auto"/>
            </w:tcBorders>
          </w:tcPr>
          <w:p w:rsidR="00D359BE" w:rsidRPr="00B33D2C" w:rsidP="00B33D2C" w14:paraId="75B20969" w14:textId="77777777">
            <w:pPr>
              <w:widowControl/>
              <w:adjustRightInd w:val="0"/>
              <w:snapToGrid w:val="0"/>
              <w:spacing w:line="300" w:lineRule="auto"/>
              <w:ind w:firstLine="420"/>
              <w:jc w:val="center"/>
              <w:rPr>
                <w:rFonts w:ascii="Times New Roman" w:hAnsi="Times New Roman" w:cs="Times New Roman"/>
                <w:kern w:val="0"/>
                <w:szCs w:val="21"/>
              </w:rPr>
            </w:pPr>
          </w:p>
        </w:tc>
      </w:tr>
      <w:tr w14:paraId="2AFCEFC7" w14:textId="77777777" w:rsidTr="00B33D2C">
        <w:tblPrEx>
          <w:tblW w:w="9072" w:type="dxa"/>
          <w:tblLayout w:type="fixed"/>
          <w:tblLook w:val="04A0"/>
        </w:tblPrEx>
        <w:trPr>
          <w:trHeight w:val="425"/>
        </w:trPr>
        <w:tc>
          <w:tcPr>
            <w:tcW w:w="1701" w:type="dxa"/>
            <w:tcBorders>
              <w:top w:val="single" w:sz="4" w:space="0" w:color="auto"/>
              <w:bottom w:val="nil"/>
            </w:tcBorders>
          </w:tcPr>
          <w:p w:rsidR="00D359BE" w:rsidRPr="00B33D2C" w:rsidP="00B33D2C" w14:paraId="474E172F"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92#</w:t>
            </w:r>
            <w:r w:rsidRPr="00B33D2C">
              <w:rPr>
                <w:rFonts w:ascii="Times New Roman" w:hAnsi="Times New Roman" w:cs="Times New Roman"/>
                <w:kern w:val="0"/>
                <w:szCs w:val="21"/>
              </w:rPr>
              <w:t>车用汽油</w:t>
            </w:r>
          </w:p>
        </w:tc>
        <w:tc>
          <w:tcPr>
            <w:tcW w:w="1134" w:type="dxa"/>
            <w:tcBorders>
              <w:top w:val="single" w:sz="4" w:space="0" w:color="auto"/>
              <w:bottom w:val="nil"/>
            </w:tcBorders>
          </w:tcPr>
          <w:p w:rsidR="00D359BE" w:rsidRPr="00B33D2C" w:rsidP="00B33D2C" w14:paraId="19DC47EF"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0.72</w:t>
            </w:r>
          </w:p>
        </w:tc>
        <w:tc>
          <w:tcPr>
            <w:tcW w:w="1701" w:type="dxa"/>
            <w:tcBorders>
              <w:top w:val="single" w:sz="4" w:space="0" w:color="auto"/>
              <w:bottom w:val="nil"/>
            </w:tcBorders>
          </w:tcPr>
          <w:p w:rsidR="00D359BE" w:rsidRPr="00B33D2C" w:rsidP="00B33D2C" w14:paraId="32C057D8"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100000</w:t>
            </w:r>
          </w:p>
        </w:tc>
        <w:tc>
          <w:tcPr>
            <w:tcW w:w="1418" w:type="dxa"/>
            <w:tcBorders>
              <w:top w:val="single" w:sz="4" w:space="0" w:color="auto"/>
              <w:bottom w:val="nil"/>
            </w:tcBorders>
          </w:tcPr>
          <w:p w:rsidR="00D359BE" w:rsidRPr="00B33D2C" w:rsidP="00B33D2C" w14:paraId="17F6BFE7"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80000</w:t>
            </w:r>
          </w:p>
        </w:tc>
        <w:tc>
          <w:tcPr>
            <w:tcW w:w="1417" w:type="dxa"/>
            <w:tcBorders>
              <w:top w:val="single" w:sz="4" w:space="0" w:color="auto"/>
              <w:bottom w:val="nil"/>
            </w:tcBorders>
          </w:tcPr>
          <w:p w:rsidR="00D359BE" w:rsidRPr="00B33D2C" w:rsidP="00B33D2C" w14:paraId="702CD0DD"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20000</w:t>
            </w:r>
          </w:p>
        </w:tc>
        <w:tc>
          <w:tcPr>
            <w:tcW w:w="1701" w:type="dxa"/>
            <w:tcBorders>
              <w:top w:val="single" w:sz="4" w:space="0" w:color="auto"/>
              <w:bottom w:val="nil"/>
            </w:tcBorders>
          </w:tcPr>
          <w:p w:rsidR="00D359BE" w:rsidRPr="00B33D2C" w:rsidP="00B33D2C" w14:paraId="0255A739"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9</w:t>
            </w:r>
          </w:p>
        </w:tc>
      </w:tr>
      <w:tr w14:paraId="2B2A7CC6" w14:textId="77777777" w:rsidTr="00B33D2C">
        <w:tblPrEx>
          <w:tblW w:w="9072" w:type="dxa"/>
          <w:tblLayout w:type="fixed"/>
          <w:tblLook w:val="04A0"/>
        </w:tblPrEx>
        <w:trPr>
          <w:trHeight w:val="425"/>
        </w:trPr>
        <w:tc>
          <w:tcPr>
            <w:tcW w:w="1701" w:type="dxa"/>
            <w:tcBorders>
              <w:top w:val="nil"/>
            </w:tcBorders>
          </w:tcPr>
          <w:p w:rsidR="00D359BE" w:rsidRPr="00B33D2C" w:rsidP="00B33D2C" w14:paraId="4487765E"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95#</w:t>
            </w:r>
            <w:r w:rsidRPr="00B33D2C">
              <w:rPr>
                <w:rFonts w:ascii="Times New Roman" w:hAnsi="Times New Roman" w:cs="Times New Roman"/>
                <w:kern w:val="0"/>
                <w:szCs w:val="21"/>
              </w:rPr>
              <w:t>车用汽油</w:t>
            </w:r>
          </w:p>
        </w:tc>
        <w:tc>
          <w:tcPr>
            <w:tcW w:w="1134" w:type="dxa"/>
            <w:tcBorders>
              <w:top w:val="nil"/>
            </w:tcBorders>
          </w:tcPr>
          <w:p w:rsidR="00D359BE" w:rsidRPr="00B33D2C" w:rsidP="00B33D2C" w14:paraId="1BD4D329"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0.72</w:t>
            </w:r>
          </w:p>
        </w:tc>
        <w:tc>
          <w:tcPr>
            <w:tcW w:w="1701" w:type="dxa"/>
            <w:tcBorders>
              <w:top w:val="nil"/>
            </w:tcBorders>
          </w:tcPr>
          <w:p w:rsidR="00D359BE" w:rsidRPr="00B33D2C" w:rsidP="00B33D2C" w14:paraId="4EB58BA8"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150000</w:t>
            </w:r>
          </w:p>
        </w:tc>
        <w:tc>
          <w:tcPr>
            <w:tcW w:w="1418" w:type="dxa"/>
            <w:tcBorders>
              <w:top w:val="nil"/>
            </w:tcBorders>
          </w:tcPr>
          <w:p w:rsidR="00D359BE" w:rsidRPr="00B33D2C" w:rsidP="00B33D2C" w14:paraId="25BB9BFA"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120000</w:t>
            </w:r>
          </w:p>
        </w:tc>
        <w:tc>
          <w:tcPr>
            <w:tcW w:w="1417" w:type="dxa"/>
            <w:tcBorders>
              <w:top w:val="nil"/>
            </w:tcBorders>
          </w:tcPr>
          <w:p w:rsidR="00D359BE" w:rsidRPr="00B33D2C" w:rsidP="00B33D2C" w14:paraId="295B8789"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30000</w:t>
            </w:r>
          </w:p>
        </w:tc>
        <w:tc>
          <w:tcPr>
            <w:tcW w:w="1701" w:type="dxa"/>
            <w:tcBorders>
              <w:top w:val="nil"/>
            </w:tcBorders>
          </w:tcPr>
          <w:p w:rsidR="00D359BE" w:rsidRPr="00B33D2C" w:rsidP="00B33D2C" w14:paraId="376B51B6"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10</w:t>
            </w:r>
          </w:p>
        </w:tc>
      </w:tr>
      <w:tr w14:paraId="683930DB" w14:textId="77777777" w:rsidTr="00B33D2C">
        <w:tblPrEx>
          <w:tblW w:w="9072" w:type="dxa"/>
          <w:tblLayout w:type="fixed"/>
          <w:tblLook w:val="04A0"/>
        </w:tblPrEx>
        <w:trPr>
          <w:trHeight w:val="425"/>
        </w:trPr>
        <w:tc>
          <w:tcPr>
            <w:tcW w:w="1701" w:type="dxa"/>
          </w:tcPr>
          <w:p w:rsidR="00D359BE" w:rsidRPr="00B33D2C" w:rsidP="00B33D2C" w14:paraId="1801809D"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98#</w:t>
            </w:r>
            <w:r w:rsidRPr="00B33D2C">
              <w:rPr>
                <w:rFonts w:ascii="Times New Roman" w:hAnsi="Times New Roman" w:cs="Times New Roman"/>
                <w:kern w:val="0"/>
                <w:szCs w:val="21"/>
              </w:rPr>
              <w:t>车用汽油</w:t>
            </w:r>
          </w:p>
        </w:tc>
        <w:tc>
          <w:tcPr>
            <w:tcW w:w="1134" w:type="dxa"/>
          </w:tcPr>
          <w:p w:rsidR="00D359BE" w:rsidRPr="00B33D2C" w:rsidP="00B33D2C" w14:paraId="0CAFC1DB"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0.72</w:t>
            </w:r>
          </w:p>
        </w:tc>
        <w:tc>
          <w:tcPr>
            <w:tcW w:w="1701" w:type="dxa"/>
          </w:tcPr>
          <w:p w:rsidR="00D359BE" w:rsidRPr="00B33D2C" w:rsidP="00B33D2C" w14:paraId="4DACB896"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90000</w:t>
            </w:r>
          </w:p>
        </w:tc>
        <w:tc>
          <w:tcPr>
            <w:tcW w:w="1418" w:type="dxa"/>
          </w:tcPr>
          <w:p w:rsidR="00D359BE" w:rsidRPr="00B33D2C" w:rsidP="00B33D2C" w14:paraId="76323E03"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70000</w:t>
            </w:r>
          </w:p>
        </w:tc>
        <w:tc>
          <w:tcPr>
            <w:tcW w:w="1417" w:type="dxa"/>
          </w:tcPr>
          <w:p w:rsidR="00D359BE" w:rsidRPr="00B33D2C" w:rsidP="00B33D2C" w14:paraId="0081EC09"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20000</w:t>
            </w:r>
          </w:p>
        </w:tc>
        <w:tc>
          <w:tcPr>
            <w:tcW w:w="1701" w:type="dxa"/>
          </w:tcPr>
          <w:p w:rsidR="00D359BE" w:rsidRPr="00B33D2C" w:rsidP="00B33D2C" w14:paraId="1348BAF6"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9</w:t>
            </w:r>
          </w:p>
        </w:tc>
      </w:tr>
      <w:tr w14:paraId="51F85AE8" w14:textId="77777777" w:rsidTr="00B33D2C">
        <w:tblPrEx>
          <w:tblW w:w="9072" w:type="dxa"/>
          <w:tblLayout w:type="fixed"/>
          <w:tblLook w:val="04A0"/>
        </w:tblPrEx>
        <w:trPr>
          <w:trHeight w:val="425"/>
        </w:trPr>
        <w:tc>
          <w:tcPr>
            <w:tcW w:w="1701" w:type="dxa"/>
          </w:tcPr>
          <w:p w:rsidR="00D359BE" w:rsidRPr="00B33D2C" w:rsidP="00B33D2C" w14:paraId="75141D75"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航空汽油</w:t>
            </w:r>
          </w:p>
        </w:tc>
        <w:tc>
          <w:tcPr>
            <w:tcW w:w="1134" w:type="dxa"/>
          </w:tcPr>
          <w:p w:rsidR="00D359BE" w:rsidRPr="00B33D2C" w:rsidP="00B33D2C" w14:paraId="1FBAF636"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0.72</w:t>
            </w:r>
          </w:p>
        </w:tc>
        <w:tc>
          <w:tcPr>
            <w:tcW w:w="1701" w:type="dxa"/>
          </w:tcPr>
          <w:p w:rsidR="00D359BE" w:rsidRPr="00B33D2C" w:rsidP="00B33D2C" w14:paraId="62842DE3"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50000</w:t>
            </w:r>
          </w:p>
        </w:tc>
        <w:tc>
          <w:tcPr>
            <w:tcW w:w="1418" w:type="dxa"/>
          </w:tcPr>
          <w:p w:rsidR="00D359BE" w:rsidRPr="00B33D2C" w:rsidP="00B33D2C" w14:paraId="03E1471E"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40000</w:t>
            </w:r>
          </w:p>
        </w:tc>
        <w:tc>
          <w:tcPr>
            <w:tcW w:w="1417" w:type="dxa"/>
          </w:tcPr>
          <w:p w:rsidR="00D359BE" w:rsidRPr="00B33D2C" w:rsidP="00B33D2C" w14:paraId="747201B8"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10000</w:t>
            </w:r>
          </w:p>
        </w:tc>
        <w:tc>
          <w:tcPr>
            <w:tcW w:w="1701" w:type="dxa"/>
          </w:tcPr>
          <w:p w:rsidR="00D359BE" w:rsidRPr="00B33D2C" w:rsidP="00B33D2C" w14:paraId="54B8D60C"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5</w:t>
            </w:r>
          </w:p>
        </w:tc>
      </w:tr>
      <w:tr w14:paraId="23246020" w14:textId="77777777" w:rsidTr="00B33D2C">
        <w:tblPrEx>
          <w:tblW w:w="9072" w:type="dxa"/>
          <w:tblLayout w:type="fixed"/>
          <w:tblLook w:val="04A0"/>
        </w:tblPrEx>
        <w:trPr>
          <w:trHeight w:val="425"/>
        </w:trPr>
        <w:tc>
          <w:tcPr>
            <w:tcW w:w="1701" w:type="dxa"/>
          </w:tcPr>
          <w:p w:rsidR="00D359BE" w:rsidRPr="00B33D2C" w:rsidP="00B33D2C" w14:paraId="3FC45A3C"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10#</w:t>
            </w:r>
            <w:r w:rsidRPr="00B33D2C">
              <w:rPr>
                <w:rFonts w:ascii="Times New Roman" w:hAnsi="Times New Roman" w:cs="Times New Roman"/>
                <w:kern w:val="0"/>
                <w:szCs w:val="21"/>
              </w:rPr>
              <w:t>轻柴油</w:t>
            </w:r>
          </w:p>
        </w:tc>
        <w:tc>
          <w:tcPr>
            <w:tcW w:w="1134" w:type="dxa"/>
          </w:tcPr>
          <w:p w:rsidR="00D359BE" w:rsidRPr="00B33D2C" w:rsidP="00B33D2C" w14:paraId="6AC69579"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0.84</w:t>
            </w:r>
          </w:p>
        </w:tc>
        <w:tc>
          <w:tcPr>
            <w:tcW w:w="1701" w:type="dxa"/>
          </w:tcPr>
          <w:p w:rsidR="00D359BE" w:rsidRPr="00B33D2C" w:rsidP="00B33D2C" w14:paraId="5F612F74"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120000</w:t>
            </w:r>
          </w:p>
        </w:tc>
        <w:tc>
          <w:tcPr>
            <w:tcW w:w="1418" w:type="dxa"/>
          </w:tcPr>
          <w:p w:rsidR="00D359BE" w:rsidRPr="00B33D2C" w:rsidP="00B33D2C" w14:paraId="2E664F95"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90000</w:t>
            </w:r>
          </w:p>
        </w:tc>
        <w:tc>
          <w:tcPr>
            <w:tcW w:w="1417" w:type="dxa"/>
          </w:tcPr>
          <w:p w:rsidR="00D359BE" w:rsidRPr="00B33D2C" w:rsidP="00B33D2C" w14:paraId="2607C3D3"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30000</w:t>
            </w:r>
          </w:p>
        </w:tc>
        <w:tc>
          <w:tcPr>
            <w:tcW w:w="1701" w:type="dxa"/>
          </w:tcPr>
          <w:p w:rsidR="00D359BE" w:rsidRPr="00B33D2C" w:rsidP="00B33D2C" w14:paraId="12F02E14"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8</w:t>
            </w:r>
          </w:p>
        </w:tc>
      </w:tr>
      <w:tr w14:paraId="0D34B8D7" w14:textId="77777777" w:rsidTr="00B33D2C">
        <w:tblPrEx>
          <w:tblW w:w="9072" w:type="dxa"/>
          <w:tblLayout w:type="fixed"/>
          <w:tblLook w:val="04A0"/>
        </w:tblPrEx>
        <w:trPr>
          <w:trHeight w:val="425"/>
        </w:trPr>
        <w:tc>
          <w:tcPr>
            <w:tcW w:w="1701" w:type="dxa"/>
          </w:tcPr>
          <w:p w:rsidR="00D359BE" w:rsidRPr="00B33D2C" w:rsidP="00B33D2C" w14:paraId="45888191"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-10#</w:t>
            </w:r>
            <w:r w:rsidRPr="00B33D2C">
              <w:rPr>
                <w:rFonts w:ascii="Times New Roman" w:hAnsi="Times New Roman" w:cs="Times New Roman"/>
                <w:kern w:val="0"/>
                <w:szCs w:val="21"/>
              </w:rPr>
              <w:t>轻柴油</w:t>
            </w:r>
          </w:p>
        </w:tc>
        <w:tc>
          <w:tcPr>
            <w:tcW w:w="1134" w:type="dxa"/>
          </w:tcPr>
          <w:p w:rsidR="00D359BE" w:rsidRPr="00B33D2C" w:rsidP="00B33D2C" w14:paraId="20DF7EA1"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0.84</w:t>
            </w:r>
          </w:p>
        </w:tc>
        <w:tc>
          <w:tcPr>
            <w:tcW w:w="1701" w:type="dxa"/>
          </w:tcPr>
          <w:p w:rsidR="00D359BE" w:rsidRPr="00B33D2C" w:rsidP="00B33D2C" w14:paraId="3909AFFE"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120000</w:t>
            </w:r>
          </w:p>
        </w:tc>
        <w:tc>
          <w:tcPr>
            <w:tcW w:w="1418" w:type="dxa"/>
          </w:tcPr>
          <w:p w:rsidR="00D359BE" w:rsidRPr="00B33D2C" w:rsidP="00B33D2C" w14:paraId="43B18461"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90000</w:t>
            </w:r>
          </w:p>
        </w:tc>
        <w:tc>
          <w:tcPr>
            <w:tcW w:w="1417" w:type="dxa"/>
          </w:tcPr>
          <w:p w:rsidR="00D359BE" w:rsidRPr="00B33D2C" w:rsidP="00B33D2C" w14:paraId="0C3066AA"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30000</w:t>
            </w:r>
          </w:p>
        </w:tc>
        <w:tc>
          <w:tcPr>
            <w:tcW w:w="1701" w:type="dxa"/>
          </w:tcPr>
          <w:p w:rsidR="00D359BE" w:rsidRPr="00B33D2C" w:rsidP="00B33D2C" w14:paraId="37DF510A"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8</w:t>
            </w:r>
          </w:p>
        </w:tc>
      </w:tr>
      <w:tr w14:paraId="78DEDC66" w14:textId="77777777" w:rsidTr="00B33D2C">
        <w:tblPrEx>
          <w:tblW w:w="9072" w:type="dxa"/>
          <w:tblLayout w:type="fixed"/>
          <w:tblLook w:val="04A0"/>
        </w:tblPrEx>
        <w:trPr>
          <w:trHeight w:val="425"/>
        </w:trPr>
        <w:tc>
          <w:tcPr>
            <w:tcW w:w="1701" w:type="dxa"/>
          </w:tcPr>
          <w:p w:rsidR="00D359BE" w:rsidRPr="00B33D2C" w:rsidP="00B33D2C" w14:paraId="3AA3B92B"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10#</w:t>
            </w:r>
            <w:r w:rsidRPr="00B33D2C">
              <w:rPr>
                <w:rFonts w:ascii="Times New Roman" w:hAnsi="Times New Roman" w:cs="Times New Roman"/>
                <w:kern w:val="0"/>
                <w:szCs w:val="21"/>
              </w:rPr>
              <w:t>重柴油</w:t>
            </w:r>
          </w:p>
        </w:tc>
        <w:tc>
          <w:tcPr>
            <w:tcW w:w="1134" w:type="dxa"/>
          </w:tcPr>
          <w:p w:rsidR="00D359BE" w:rsidRPr="00B33D2C" w:rsidP="00B33D2C" w14:paraId="36036EC7"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0.932</w:t>
            </w:r>
          </w:p>
        </w:tc>
        <w:tc>
          <w:tcPr>
            <w:tcW w:w="1701" w:type="dxa"/>
          </w:tcPr>
          <w:p w:rsidR="00D359BE" w:rsidRPr="00B33D2C" w:rsidP="00B33D2C" w14:paraId="3CBD9F0F"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10000</w:t>
            </w:r>
          </w:p>
        </w:tc>
        <w:tc>
          <w:tcPr>
            <w:tcW w:w="1418" w:type="dxa"/>
          </w:tcPr>
          <w:p w:rsidR="00D359BE" w:rsidRPr="00B33D2C" w:rsidP="00B33D2C" w14:paraId="518BE953"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12000</w:t>
            </w:r>
          </w:p>
        </w:tc>
        <w:tc>
          <w:tcPr>
            <w:tcW w:w="1417" w:type="dxa"/>
          </w:tcPr>
          <w:p w:rsidR="00D359BE" w:rsidRPr="00B33D2C" w:rsidP="00B33D2C" w14:paraId="7F82FE0C"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w:t>
            </w:r>
          </w:p>
        </w:tc>
        <w:tc>
          <w:tcPr>
            <w:tcW w:w="1701" w:type="dxa"/>
          </w:tcPr>
          <w:p w:rsidR="00D359BE" w:rsidRPr="00B33D2C" w:rsidP="00B33D2C" w14:paraId="5F591DF3"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4</w:t>
            </w:r>
          </w:p>
        </w:tc>
      </w:tr>
      <w:tr w14:paraId="43CD94FE" w14:textId="77777777" w:rsidTr="00B33D2C">
        <w:tblPrEx>
          <w:tblW w:w="9072" w:type="dxa"/>
          <w:tblLayout w:type="fixed"/>
          <w:tblLook w:val="04A0"/>
        </w:tblPrEx>
        <w:trPr>
          <w:trHeight w:val="425"/>
        </w:trPr>
        <w:tc>
          <w:tcPr>
            <w:tcW w:w="1701" w:type="dxa"/>
          </w:tcPr>
          <w:p w:rsidR="00D359BE" w:rsidRPr="00B33D2C" w:rsidP="00B33D2C" w14:paraId="18BA2F31"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20#</w:t>
            </w:r>
            <w:r w:rsidRPr="00B33D2C">
              <w:rPr>
                <w:rFonts w:ascii="Times New Roman" w:hAnsi="Times New Roman" w:cs="Times New Roman"/>
                <w:kern w:val="0"/>
                <w:szCs w:val="21"/>
              </w:rPr>
              <w:t>重柴油</w:t>
            </w:r>
          </w:p>
        </w:tc>
        <w:tc>
          <w:tcPr>
            <w:tcW w:w="1134" w:type="dxa"/>
          </w:tcPr>
          <w:p w:rsidR="00D359BE" w:rsidRPr="00B33D2C" w:rsidP="00B33D2C" w14:paraId="39B12146"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0.932</w:t>
            </w:r>
          </w:p>
        </w:tc>
        <w:tc>
          <w:tcPr>
            <w:tcW w:w="1701" w:type="dxa"/>
          </w:tcPr>
          <w:p w:rsidR="00D359BE" w:rsidRPr="00B33D2C" w:rsidP="00B33D2C" w14:paraId="5B56564A"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12000</w:t>
            </w:r>
          </w:p>
        </w:tc>
        <w:tc>
          <w:tcPr>
            <w:tcW w:w="1418" w:type="dxa"/>
          </w:tcPr>
          <w:p w:rsidR="00D359BE" w:rsidRPr="00B33D2C" w:rsidP="00B33D2C" w14:paraId="1A394940"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12000</w:t>
            </w:r>
          </w:p>
        </w:tc>
        <w:tc>
          <w:tcPr>
            <w:tcW w:w="1417" w:type="dxa"/>
          </w:tcPr>
          <w:p w:rsidR="00D359BE" w:rsidRPr="00B33D2C" w:rsidP="00B33D2C" w14:paraId="22BBD31A"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0</w:t>
            </w:r>
          </w:p>
        </w:tc>
        <w:tc>
          <w:tcPr>
            <w:tcW w:w="1701" w:type="dxa"/>
          </w:tcPr>
          <w:p w:rsidR="00D359BE" w:rsidRPr="00B33D2C" w:rsidP="00B33D2C" w14:paraId="1A9E3E6D" w14:textId="77777777">
            <w:pPr>
              <w:widowControl/>
              <w:adjustRightInd w:val="0"/>
              <w:snapToGrid w:val="0"/>
              <w:spacing w:line="300" w:lineRule="auto"/>
              <w:jc w:val="center"/>
              <w:rPr>
                <w:rFonts w:ascii="Times New Roman" w:hAnsi="Times New Roman" w:cs="Times New Roman"/>
                <w:kern w:val="0"/>
                <w:szCs w:val="21"/>
              </w:rPr>
            </w:pPr>
            <w:r w:rsidRPr="00B33D2C">
              <w:rPr>
                <w:rFonts w:ascii="Times New Roman" w:hAnsi="Times New Roman" w:cs="Times New Roman"/>
                <w:kern w:val="0"/>
                <w:szCs w:val="21"/>
              </w:rPr>
              <w:t>4</w:t>
            </w:r>
          </w:p>
        </w:tc>
      </w:tr>
      <w:bookmarkEnd w:id="33"/>
    </w:tbl>
    <w:p w:rsidR="00D359BE" w14:paraId="40D9B35C" w14:textId="77777777">
      <w:pPr>
        <w:rPr>
          <w:rFonts w:ascii="宋体" w:eastAsia="宋体" w:hAnsi="宋体" w:cs="宋体"/>
          <w:sz w:val="24"/>
          <w:szCs w:val="24"/>
        </w:rPr>
      </w:pPr>
    </w:p>
    <w:p w:rsidR="00D359BE" w:rsidRPr="00B33D2C" w:rsidP="00B33D2C" w14:paraId="7AC29727" w14:textId="77777777">
      <w:pPr>
        <w:adjustRightInd w:val="0"/>
        <w:snapToGrid w:val="0"/>
        <w:spacing w:line="300" w:lineRule="auto"/>
        <w:rPr>
          <w:rFonts w:ascii="Times New Roman" w:eastAsia="宋体" w:hAnsi="Times New Roman" w:cs="Times New Roman"/>
          <w:sz w:val="24"/>
          <w:szCs w:val="24"/>
        </w:rPr>
      </w:pPr>
      <w:r w:rsidRPr="00B33D2C">
        <w:rPr>
          <w:rFonts w:ascii="Times New Roman" w:eastAsia="宋体" w:hAnsi="Times New Roman" w:cs="Times New Roman"/>
          <w:sz w:val="24"/>
          <w:szCs w:val="24"/>
        </w:rPr>
        <w:t>经过以下计算：</w:t>
      </w:r>
    </w:p>
    <w:p w:rsidR="00D359BE" w:rsidRPr="00B33D2C" w:rsidP="00B33D2C" w14:paraId="162D9EFE" w14:textId="77777777">
      <w:pPr>
        <w:adjustRightInd w:val="0"/>
        <w:snapToGrid w:val="0"/>
        <w:spacing w:line="300" w:lineRule="auto"/>
        <w:ind w:firstLine="480" w:firstLineChars="200"/>
        <w:rPr>
          <w:rFonts w:ascii="Times New Roman" w:eastAsia="宋体" w:hAnsi="Times New Roman" w:cs="Times New Roman"/>
          <w:sz w:val="24"/>
          <w:szCs w:val="24"/>
        </w:rPr>
      </w:pPr>
      <w:r w:rsidRPr="00B33D2C">
        <w:rPr>
          <w:rFonts w:ascii="Times New Roman" w:eastAsia="宋体" w:hAnsi="Times New Roman" w:cs="Times New Roman"/>
          <w:sz w:val="24"/>
          <w:szCs w:val="24"/>
        </w:rPr>
        <w:t>92</w:t>
      </w:r>
      <w:r w:rsidRPr="00B33D2C">
        <w:rPr>
          <w:rFonts w:ascii="Times New Roman" w:eastAsia="宋体" w:hAnsi="Times New Roman" w:cs="Times New Roman"/>
          <w:sz w:val="24"/>
          <w:szCs w:val="24"/>
          <w:vertAlign w:val="superscript"/>
        </w:rPr>
        <w:t>#</w:t>
      </w:r>
      <w:r w:rsidRPr="00B33D2C">
        <w:rPr>
          <w:rFonts w:ascii="Times New Roman" w:eastAsia="宋体" w:hAnsi="Times New Roman" w:cs="Times New Roman"/>
          <w:sz w:val="24"/>
          <w:szCs w:val="24"/>
        </w:rPr>
        <w:t>汽油的设计容量：</w:t>
      </w:r>
    </w:p>
    <w:p w:rsidR="00D359BE" w:rsidRPr="00B33D2C" w:rsidP="00B33D2C" w14:paraId="6F39386F" w14:textId="0FBE29FC">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7pt;height:33pt" o:ole="">
            <v:imagedata r:id="rId96" o:title=""/>
          </v:shape>
          <o:OLEObject Type="Embed" ProgID="Equation.DSMT4" ShapeID="_x0000_i1025" DrawAspect="Content" ObjectID="_1771596892" r:id="rId97"/>
        </w:object>
      </w:r>
      <w:r w:rsidRPr="00B33D2C" w:rsidR="00C30E28">
        <w:rPr>
          <w:rFonts w:ascii="Times New Roman" w:eastAsia="宋体" w:hAnsi="Times New Roman" w:cs="Times New Roman"/>
          <w:sz w:val="24"/>
          <w:szCs w:val="24"/>
        </w:rPr>
        <w:t xml:space="preserve">  </w:t>
      </w:r>
      <w:bookmarkStart w:id="34" w:name="_Hlk132660323"/>
      <w:r w:rsidRPr="00B33D2C" w:rsidR="00C30E28">
        <w:rPr>
          <w:rFonts w:ascii="Times New Roman" w:eastAsia="宋体" w:hAnsi="Times New Roman" w:cs="Times New Roman"/>
          <w:sz w:val="24"/>
          <w:szCs w:val="24"/>
        </w:rPr>
        <w:t xml:space="preserve">  </w:t>
      </w:r>
      <w:r w:rsidRPr="00B33D2C" w:rsidR="00C30E28">
        <w:rPr>
          <w:rFonts w:ascii="Times New Roman" w:eastAsia="宋体" w:hAnsi="Times New Roman" w:cs="Times New Roman"/>
          <w:sz w:val="24"/>
          <w:szCs w:val="24"/>
        </w:rPr>
        <w:t>选用两个</w:t>
      </w:r>
      <w:r w:rsidRPr="00B33D2C" w:rsidR="00C30E28">
        <w:rPr>
          <w:rFonts w:ascii="Times New Roman" w:eastAsia="宋体" w:hAnsi="Times New Roman" w:cs="Times New Roman"/>
          <w:sz w:val="24"/>
          <w:szCs w:val="24"/>
        </w:rPr>
        <w:t>10000m</w:t>
      </w:r>
      <w:r w:rsidRPr="00B33D2C" w:rsidR="00C30E28">
        <w:rPr>
          <w:rFonts w:ascii="Times New Roman" w:eastAsia="宋体" w:hAnsi="Times New Roman" w:cs="Times New Roman"/>
          <w:sz w:val="24"/>
          <w:szCs w:val="24"/>
          <w:vertAlign w:val="superscript"/>
        </w:rPr>
        <w:t>3</w:t>
      </w:r>
      <w:r w:rsidRPr="00B33D2C" w:rsidR="00C30E28">
        <w:rPr>
          <w:rFonts w:ascii="Times New Roman" w:eastAsia="宋体" w:hAnsi="Times New Roman" w:cs="Times New Roman"/>
          <w:sz w:val="24"/>
          <w:szCs w:val="24"/>
        </w:rPr>
        <w:t>罐</w:t>
      </w:r>
      <w:bookmarkEnd w:id="34"/>
    </w:p>
    <w:p w:rsidR="00D359BE" w:rsidRPr="00B33D2C" w:rsidP="00B33D2C" w14:paraId="0136E314" w14:textId="77777777">
      <w:pPr>
        <w:adjustRightInd w:val="0"/>
        <w:snapToGrid w:val="0"/>
        <w:spacing w:line="300" w:lineRule="auto"/>
        <w:ind w:firstLine="480" w:firstLineChars="200"/>
        <w:rPr>
          <w:rFonts w:ascii="Times New Roman" w:eastAsia="宋体" w:hAnsi="Times New Roman" w:cs="Times New Roman"/>
          <w:sz w:val="24"/>
          <w:szCs w:val="24"/>
        </w:rPr>
      </w:pPr>
      <w:r w:rsidRPr="00B33D2C">
        <w:rPr>
          <w:rFonts w:ascii="Times New Roman" w:eastAsia="宋体" w:hAnsi="Times New Roman" w:cs="Times New Roman"/>
          <w:sz w:val="24"/>
          <w:szCs w:val="24"/>
        </w:rPr>
        <w:t>93</w:t>
      </w:r>
      <w:r w:rsidRPr="00B33D2C">
        <w:rPr>
          <w:rFonts w:ascii="Times New Roman" w:eastAsia="宋体" w:hAnsi="Times New Roman" w:cs="Times New Roman"/>
          <w:sz w:val="24"/>
          <w:szCs w:val="24"/>
          <w:vertAlign w:val="superscript"/>
        </w:rPr>
        <w:t>#</w:t>
      </w:r>
      <w:r w:rsidRPr="00B33D2C">
        <w:rPr>
          <w:rFonts w:ascii="Times New Roman" w:eastAsia="宋体" w:hAnsi="Times New Roman" w:cs="Times New Roman"/>
          <w:sz w:val="24"/>
          <w:szCs w:val="24"/>
        </w:rPr>
        <w:t>汽油的设计容量：</w:t>
      </w:r>
    </w:p>
    <w:p w:rsidR="00D359BE" w:rsidRPr="00B33D2C" w:rsidP="00B33D2C" w14:paraId="31B22758" w14:textId="0D99033C">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26" type="#_x0000_t75" style="width:207pt;height:33pt" o:ole="">
            <v:imagedata r:id="rId98" o:title=""/>
          </v:shape>
          <o:OLEObject Type="Embed" ProgID="Equation.DSMT4" ShapeID="_x0000_i1026" DrawAspect="Content" ObjectID="_1771596893" r:id="rId99"/>
        </w:object>
      </w:r>
      <w:r w:rsidRPr="00B33D2C" w:rsidR="00C30E28">
        <w:rPr>
          <w:rFonts w:ascii="Times New Roman" w:eastAsia="宋体" w:hAnsi="Times New Roman" w:cs="Times New Roman"/>
          <w:sz w:val="24"/>
          <w:szCs w:val="24"/>
        </w:rPr>
        <w:t xml:space="preserve">   </w:t>
      </w:r>
      <w:r w:rsidRPr="00B33D2C" w:rsidR="00C30E28">
        <w:rPr>
          <w:rFonts w:ascii="Times New Roman" w:eastAsia="宋体" w:hAnsi="Times New Roman" w:cs="Times New Roman"/>
          <w:sz w:val="24"/>
          <w:szCs w:val="24"/>
        </w:rPr>
        <w:t>选用三个</w:t>
      </w:r>
      <w:r w:rsidRPr="00B33D2C" w:rsidR="00C30E28">
        <w:rPr>
          <w:rFonts w:ascii="Times New Roman" w:eastAsia="宋体" w:hAnsi="Times New Roman" w:cs="Times New Roman"/>
          <w:sz w:val="24"/>
          <w:szCs w:val="24"/>
        </w:rPr>
        <w:t>10000m</w:t>
      </w:r>
      <w:r w:rsidRPr="00B33D2C" w:rsidR="00C30E28">
        <w:rPr>
          <w:rFonts w:ascii="Times New Roman" w:eastAsia="宋体" w:hAnsi="Times New Roman" w:cs="Times New Roman"/>
          <w:sz w:val="24"/>
          <w:szCs w:val="24"/>
          <w:vertAlign w:val="superscript"/>
        </w:rPr>
        <w:t>3</w:t>
      </w:r>
      <w:r w:rsidRPr="00B33D2C" w:rsidR="00C30E28">
        <w:rPr>
          <w:rFonts w:ascii="Times New Roman" w:eastAsia="宋体" w:hAnsi="Times New Roman" w:cs="Times New Roman"/>
          <w:sz w:val="24"/>
          <w:szCs w:val="24"/>
        </w:rPr>
        <w:t>罐</w:t>
      </w:r>
    </w:p>
    <w:p w:rsidR="00D359BE" w:rsidRPr="00B33D2C" w:rsidP="00B33D2C" w14:paraId="1A9C33D6" w14:textId="77777777">
      <w:pPr>
        <w:adjustRightInd w:val="0"/>
        <w:snapToGrid w:val="0"/>
        <w:spacing w:line="300" w:lineRule="auto"/>
        <w:ind w:firstLine="480" w:firstLineChars="200"/>
        <w:rPr>
          <w:rFonts w:ascii="Times New Roman" w:eastAsia="宋体" w:hAnsi="Times New Roman" w:cs="Times New Roman"/>
          <w:sz w:val="24"/>
          <w:szCs w:val="24"/>
        </w:rPr>
      </w:pPr>
      <w:bookmarkStart w:id="35" w:name="_Hlk132660192"/>
      <w:r w:rsidRPr="00B33D2C">
        <w:rPr>
          <w:rFonts w:ascii="Times New Roman" w:eastAsia="宋体" w:hAnsi="Times New Roman" w:cs="Times New Roman"/>
          <w:sz w:val="24"/>
          <w:szCs w:val="24"/>
        </w:rPr>
        <w:t>98</w:t>
      </w:r>
      <w:r w:rsidRPr="00B33D2C">
        <w:rPr>
          <w:rFonts w:ascii="Times New Roman" w:eastAsia="宋体" w:hAnsi="Times New Roman" w:cs="Times New Roman"/>
          <w:sz w:val="24"/>
          <w:szCs w:val="24"/>
          <w:vertAlign w:val="superscript"/>
        </w:rPr>
        <w:t>#</w:t>
      </w:r>
      <w:r w:rsidRPr="00B33D2C">
        <w:rPr>
          <w:rFonts w:ascii="Times New Roman" w:eastAsia="宋体" w:hAnsi="Times New Roman" w:cs="Times New Roman"/>
          <w:sz w:val="24"/>
          <w:szCs w:val="24"/>
        </w:rPr>
        <w:t>汽油的设计容量：</w:t>
      </w:r>
    </w:p>
    <w:p w:rsidR="00D359BE" w:rsidRPr="00B33D2C" w:rsidP="00B33D2C" w14:paraId="757D680D" w14:textId="16780BEE">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27" type="#_x0000_t75" style="width:200pt;height:33pt" o:ole="">
            <v:imagedata r:id="rId100" o:title=""/>
          </v:shape>
          <o:OLEObject Type="Embed" ProgID="Equation.DSMT4" ShapeID="_x0000_i1027" DrawAspect="Content" ObjectID="_1771596894" r:id="rId101"/>
        </w:object>
      </w:r>
      <w:r w:rsidRPr="00B33D2C" w:rsidR="00C30E28">
        <w:rPr>
          <w:rFonts w:ascii="Times New Roman" w:eastAsia="宋体" w:hAnsi="Times New Roman" w:cs="Times New Roman"/>
          <w:sz w:val="24"/>
          <w:szCs w:val="24"/>
        </w:rPr>
        <w:t xml:space="preserve">    </w:t>
      </w:r>
      <w:r w:rsidRPr="00B33D2C" w:rsidR="00C30E28">
        <w:rPr>
          <w:rFonts w:ascii="Times New Roman" w:eastAsia="宋体" w:hAnsi="Times New Roman" w:cs="Times New Roman"/>
          <w:sz w:val="24"/>
          <w:szCs w:val="24"/>
        </w:rPr>
        <w:t>选用两个</w:t>
      </w:r>
      <w:r w:rsidRPr="00B33D2C" w:rsidR="00C30E28">
        <w:rPr>
          <w:rFonts w:ascii="Times New Roman" w:eastAsia="宋体" w:hAnsi="Times New Roman" w:cs="Times New Roman"/>
          <w:sz w:val="24"/>
          <w:szCs w:val="24"/>
        </w:rPr>
        <w:t>10000m</w:t>
      </w:r>
      <w:r w:rsidRPr="00B33D2C" w:rsidR="00C30E28">
        <w:rPr>
          <w:rFonts w:ascii="Times New Roman" w:eastAsia="宋体" w:hAnsi="Times New Roman" w:cs="Times New Roman"/>
          <w:sz w:val="24"/>
          <w:szCs w:val="24"/>
          <w:vertAlign w:val="superscript"/>
        </w:rPr>
        <w:t>3</w:t>
      </w:r>
      <w:r w:rsidRPr="00B33D2C" w:rsidR="00C30E28">
        <w:rPr>
          <w:rFonts w:ascii="Times New Roman" w:eastAsia="宋体" w:hAnsi="Times New Roman" w:cs="Times New Roman"/>
          <w:sz w:val="24"/>
          <w:szCs w:val="24"/>
        </w:rPr>
        <w:t>罐</w:t>
      </w:r>
    </w:p>
    <w:p w:rsidR="00D359BE" w:rsidRPr="00B33D2C" w:rsidP="00B33D2C" w14:paraId="670DB1F8" w14:textId="77777777">
      <w:pPr>
        <w:adjustRightInd w:val="0"/>
        <w:snapToGrid w:val="0"/>
        <w:spacing w:line="300" w:lineRule="auto"/>
        <w:ind w:firstLine="480" w:firstLineChars="200"/>
        <w:rPr>
          <w:rFonts w:ascii="Times New Roman" w:eastAsia="宋体" w:hAnsi="Times New Roman" w:cs="Times New Roman"/>
          <w:sz w:val="24"/>
          <w:szCs w:val="24"/>
        </w:rPr>
      </w:pPr>
      <w:r w:rsidRPr="00B33D2C">
        <w:rPr>
          <w:rFonts w:ascii="Times New Roman" w:eastAsia="宋体" w:hAnsi="Times New Roman" w:cs="Times New Roman"/>
          <w:sz w:val="24"/>
          <w:szCs w:val="24"/>
        </w:rPr>
        <w:t>航空汽油的设计容量：</w:t>
      </w:r>
    </w:p>
    <w:bookmarkEnd w:id="35"/>
    <w:p w:rsidR="00D359BE" w:rsidRPr="00B33D2C" w:rsidP="00B33D2C" w14:paraId="13716744" w14:textId="10962C12">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28" type="#_x0000_t75" style="width:200pt;height:33pt" o:ole="">
            <v:imagedata r:id="rId102" o:title=""/>
          </v:shape>
          <o:OLEObject Type="Embed" ProgID="Equation.DSMT4" ShapeID="_x0000_i1028" DrawAspect="Content" ObjectID="_1771596895" r:id="rId103"/>
        </w:object>
      </w:r>
      <w:r w:rsidRPr="00B33D2C" w:rsidR="00C30E28">
        <w:rPr>
          <w:rFonts w:ascii="Times New Roman" w:eastAsia="宋体" w:hAnsi="Times New Roman" w:cs="Times New Roman"/>
          <w:sz w:val="24"/>
          <w:szCs w:val="24"/>
        </w:rPr>
        <w:t xml:space="preserve">   </w:t>
      </w:r>
      <w:r w:rsidRPr="00B33D2C" w:rsidR="00C30E28">
        <w:rPr>
          <w:rFonts w:ascii="Times New Roman" w:eastAsia="宋体" w:hAnsi="Times New Roman" w:cs="Times New Roman"/>
          <w:sz w:val="24"/>
          <w:szCs w:val="24"/>
        </w:rPr>
        <w:t>选用两个</w:t>
      </w:r>
      <w:r w:rsidRPr="00B33D2C" w:rsidR="00C30E28">
        <w:rPr>
          <w:rFonts w:ascii="Times New Roman" w:eastAsia="宋体" w:hAnsi="Times New Roman" w:cs="Times New Roman"/>
          <w:sz w:val="24"/>
          <w:szCs w:val="24"/>
        </w:rPr>
        <w:t>10000m</w:t>
      </w:r>
      <w:r w:rsidRPr="00B33D2C" w:rsidR="00C30E28">
        <w:rPr>
          <w:rFonts w:ascii="Times New Roman" w:eastAsia="宋体" w:hAnsi="Times New Roman" w:cs="Times New Roman"/>
          <w:sz w:val="24"/>
          <w:szCs w:val="24"/>
          <w:vertAlign w:val="superscript"/>
        </w:rPr>
        <w:t>3</w:t>
      </w:r>
      <w:r w:rsidRPr="00B33D2C" w:rsidR="00C30E28">
        <w:rPr>
          <w:rFonts w:ascii="Times New Roman" w:eastAsia="宋体" w:hAnsi="Times New Roman" w:cs="Times New Roman"/>
          <w:sz w:val="24"/>
          <w:szCs w:val="24"/>
        </w:rPr>
        <w:t>罐</w:t>
      </w:r>
    </w:p>
    <w:p w:rsidR="00D359BE" w:rsidRPr="00B33D2C" w:rsidP="00B33D2C" w14:paraId="00934BF6" w14:textId="77777777">
      <w:pPr>
        <w:adjustRightInd w:val="0"/>
        <w:snapToGrid w:val="0"/>
        <w:spacing w:line="300" w:lineRule="auto"/>
        <w:ind w:firstLine="480" w:firstLineChars="200"/>
        <w:rPr>
          <w:rFonts w:ascii="Times New Roman" w:eastAsia="宋体" w:hAnsi="Times New Roman" w:cs="Times New Roman"/>
          <w:sz w:val="24"/>
          <w:szCs w:val="24"/>
        </w:rPr>
      </w:pPr>
      <w:r w:rsidRPr="00B33D2C">
        <w:rPr>
          <w:rFonts w:ascii="Times New Roman" w:eastAsia="宋体" w:hAnsi="Times New Roman" w:cs="Times New Roman"/>
          <w:sz w:val="24"/>
          <w:szCs w:val="24"/>
        </w:rPr>
        <w:t>10</w:t>
      </w:r>
      <w:r w:rsidRPr="00B33D2C">
        <w:rPr>
          <w:rFonts w:ascii="Times New Roman" w:eastAsia="宋体" w:hAnsi="Times New Roman" w:cs="Times New Roman"/>
          <w:sz w:val="24"/>
          <w:szCs w:val="24"/>
          <w:vertAlign w:val="superscript"/>
        </w:rPr>
        <w:t>#</w:t>
      </w:r>
      <w:r w:rsidRPr="00B33D2C">
        <w:rPr>
          <w:rFonts w:ascii="Times New Roman" w:eastAsia="宋体" w:hAnsi="Times New Roman" w:cs="Times New Roman"/>
          <w:sz w:val="24"/>
          <w:szCs w:val="24"/>
        </w:rPr>
        <w:t>轻柴油的设计容量：</w:t>
      </w:r>
    </w:p>
    <w:p w:rsidR="00D359BE" w:rsidRPr="00B33D2C" w:rsidP="00B33D2C" w14:paraId="2DD5CEF2" w14:textId="18DF3EBB">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29" type="#_x0000_t75" style="width:200pt;height:33pt" o:ole="">
            <v:imagedata r:id="rId104" o:title=""/>
          </v:shape>
          <o:OLEObject Type="Embed" ProgID="Equation.DSMT4" ShapeID="_x0000_i1029" DrawAspect="Content" ObjectID="_1771596896" r:id="rId105"/>
        </w:object>
      </w:r>
      <w:r w:rsidRPr="00B33D2C" w:rsidR="00C30E28">
        <w:rPr>
          <w:rFonts w:ascii="Times New Roman" w:eastAsia="宋体" w:hAnsi="Times New Roman" w:cs="Times New Roman"/>
          <w:sz w:val="24"/>
          <w:szCs w:val="24"/>
        </w:rPr>
        <w:t xml:space="preserve">   </w:t>
      </w:r>
      <w:r w:rsidRPr="00B33D2C" w:rsidR="00C30E28">
        <w:rPr>
          <w:rFonts w:ascii="Times New Roman" w:eastAsia="宋体" w:hAnsi="Times New Roman" w:cs="Times New Roman"/>
          <w:sz w:val="24"/>
          <w:szCs w:val="24"/>
        </w:rPr>
        <w:t>选用两个</w:t>
      </w:r>
      <w:r w:rsidRPr="00B33D2C" w:rsidR="00C30E28">
        <w:rPr>
          <w:rFonts w:ascii="Times New Roman" w:eastAsia="宋体" w:hAnsi="Times New Roman" w:cs="Times New Roman"/>
          <w:sz w:val="24"/>
          <w:szCs w:val="24"/>
        </w:rPr>
        <w:t>10000m</w:t>
      </w:r>
      <w:r w:rsidRPr="00B33D2C" w:rsidR="00C30E28">
        <w:rPr>
          <w:rFonts w:ascii="Times New Roman" w:eastAsia="宋体" w:hAnsi="Times New Roman" w:cs="Times New Roman"/>
          <w:sz w:val="24"/>
          <w:szCs w:val="24"/>
          <w:vertAlign w:val="superscript"/>
        </w:rPr>
        <w:t>3</w:t>
      </w:r>
      <w:r w:rsidRPr="00B33D2C" w:rsidR="00C30E28">
        <w:rPr>
          <w:rFonts w:ascii="Times New Roman" w:eastAsia="宋体" w:hAnsi="Times New Roman" w:cs="Times New Roman"/>
          <w:sz w:val="24"/>
          <w:szCs w:val="24"/>
        </w:rPr>
        <w:t>罐</w:t>
      </w:r>
    </w:p>
    <w:p w:rsidR="00D359BE" w:rsidRPr="00B33D2C" w:rsidP="00B33D2C" w14:paraId="7E70E4B1" w14:textId="77777777">
      <w:pPr>
        <w:adjustRightInd w:val="0"/>
        <w:snapToGrid w:val="0"/>
        <w:spacing w:line="300" w:lineRule="auto"/>
        <w:ind w:firstLine="480" w:firstLineChars="200"/>
        <w:rPr>
          <w:rFonts w:ascii="Times New Roman" w:eastAsia="宋体" w:hAnsi="Times New Roman" w:cs="Times New Roman"/>
          <w:sz w:val="24"/>
          <w:szCs w:val="24"/>
        </w:rPr>
      </w:pPr>
      <w:r w:rsidRPr="00B33D2C">
        <w:rPr>
          <w:rFonts w:ascii="Times New Roman" w:eastAsia="宋体" w:hAnsi="Times New Roman" w:cs="Times New Roman"/>
          <w:sz w:val="24"/>
          <w:szCs w:val="24"/>
        </w:rPr>
        <w:t>-10</w:t>
      </w:r>
      <w:r w:rsidRPr="00B33D2C">
        <w:rPr>
          <w:rFonts w:ascii="Times New Roman" w:eastAsia="宋体" w:hAnsi="Times New Roman" w:cs="Times New Roman"/>
          <w:sz w:val="24"/>
          <w:szCs w:val="24"/>
          <w:vertAlign w:val="superscript"/>
        </w:rPr>
        <w:t>#</w:t>
      </w:r>
      <w:r w:rsidRPr="00B33D2C">
        <w:rPr>
          <w:rFonts w:ascii="Times New Roman" w:eastAsia="宋体" w:hAnsi="Times New Roman" w:cs="Times New Roman"/>
          <w:sz w:val="24"/>
          <w:szCs w:val="24"/>
        </w:rPr>
        <w:t>柴油的设计容量：</w:t>
      </w:r>
    </w:p>
    <w:p w:rsidR="00D359BE" w:rsidRPr="00B33D2C" w:rsidP="00B33D2C" w14:paraId="4C024A48" w14:textId="0EB7B9AE">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30" type="#_x0000_t75" style="width:200pt;height:33pt" o:ole="">
            <v:imagedata r:id="rId106" o:title=""/>
          </v:shape>
          <o:OLEObject Type="Embed" ProgID="Equation.DSMT4" ShapeID="_x0000_i1030" DrawAspect="Content" ObjectID="_1771596897" r:id="rId107"/>
        </w:object>
      </w:r>
      <w:r w:rsidRPr="00B33D2C" w:rsidR="00C30E28">
        <w:rPr>
          <w:rFonts w:ascii="Times New Roman" w:eastAsia="宋体" w:hAnsi="Times New Roman" w:cs="Times New Roman"/>
          <w:sz w:val="24"/>
          <w:szCs w:val="24"/>
        </w:rPr>
        <w:t xml:space="preserve">   </w:t>
      </w:r>
      <w:r w:rsidRPr="00B33D2C" w:rsidR="00C30E28">
        <w:rPr>
          <w:rFonts w:ascii="Times New Roman" w:eastAsia="宋体" w:hAnsi="Times New Roman" w:cs="Times New Roman"/>
          <w:sz w:val="24"/>
          <w:szCs w:val="24"/>
        </w:rPr>
        <w:t>选用两个</w:t>
      </w:r>
      <w:r w:rsidRPr="00B33D2C" w:rsidR="00C30E28">
        <w:rPr>
          <w:rFonts w:ascii="Times New Roman" w:eastAsia="宋体" w:hAnsi="Times New Roman" w:cs="Times New Roman"/>
          <w:sz w:val="24"/>
          <w:szCs w:val="24"/>
        </w:rPr>
        <w:t>10000m</w:t>
      </w:r>
      <w:r w:rsidRPr="00B33D2C" w:rsidR="00C30E28">
        <w:rPr>
          <w:rFonts w:ascii="Times New Roman" w:eastAsia="宋体" w:hAnsi="Times New Roman" w:cs="Times New Roman"/>
          <w:sz w:val="24"/>
          <w:szCs w:val="24"/>
          <w:vertAlign w:val="superscript"/>
        </w:rPr>
        <w:t>3</w:t>
      </w:r>
      <w:r w:rsidRPr="00B33D2C" w:rsidR="00C30E28">
        <w:rPr>
          <w:rFonts w:ascii="Times New Roman" w:eastAsia="宋体" w:hAnsi="Times New Roman" w:cs="Times New Roman"/>
          <w:sz w:val="24"/>
          <w:szCs w:val="24"/>
        </w:rPr>
        <w:t>罐</w:t>
      </w:r>
    </w:p>
    <w:p w:rsidR="00D359BE" w:rsidRPr="00B33D2C" w:rsidP="00B33D2C" w14:paraId="0EE884A6" w14:textId="77777777">
      <w:pPr>
        <w:adjustRightInd w:val="0"/>
        <w:snapToGrid w:val="0"/>
        <w:spacing w:line="300" w:lineRule="auto"/>
        <w:ind w:firstLine="480" w:firstLineChars="200"/>
        <w:rPr>
          <w:rFonts w:ascii="Times New Roman" w:eastAsia="宋体" w:hAnsi="Times New Roman" w:cs="Times New Roman"/>
          <w:sz w:val="24"/>
          <w:szCs w:val="24"/>
        </w:rPr>
        <w:sectPr>
          <w:headerReference w:type="even" r:id="rId108"/>
          <w:headerReference w:type="default" r:id="rId109"/>
          <w:footerReference w:type="even" r:id="rId110"/>
          <w:footerReference w:type="default" r:id="rId111"/>
          <w:headerReference w:type="first" r:id="rId112"/>
          <w:footerReference w:type="first" r:id="rId113"/>
          <w:type w:val="nextPage"/>
          <w:pgSz w:w="11906" w:h="16838"/>
          <w:pgMar w:top="1985" w:right="1418" w:bottom="1418" w:left="1418" w:header="1417" w:footer="1134" w:gutter="0"/>
          <w:pgNumType w:start="10"/>
          <w:cols w:space="425"/>
          <w:titlePg w:val="0"/>
          <w:docGrid w:linePitch="312"/>
        </w:sectPr>
      </w:pPr>
      <w:bookmarkStart w:id="36" w:name="_Hlk132660717"/>
      <w:r w:rsidRPr="00B33D2C">
        <w:rPr>
          <w:rFonts w:ascii="Times New Roman" w:eastAsia="宋体" w:hAnsi="Times New Roman" w:cs="Times New Roman"/>
          <w:sz w:val="24"/>
          <w:szCs w:val="24"/>
        </w:rPr>
        <w:t>10</w:t>
      </w:r>
      <w:r w:rsidRPr="00B33D2C">
        <w:rPr>
          <w:rFonts w:ascii="Times New Roman" w:eastAsia="宋体" w:hAnsi="Times New Roman" w:cs="Times New Roman"/>
          <w:sz w:val="24"/>
          <w:szCs w:val="24"/>
          <w:vertAlign w:val="superscript"/>
        </w:rPr>
        <w:t>#</w:t>
      </w:r>
      <w:r w:rsidRPr="00B33D2C">
        <w:rPr>
          <w:rFonts w:ascii="Times New Roman" w:eastAsia="宋体" w:hAnsi="Times New Roman" w:cs="Times New Roman"/>
          <w:sz w:val="24"/>
          <w:szCs w:val="24"/>
        </w:rPr>
        <w:t>重柴油油的设计容量：</w:t>
      </w:r>
    </w:p>
    <w:bookmarkEnd w:id="36"/>
    <w:p w:rsidR="00D359BE" w:rsidRPr="00B33D2C" w:rsidP="00B33D2C" w14:paraId="09359BA4" w14:textId="3C9CFB58">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31" type="#_x0000_t75" style="width:202pt;height:33pt" o:ole="">
            <v:imagedata r:id="rId114" o:title=""/>
          </v:shape>
          <o:OLEObject Type="Embed" ProgID="Equation.DSMT4" ShapeID="_x0000_i1031" DrawAspect="Content" ObjectID="_1771596898" r:id="rId115"/>
        </w:object>
      </w:r>
      <w:r w:rsidRPr="00B33D2C" w:rsidR="00C30E28">
        <w:rPr>
          <w:rFonts w:ascii="Times New Roman" w:eastAsia="宋体" w:hAnsi="Times New Roman" w:cs="Times New Roman"/>
          <w:sz w:val="24"/>
          <w:szCs w:val="24"/>
        </w:rPr>
        <w:t xml:space="preserve">   </w:t>
      </w:r>
      <w:r w:rsidRPr="00B33D2C" w:rsidR="00C30E28">
        <w:rPr>
          <w:rFonts w:ascii="Times New Roman" w:eastAsia="宋体" w:hAnsi="Times New Roman" w:cs="Times New Roman"/>
          <w:sz w:val="24"/>
          <w:szCs w:val="24"/>
        </w:rPr>
        <w:t>选用一个</w:t>
      </w:r>
      <w:bookmarkStart w:id="37" w:name="_Hlk132660886"/>
      <w:r w:rsidRPr="00B33D2C" w:rsidR="00C30E28">
        <w:rPr>
          <w:rFonts w:ascii="Times New Roman" w:eastAsia="宋体" w:hAnsi="Times New Roman" w:cs="Times New Roman"/>
          <w:sz w:val="24"/>
          <w:szCs w:val="24"/>
        </w:rPr>
        <w:t>5000m</w:t>
      </w:r>
      <w:r w:rsidRPr="00B33D2C" w:rsidR="00C30E28">
        <w:rPr>
          <w:rFonts w:ascii="Times New Roman" w:eastAsia="宋体" w:hAnsi="Times New Roman" w:cs="Times New Roman"/>
          <w:sz w:val="24"/>
          <w:szCs w:val="24"/>
          <w:vertAlign w:val="superscript"/>
        </w:rPr>
        <w:t>3</w:t>
      </w:r>
      <w:r w:rsidRPr="00B33D2C" w:rsidR="00C30E28">
        <w:rPr>
          <w:rFonts w:ascii="Times New Roman" w:eastAsia="宋体" w:hAnsi="Times New Roman" w:cs="Times New Roman"/>
          <w:sz w:val="24"/>
          <w:szCs w:val="24"/>
        </w:rPr>
        <w:t>罐</w:t>
      </w:r>
    </w:p>
    <w:bookmarkEnd w:id="37"/>
    <w:p w:rsidR="00D359BE" w:rsidRPr="00B33D2C" w:rsidP="00B33D2C" w14:paraId="68A0930E" w14:textId="77777777">
      <w:pPr>
        <w:adjustRightInd w:val="0"/>
        <w:snapToGrid w:val="0"/>
        <w:spacing w:line="300" w:lineRule="auto"/>
        <w:ind w:firstLine="480" w:firstLineChars="200"/>
        <w:rPr>
          <w:rFonts w:ascii="Times New Roman" w:eastAsia="宋体" w:hAnsi="Times New Roman" w:cs="Times New Roman"/>
          <w:sz w:val="24"/>
          <w:szCs w:val="24"/>
        </w:rPr>
      </w:pPr>
      <w:r w:rsidRPr="00B33D2C">
        <w:rPr>
          <w:rFonts w:ascii="Times New Roman" w:eastAsia="宋体" w:hAnsi="Times New Roman" w:cs="Times New Roman"/>
          <w:sz w:val="24"/>
          <w:szCs w:val="24"/>
        </w:rPr>
        <w:t>20</w:t>
      </w:r>
      <w:r w:rsidRPr="00B33D2C">
        <w:rPr>
          <w:rFonts w:ascii="Times New Roman" w:eastAsia="宋体" w:hAnsi="Times New Roman" w:cs="Times New Roman"/>
          <w:sz w:val="24"/>
          <w:szCs w:val="24"/>
          <w:vertAlign w:val="superscript"/>
        </w:rPr>
        <w:t>#</w:t>
      </w:r>
      <w:r w:rsidRPr="00B33D2C">
        <w:rPr>
          <w:rFonts w:ascii="Times New Roman" w:eastAsia="宋体" w:hAnsi="Times New Roman" w:cs="Times New Roman"/>
          <w:sz w:val="24"/>
          <w:szCs w:val="24"/>
        </w:rPr>
        <w:t>重柴油油的设计容量：</w:t>
      </w:r>
    </w:p>
    <w:p w:rsidR="00D359BE" w:rsidRPr="00B33D2C" w:rsidP="00B33D2C" w14:paraId="73366DEE" w14:textId="05D96263">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32" type="#_x0000_t75" style="width:202pt;height:33pt" o:ole="">
            <v:imagedata r:id="rId116" o:title=""/>
          </v:shape>
          <o:OLEObject Type="Embed" ProgID="Equation.DSMT4" ShapeID="_x0000_i1032" DrawAspect="Content" ObjectID="_1771596899" r:id="rId117"/>
        </w:object>
      </w:r>
      <w:r w:rsidRPr="00B33D2C" w:rsidR="00C30E28">
        <w:rPr>
          <w:rFonts w:ascii="Times New Roman" w:eastAsia="宋体" w:hAnsi="Times New Roman" w:cs="Times New Roman"/>
          <w:sz w:val="24"/>
          <w:szCs w:val="24"/>
        </w:rPr>
        <w:t xml:space="preserve">    </w:t>
      </w:r>
      <w:r w:rsidRPr="00B33D2C" w:rsidR="00C30E28">
        <w:rPr>
          <w:rFonts w:ascii="Times New Roman" w:eastAsia="宋体" w:hAnsi="Times New Roman" w:cs="Times New Roman"/>
          <w:sz w:val="24"/>
          <w:szCs w:val="24"/>
        </w:rPr>
        <w:t>选用一个</w:t>
      </w:r>
      <w:r w:rsidRPr="00B33D2C" w:rsidR="00C30E28">
        <w:rPr>
          <w:rFonts w:ascii="Times New Roman" w:eastAsia="宋体" w:hAnsi="Times New Roman" w:cs="Times New Roman"/>
          <w:sz w:val="24"/>
          <w:szCs w:val="24"/>
        </w:rPr>
        <w:t>5000m</w:t>
      </w:r>
      <w:r w:rsidRPr="00B33D2C" w:rsidR="00C30E28">
        <w:rPr>
          <w:rFonts w:ascii="Times New Roman" w:eastAsia="宋体" w:hAnsi="Times New Roman" w:cs="Times New Roman"/>
          <w:sz w:val="24"/>
          <w:szCs w:val="24"/>
          <w:vertAlign w:val="superscript"/>
        </w:rPr>
        <w:t>3</w:t>
      </w:r>
      <w:r w:rsidRPr="00B33D2C" w:rsidR="00C30E28">
        <w:rPr>
          <w:rFonts w:ascii="Times New Roman" w:eastAsia="宋体" w:hAnsi="Times New Roman" w:cs="Times New Roman"/>
          <w:sz w:val="24"/>
          <w:szCs w:val="24"/>
        </w:rPr>
        <w:t>罐</w:t>
      </w:r>
    </w:p>
    <w:p w:rsidR="00D359BE" w:rsidRPr="00B33D2C" w:rsidP="00B33D2C" w14:paraId="0A24283E" w14:textId="77777777">
      <w:pPr>
        <w:adjustRightInd w:val="0"/>
        <w:snapToGrid w:val="0"/>
        <w:spacing w:line="300" w:lineRule="auto"/>
        <w:ind w:firstLine="480" w:firstLineChars="200"/>
        <w:rPr>
          <w:rFonts w:ascii="Times New Roman" w:eastAsia="宋体" w:hAnsi="Times New Roman" w:cs="Times New Roman"/>
          <w:sz w:val="24"/>
          <w:szCs w:val="24"/>
        </w:rPr>
      </w:pPr>
      <w:r w:rsidRPr="00B33D2C">
        <w:rPr>
          <w:rFonts w:ascii="Times New Roman" w:eastAsia="宋体" w:hAnsi="Times New Roman" w:cs="Times New Roman"/>
          <w:sz w:val="24"/>
          <w:szCs w:val="24"/>
        </w:rPr>
        <w:t>经过以上计算得出油库</w:t>
      </w:r>
      <w:bookmarkStart w:id="38" w:name="_Hlk134107831"/>
      <w:r w:rsidRPr="00B33D2C">
        <w:rPr>
          <w:rFonts w:ascii="Times New Roman" w:eastAsia="宋体" w:hAnsi="Times New Roman" w:cs="Times New Roman"/>
          <w:sz w:val="24"/>
          <w:szCs w:val="24"/>
        </w:rPr>
        <w:t>共</w:t>
      </w:r>
      <w:r w:rsidRPr="00B33D2C">
        <w:rPr>
          <w:rFonts w:ascii="Times New Roman" w:eastAsia="宋体" w:hAnsi="Times New Roman" w:cs="Times New Roman"/>
          <w:sz w:val="24"/>
          <w:szCs w:val="24"/>
        </w:rPr>
        <w:t>15</w:t>
      </w:r>
      <w:r w:rsidRPr="00B33D2C">
        <w:rPr>
          <w:rFonts w:ascii="Times New Roman" w:eastAsia="宋体" w:hAnsi="Times New Roman" w:cs="Times New Roman"/>
          <w:sz w:val="24"/>
          <w:szCs w:val="24"/>
        </w:rPr>
        <w:t>个油罐，其中包括</w:t>
      </w:r>
      <w:r w:rsidRPr="00B33D2C">
        <w:rPr>
          <w:rFonts w:ascii="Times New Roman" w:eastAsia="宋体" w:hAnsi="Times New Roman" w:cs="Times New Roman"/>
          <w:sz w:val="24"/>
          <w:szCs w:val="24"/>
        </w:rPr>
        <w:t>13</w:t>
      </w:r>
      <w:r w:rsidRPr="00B33D2C">
        <w:rPr>
          <w:rFonts w:ascii="Times New Roman" w:eastAsia="宋体" w:hAnsi="Times New Roman" w:cs="Times New Roman"/>
          <w:sz w:val="24"/>
          <w:szCs w:val="24"/>
        </w:rPr>
        <w:t>个</w:t>
      </w:r>
      <w:r w:rsidRPr="00B33D2C">
        <w:rPr>
          <w:rFonts w:ascii="Times New Roman" w:eastAsia="宋体" w:hAnsi="Times New Roman" w:cs="Times New Roman"/>
          <w:sz w:val="24"/>
          <w:szCs w:val="24"/>
        </w:rPr>
        <w:t>10000m</w:t>
      </w:r>
      <w:r w:rsidRPr="00B33D2C">
        <w:rPr>
          <w:rFonts w:ascii="Times New Roman" w:eastAsia="宋体" w:hAnsi="Times New Roman" w:cs="Times New Roman"/>
          <w:sz w:val="24"/>
          <w:szCs w:val="24"/>
          <w:vertAlign w:val="superscript"/>
        </w:rPr>
        <w:t>3</w:t>
      </w:r>
      <w:r w:rsidRPr="00B33D2C">
        <w:rPr>
          <w:rFonts w:ascii="Times New Roman" w:eastAsia="宋体" w:hAnsi="Times New Roman" w:cs="Times New Roman"/>
          <w:sz w:val="24"/>
          <w:szCs w:val="24"/>
        </w:rPr>
        <w:t>油罐及</w:t>
      </w:r>
      <w:r w:rsidRPr="00B33D2C">
        <w:rPr>
          <w:rFonts w:ascii="Times New Roman" w:eastAsia="宋体" w:hAnsi="Times New Roman" w:cs="Times New Roman"/>
          <w:sz w:val="24"/>
          <w:szCs w:val="24"/>
        </w:rPr>
        <w:t>2</w:t>
      </w:r>
      <w:r w:rsidRPr="00B33D2C">
        <w:rPr>
          <w:rFonts w:ascii="Times New Roman" w:eastAsia="宋体" w:hAnsi="Times New Roman" w:cs="Times New Roman"/>
          <w:sz w:val="24"/>
          <w:szCs w:val="24"/>
        </w:rPr>
        <w:t>个</w:t>
      </w:r>
      <w:r w:rsidRPr="00B33D2C">
        <w:rPr>
          <w:rFonts w:ascii="Times New Roman" w:eastAsia="宋体" w:hAnsi="Times New Roman" w:cs="Times New Roman"/>
          <w:sz w:val="24"/>
          <w:szCs w:val="24"/>
        </w:rPr>
        <w:t>5000m</w:t>
      </w:r>
      <w:r w:rsidRPr="00B33D2C">
        <w:rPr>
          <w:rFonts w:ascii="Times New Roman" w:eastAsia="宋体" w:hAnsi="Times New Roman" w:cs="Times New Roman"/>
          <w:sz w:val="24"/>
          <w:szCs w:val="24"/>
          <w:vertAlign w:val="superscript"/>
        </w:rPr>
        <w:t>3</w:t>
      </w:r>
      <w:r w:rsidRPr="00B33D2C">
        <w:rPr>
          <w:rFonts w:ascii="Times New Roman" w:eastAsia="宋体" w:hAnsi="Times New Roman" w:cs="Times New Roman"/>
          <w:sz w:val="24"/>
          <w:szCs w:val="24"/>
        </w:rPr>
        <w:t>油罐。</w:t>
      </w:r>
    </w:p>
    <w:bookmarkEnd w:id="38"/>
    <w:p w:rsidR="00D359BE" w:rsidRPr="00B33D2C" w:rsidP="00B33D2C" w14:paraId="282891D7" w14:textId="77777777">
      <w:pPr>
        <w:adjustRightInd w:val="0"/>
        <w:snapToGrid w:val="0"/>
        <w:spacing w:line="300" w:lineRule="auto"/>
        <w:ind w:firstLine="480" w:firstLineChars="200"/>
        <w:rPr>
          <w:rFonts w:ascii="Times New Roman" w:eastAsia="宋体" w:hAnsi="Times New Roman" w:cs="Times New Roman"/>
          <w:color w:val="000000"/>
          <w:sz w:val="24"/>
          <w:szCs w:val="24"/>
        </w:rPr>
      </w:pPr>
      <w:r w:rsidRPr="00B33D2C">
        <w:rPr>
          <w:rFonts w:ascii="Times New Roman" w:eastAsia="宋体" w:hAnsi="Times New Roman" w:cs="Times New Roman"/>
          <w:color w:val="000000"/>
          <w:sz w:val="24"/>
          <w:szCs w:val="24"/>
        </w:rPr>
        <w:t>依据</w:t>
      </w:r>
      <w:r w:rsidRPr="00B33D2C">
        <w:rPr>
          <w:rFonts w:ascii="Times New Roman" w:eastAsia="宋体" w:hAnsi="Times New Roman" w:cs="Times New Roman"/>
          <w:color w:val="000000"/>
          <w:sz w:val="24"/>
          <w:szCs w:val="24"/>
        </w:rPr>
        <w:t>GB50074—2014</w:t>
      </w:r>
      <w:r w:rsidRPr="00B33D2C">
        <w:rPr>
          <w:rFonts w:ascii="Times New Roman" w:eastAsia="宋体" w:hAnsi="Times New Roman" w:cs="Times New Roman"/>
          <w:color w:val="000000"/>
          <w:sz w:val="24"/>
          <w:szCs w:val="24"/>
        </w:rPr>
        <w:t>《石油库设计规范》，根据总容量油库的等级可以按表</w:t>
      </w:r>
      <w:r w:rsidRPr="00B33D2C">
        <w:rPr>
          <w:rFonts w:ascii="Times New Roman" w:eastAsia="宋体" w:hAnsi="Times New Roman" w:cs="Times New Roman"/>
          <w:color w:val="000000"/>
          <w:sz w:val="24"/>
          <w:szCs w:val="24"/>
        </w:rPr>
        <w:t>3.3</w:t>
      </w:r>
      <w:r w:rsidRPr="00B33D2C">
        <w:rPr>
          <w:rFonts w:ascii="Times New Roman" w:eastAsia="宋体" w:hAnsi="Times New Roman" w:cs="Times New Roman"/>
          <w:color w:val="000000"/>
          <w:sz w:val="24"/>
          <w:szCs w:val="24"/>
        </w:rPr>
        <w:t>进行划分。</w:t>
      </w:r>
    </w:p>
    <w:p w:rsidR="00D359BE" w14:paraId="376FAB3D" w14:textId="77777777">
      <w:pPr>
        <w:snapToGrid w:val="0"/>
        <w:spacing w:line="300" w:lineRule="auto"/>
        <w:ind w:firstLine="480" w:firstLineChars="200"/>
        <w:rPr>
          <w:rFonts w:ascii="Times New Roman" w:eastAsia="宋体" w:hAnsi="Times New Roman" w:cs="Times New Roman"/>
          <w:color w:val="000000"/>
          <w:sz w:val="24"/>
          <w:szCs w:val="24"/>
        </w:rPr>
      </w:pPr>
    </w:p>
    <w:p w:rsidR="00D359BE" w:rsidP="00B33D2C" w14:paraId="52091D99" w14:textId="77777777">
      <w:pPr>
        <w:adjustRightInd w:val="0"/>
        <w:snapToGrid w:val="0"/>
        <w:spacing w:line="300" w:lineRule="auto"/>
        <w:ind w:left="3101" w:firstLine="420" w:firstLineChars="200"/>
        <w:rPr>
          <w:rFonts w:ascii="Times New Roman" w:eastAsia="宋体" w:hAnsi="Times New Roman" w:cs="Times New Roman"/>
          <w:szCs w:val="21"/>
        </w:rPr>
      </w:pPr>
      <w:r>
        <w:rPr>
          <w:rFonts w:ascii="Times New Roman" w:eastAsia="宋体" w:hAnsi="Times New Roman" w:cs="Times New Roman"/>
          <w:szCs w:val="21"/>
        </w:rPr>
        <w:t>表</w:t>
      </w:r>
      <w:r>
        <w:rPr>
          <w:rFonts w:ascii="Times New Roman" w:eastAsia="宋体" w:hAnsi="Times New Roman" w:cs="Times New Roman"/>
          <w:szCs w:val="21"/>
        </w:rPr>
        <w:t xml:space="preserve">3.3 </w:t>
      </w:r>
      <w:r>
        <w:rPr>
          <w:rFonts w:ascii="Times New Roman" w:eastAsia="宋体" w:hAnsi="Times New Roman" w:cs="Times New Roman"/>
          <w:szCs w:val="21"/>
        </w:rPr>
        <w:t>石油库等级分类</w:t>
      </w:r>
    </w:p>
    <w:tbl>
      <w:tblPr>
        <w:tblStyle w:val="TableGrid2"/>
        <w:tblpPr w:leftFromText="181" w:rightFromText="181" w:vertAnchor="text" w:tblpXSpec="center" w:tblpY="1"/>
        <w:tblOverlap w:val="never"/>
        <w:tblW w:w="8576" w:type="dxa"/>
        <w:tblInd w:w="0" w:type="dxa"/>
        <w:tblBorders>
          <w:top w:val="single" w:sz="4" w:space="0" w:color="auto"/>
          <w:bottom w:val="single" w:sz="4" w:space="0" w:color="auto"/>
        </w:tblBorders>
        <w:tblCellMar>
          <w:top w:w="25" w:type="dxa"/>
          <w:left w:w="5" w:type="dxa"/>
        </w:tblCellMar>
        <w:tblLook w:val="04A0"/>
      </w:tblPr>
      <w:tblGrid>
        <w:gridCol w:w="4294"/>
        <w:gridCol w:w="4282"/>
      </w:tblGrid>
      <w:tr w14:paraId="10654E3A" w14:textId="77777777" w:rsidTr="00B33D2C">
        <w:tblPrEx>
          <w:tblW w:w="8576" w:type="dxa"/>
          <w:tblInd w:w="0" w:type="dxa"/>
          <w:tblBorders>
            <w:top w:val="single" w:sz="4" w:space="0" w:color="auto"/>
            <w:bottom w:val="single" w:sz="4" w:space="0" w:color="auto"/>
          </w:tblBorders>
          <w:tblCellMar>
            <w:top w:w="25" w:type="dxa"/>
            <w:left w:w="5" w:type="dxa"/>
          </w:tblCellMar>
          <w:tblLook w:val="04A0"/>
        </w:tblPrEx>
        <w:trPr>
          <w:trHeight w:val="382"/>
        </w:trPr>
        <w:tc>
          <w:tcPr>
            <w:tcW w:w="4294" w:type="dxa"/>
            <w:tcBorders>
              <w:top w:val="single" w:sz="4" w:space="0" w:color="auto"/>
              <w:bottom w:val="single" w:sz="4" w:space="0" w:color="auto"/>
            </w:tcBorders>
            <w:vAlign w:val="center"/>
          </w:tcPr>
          <w:p w:rsidR="00D359BE" w:rsidP="00B33D2C" w14:paraId="42C159A3" w14:textId="06F02423">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等级</w:t>
            </w:r>
          </w:p>
        </w:tc>
        <w:tc>
          <w:tcPr>
            <w:tcW w:w="4282" w:type="dxa"/>
            <w:tcBorders>
              <w:top w:val="single" w:sz="4" w:space="0" w:color="auto"/>
              <w:bottom w:val="single" w:sz="4" w:space="0" w:color="auto"/>
            </w:tcBorders>
            <w:vAlign w:val="center"/>
          </w:tcPr>
          <w:p w:rsidR="00D359BE" w:rsidP="00B33D2C" w14:paraId="0E98A101" w14:textId="45A7175A">
            <w:pPr>
              <w:adjustRightInd w:val="0"/>
              <w:snapToGrid w:val="0"/>
              <w:spacing w:line="300" w:lineRule="auto"/>
              <w:ind w:right="7" w:firstLine="420" w:firstLineChars="200"/>
              <w:jc w:val="center"/>
              <w:rPr>
                <w:rFonts w:ascii="Times New Roman" w:eastAsia="宋体" w:hAnsi="Times New Roman"/>
                <w:szCs w:val="21"/>
              </w:rPr>
            </w:pPr>
            <w:r>
              <w:rPr>
                <w:rFonts w:ascii="Times New Roman" w:eastAsia="宋体" w:hAnsi="Times New Roman"/>
                <w:szCs w:val="21"/>
              </w:rPr>
              <w:t>总容量（</w:t>
            </w:r>
            <w:r>
              <w:rPr>
                <w:rFonts w:ascii="Times New Roman" w:eastAsia="宋体" w:hAnsi="Times New Roman"/>
                <w:szCs w:val="21"/>
              </w:rPr>
              <w:t>m</w:t>
            </w:r>
            <w:r>
              <w:rPr>
                <w:rFonts w:ascii="Times New Roman" w:eastAsia="宋体" w:hAnsi="Times New Roman"/>
                <w:szCs w:val="21"/>
                <w:vertAlign w:val="superscript"/>
              </w:rPr>
              <w:t>3</w:t>
            </w:r>
            <w:r>
              <w:rPr>
                <w:rFonts w:ascii="Times New Roman" w:eastAsia="宋体" w:hAnsi="Times New Roman"/>
                <w:szCs w:val="21"/>
              </w:rPr>
              <w:t>）</w:t>
            </w:r>
          </w:p>
        </w:tc>
      </w:tr>
      <w:tr w14:paraId="7FECDE7A" w14:textId="77777777" w:rsidTr="00B33D2C">
        <w:tblPrEx>
          <w:tblW w:w="8576" w:type="dxa"/>
          <w:tblInd w:w="0" w:type="dxa"/>
          <w:tblCellMar>
            <w:top w:w="25" w:type="dxa"/>
            <w:left w:w="5" w:type="dxa"/>
          </w:tblCellMar>
          <w:tblLook w:val="04A0"/>
        </w:tblPrEx>
        <w:trPr>
          <w:trHeight w:val="382"/>
        </w:trPr>
        <w:tc>
          <w:tcPr>
            <w:tcW w:w="4294" w:type="dxa"/>
            <w:tcBorders>
              <w:top w:val="single" w:sz="4" w:space="0" w:color="auto"/>
            </w:tcBorders>
            <w:vAlign w:val="center"/>
          </w:tcPr>
          <w:p w:rsidR="00D359BE" w:rsidP="00B33D2C" w14:paraId="1976B6A7" w14:textId="3637B0DA">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一级</w:t>
            </w:r>
          </w:p>
        </w:tc>
        <w:tc>
          <w:tcPr>
            <w:tcW w:w="4282" w:type="dxa"/>
            <w:tcBorders>
              <w:top w:val="single" w:sz="4" w:space="0" w:color="auto"/>
            </w:tcBorders>
            <w:vAlign w:val="center"/>
          </w:tcPr>
          <w:p w:rsidR="00D359BE" w:rsidP="00B33D2C" w14:paraId="7A49E541" w14:textId="11886B99">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大于</w:t>
            </w:r>
            <w:r>
              <w:rPr>
                <w:rFonts w:ascii="Times New Roman" w:eastAsia="宋体" w:hAnsi="Times New Roman"/>
                <w:szCs w:val="21"/>
              </w:rPr>
              <w:t>100000</w:t>
            </w:r>
          </w:p>
        </w:tc>
      </w:tr>
      <w:tr w14:paraId="31F12B3E" w14:textId="77777777" w:rsidTr="00B33D2C">
        <w:tblPrEx>
          <w:tblW w:w="8576" w:type="dxa"/>
          <w:tblInd w:w="0" w:type="dxa"/>
          <w:tblCellMar>
            <w:top w:w="25" w:type="dxa"/>
            <w:left w:w="5" w:type="dxa"/>
          </w:tblCellMar>
          <w:tblLook w:val="04A0"/>
        </w:tblPrEx>
        <w:trPr>
          <w:trHeight w:val="382"/>
        </w:trPr>
        <w:tc>
          <w:tcPr>
            <w:tcW w:w="4294" w:type="dxa"/>
            <w:vAlign w:val="center"/>
          </w:tcPr>
          <w:p w:rsidR="00D359BE" w:rsidP="00B33D2C" w14:paraId="3D1FF5DE" w14:textId="39947C3D">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二级</w:t>
            </w:r>
          </w:p>
        </w:tc>
        <w:tc>
          <w:tcPr>
            <w:tcW w:w="4282" w:type="dxa"/>
            <w:vAlign w:val="center"/>
          </w:tcPr>
          <w:p w:rsidR="00D359BE" w:rsidP="00B33D2C" w14:paraId="0E280FC2" w14:textId="77777777">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30000-100000</w:t>
            </w:r>
          </w:p>
        </w:tc>
      </w:tr>
      <w:tr w14:paraId="49F0A342" w14:textId="77777777" w:rsidTr="00B33D2C">
        <w:tblPrEx>
          <w:tblW w:w="8576" w:type="dxa"/>
          <w:tblInd w:w="0" w:type="dxa"/>
          <w:tblCellMar>
            <w:top w:w="25" w:type="dxa"/>
            <w:left w:w="5" w:type="dxa"/>
          </w:tblCellMar>
          <w:tblLook w:val="04A0"/>
        </w:tblPrEx>
        <w:trPr>
          <w:trHeight w:val="382"/>
        </w:trPr>
        <w:tc>
          <w:tcPr>
            <w:tcW w:w="4294" w:type="dxa"/>
            <w:vAlign w:val="center"/>
          </w:tcPr>
          <w:p w:rsidR="00D359BE" w:rsidP="00B33D2C" w14:paraId="0C14B1FC" w14:textId="106EF7B8">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三级</w:t>
            </w:r>
          </w:p>
        </w:tc>
        <w:tc>
          <w:tcPr>
            <w:tcW w:w="4282" w:type="dxa"/>
            <w:vAlign w:val="center"/>
          </w:tcPr>
          <w:p w:rsidR="00D359BE" w:rsidP="00B33D2C" w14:paraId="10FCB677" w14:textId="77777777">
            <w:pPr>
              <w:adjustRightInd w:val="0"/>
              <w:snapToGrid w:val="0"/>
              <w:spacing w:line="300" w:lineRule="auto"/>
              <w:ind w:right="5" w:firstLine="420" w:firstLineChars="200"/>
              <w:jc w:val="center"/>
              <w:rPr>
                <w:rFonts w:ascii="Times New Roman" w:eastAsia="宋体" w:hAnsi="Times New Roman"/>
                <w:iCs/>
                <w:szCs w:val="21"/>
              </w:rPr>
            </w:pPr>
            <w:r>
              <w:rPr>
                <w:rFonts w:ascii="Times New Roman" w:eastAsia="宋体" w:hAnsi="Times New Roman"/>
                <w:iCs/>
                <w:szCs w:val="21"/>
              </w:rPr>
              <w:t>10000-30000</w:t>
            </w:r>
          </w:p>
        </w:tc>
      </w:tr>
      <w:tr w14:paraId="15967BD0" w14:textId="77777777" w:rsidTr="00B33D2C">
        <w:tblPrEx>
          <w:tblW w:w="8576" w:type="dxa"/>
          <w:tblInd w:w="0" w:type="dxa"/>
          <w:tblCellMar>
            <w:top w:w="25" w:type="dxa"/>
            <w:left w:w="5" w:type="dxa"/>
          </w:tblCellMar>
          <w:tblLook w:val="04A0"/>
        </w:tblPrEx>
        <w:trPr>
          <w:trHeight w:val="382"/>
        </w:trPr>
        <w:tc>
          <w:tcPr>
            <w:tcW w:w="4294" w:type="dxa"/>
            <w:vAlign w:val="center"/>
          </w:tcPr>
          <w:p w:rsidR="00D359BE" w:rsidP="00B33D2C" w14:paraId="2FB40560" w14:textId="0C22133B">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四级</w:t>
            </w:r>
          </w:p>
        </w:tc>
        <w:tc>
          <w:tcPr>
            <w:tcW w:w="4282" w:type="dxa"/>
            <w:vAlign w:val="center"/>
          </w:tcPr>
          <w:p w:rsidR="00D359BE" w:rsidP="00B33D2C" w14:paraId="283F0B05" w14:textId="77777777">
            <w:pPr>
              <w:adjustRightInd w:val="0"/>
              <w:snapToGrid w:val="0"/>
              <w:spacing w:line="300" w:lineRule="auto"/>
              <w:ind w:right="5" w:firstLine="420" w:firstLineChars="200"/>
              <w:jc w:val="center"/>
              <w:rPr>
                <w:rFonts w:ascii="Times New Roman" w:eastAsia="宋体" w:hAnsi="Times New Roman"/>
                <w:iCs/>
                <w:szCs w:val="21"/>
              </w:rPr>
            </w:pPr>
            <w:r>
              <w:rPr>
                <w:rFonts w:ascii="Times New Roman" w:eastAsia="宋体" w:hAnsi="Times New Roman"/>
                <w:iCs/>
                <w:szCs w:val="21"/>
              </w:rPr>
              <w:t>1000-10000</w:t>
            </w:r>
          </w:p>
        </w:tc>
      </w:tr>
      <w:tr w14:paraId="2614D8D1" w14:textId="77777777" w:rsidTr="00B33D2C">
        <w:tblPrEx>
          <w:tblW w:w="8576" w:type="dxa"/>
          <w:tblInd w:w="0" w:type="dxa"/>
          <w:tblCellMar>
            <w:top w:w="25" w:type="dxa"/>
            <w:left w:w="5" w:type="dxa"/>
          </w:tblCellMar>
          <w:tblLook w:val="04A0"/>
        </w:tblPrEx>
        <w:trPr>
          <w:trHeight w:val="369"/>
        </w:trPr>
        <w:tc>
          <w:tcPr>
            <w:tcW w:w="4294" w:type="dxa"/>
            <w:vAlign w:val="center"/>
          </w:tcPr>
          <w:p w:rsidR="00D359BE" w:rsidP="00B33D2C" w14:paraId="4918887E" w14:textId="1248798E">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五级</w:t>
            </w:r>
          </w:p>
        </w:tc>
        <w:tc>
          <w:tcPr>
            <w:tcW w:w="4282" w:type="dxa"/>
            <w:vAlign w:val="center"/>
          </w:tcPr>
          <w:p w:rsidR="00D359BE" w:rsidP="00B33D2C" w14:paraId="4D3930E0" w14:textId="77777777">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小于</w:t>
            </w:r>
            <w:r>
              <w:rPr>
                <w:rFonts w:ascii="Times New Roman" w:eastAsia="宋体" w:hAnsi="Times New Roman"/>
                <w:szCs w:val="21"/>
              </w:rPr>
              <w:t>1000</w:t>
            </w:r>
          </w:p>
        </w:tc>
      </w:tr>
    </w:tbl>
    <w:p w:rsidR="00D359BE" w14:paraId="08CEA2CB" w14:textId="77777777">
      <w:pPr>
        <w:ind w:firstLine="420" w:firstLineChars="200"/>
        <w:rPr>
          <w:lang w:val="zh-CN"/>
        </w:rPr>
      </w:pPr>
    </w:p>
    <w:p w:rsidR="00D359BE" w:rsidP="00B33D2C" w14:paraId="7A48098E" w14:textId="794D608B">
      <w:pPr>
        <w:adjustRightInd w:val="0"/>
        <w:spacing w:line="300" w:lineRule="auto"/>
        <w:ind w:firstLine="480" w:firstLineChars="200"/>
        <w:rPr>
          <w:rFonts w:ascii="宋体" w:eastAsia="宋体" w:hAnsi="宋体"/>
          <w:sz w:val="24"/>
          <w:szCs w:val="24"/>
          <w:lang w:val="zh-CN"/>
        </w:rPr>
      </w:pPr>
      <w:r>
        <w:rPr>
          <w:rFonts w:ascii="宋体" w:eastAsia="宋体" w:hAnsi="宋体" w:hint="eastAsia"/>
          <w:sz w:val="24"/>
          <w:szCs w:val="24"/>
          <w:lang w:val="zh-CN"/>
        </w:rPr>
        <w:t>本</w:t>
      </w:r>
      <w:bookmarkStart w:id="39" w:name="_Hlk134107817"/>
      <w:r>
        <w:rPr>
          <w:rFonts w:ascii="宋体" w:eastAsia="宋体" w:hAnsi="宋体" w:hint="eastAsia"/>
          <w:sz w:val="24"/>
          <w:szCs w:val="24"/>
          <w:lang w:val="zh-CN"/>
        </w:rPr>
        <w:t>油库的总容量</w:t>
      </w:r>
      <w:r>
        <w:rPr>
          <w:rFonts w:ascii="宋体" w:eastAsia="宋体" w:hAnsi="宋体"/>
          <w:position w:val="-12"/>
          <w:sz w:val="24"/>
          <w:szCs w:val="24"/>
          <w:lang w:val="zh-CN"/>
        </w:rPr>
        <w:object>
          <v:shape id="_x0000_i1033" type="#_x0000_t75" style="width:235.76pt;height:18.55pt" o:ole="">
            <v:imagedata r:id="rId118" o:title=""/>
          </v:shape>
          <o:OLEObject Type="Embed" ProgID="Equation.DSMT4" ShapeID="_x0000_i1033" DrawAspect="Content" ObjectID="_1771596900" r:id="rId119"/>
        </w:object>
      </w:r>
      <w:r>
        <w:rPr>
          <w:rFonts w:ascii="宋体" w:eastAsia="宋体" w:hAnsi="宋体" w:hint="eastAsia"/>
          <w:sz w:val="24"/>
          <w:szCs w:val="24"/>
          <w:lang w:val="zh-CN"/>
        </w:rPr>
        <w:t>故得出本油库为一级油库。</w:t>
      </w:r>
      <w:bookmarkStart w:id="40" w:name="_Toc23632"/>
      <w:bookmarkEnd w:id="39"/>
    </w:p>
    <w:p w:rsidR="00D359BE" w:rsidP="00B33D2C" w14:paraId="38A37530" w14:textId="77777777">
      <w:pPr>
        <w:adjustRightInd w:val="0"/>
        <w:spacing w:line="300" w:lineRule="auto"/>
        <w:ind w:firstLine="480" w:firstLineChars="200"/>
        <w:rPr>
          <w:rFonts w:ascii="宋体" w:eastAsia="宋体" w:hAnsi="宋体"/>
          <w:sz w:val="24"/>
          <w:szCs w:val="24"/>
          <w:lang w:val="zh-CN"/>
        </w:rPr>
      </w:pPr>
      <w:r>
        <w:rPr>
          <w:rFonts w:ascii="宋体" w:eastAsia="宋体" w:hAnsi="宋体" w:hint="eastAsia"/>
          <w:sz w:val="24"/>
          <w:szCs w:val="24"/>
          <w:lang w:val="zh-CN"/>
        </w:rPr>
        <w:t>根据周转系数法计算出库容后根据设计容量进行</w:t>
      </w:r>
      <w:r>
        <w:rPr>
          <w:rFonts w:ascii="宋体" w:eastAsia="宋体" w:hAnsi="宋体" w:cs="Times New Roman"/>
          <w:sz w:val="24"/>
          <w:szCs w:val="24"/>
        </w:rPr>
        <w:t>油罐</w:t>
      </w:r>
      <w:r>
        <w:rPr>
          <w:rFonts w:ascii="宋体" w:eastAsia="宋体" w:hAnsi="宋体" w:cs="Times New Roman" w:hint="eastAsia"/>
          <w:sz w:val="24"/>
          <w:szCs w:val="24"/>
        </w:rPr>
        <w:t>的</w:t>
      </w:r>
      <w:r>
        <w:rPr>
          <w:rFonts w:ascii="宋体" w:eastAsia="宋体" w:hAnsi="宋体" w:cs="Times New Roman"/>
          <w:sz w:val="24"/>
          <w:szCs w:val="24"/>
        </w:rPr>
        <w:t>类型选择</w:t>
      </w:r>
      <w:bookmarkEnd w:id="40"/>
      <w:r>
        <w:rPr>
          <w:rFonts w:ascii="宋体" w:eastAsia="宋体" w:hAnsi="宋体" w:cs="Times New Roman" w:hint="eastAsia"/>
          <w:sz w:val="24"/>
          <w:szCs w:val="24"/>
        </w:rPr>
        <w:t>。</w:t>
      </w:r>
    </w:p>
    <w:p w:rsidR="00D359BE" w:rsidP="00B33D2C" w14:paraId="71D37BCA" w14:textId="77777777">
      <w:pPr>
        <w:adjustRightInd w:val="0"/>
        <w:spacing w:line="30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目前石油行业油罐分类方式主要根据外形、形状、材质、结构、容量等。在本设计中在选择立式外形的前提下主要根据油罐的结构进行区分及挑选，各类油罐优缺点对比如下图</w:t>
      </w:r>
      <w:r>
        <w:rPr>
          <w:rFonts w:ascii="Times New Roman" w:eastAsia="宋体" w:hAnsi="Times New Roman" w:cs="Times New Roman"/>
          <w:sz w:val="24"/>
        </w:rPr>
        <w:t>3.4</w:t>
      </w:r>
      <w:r>
        <w:rPr>
          <w:rFonts w:ascii="Times New Roman" w:eastAsia="宋体" w:hAnsi="Times New Roman" w:cs="Times New Roman" w:hint="eastAsia"/>
          <w:sz w:val="24"/>
        </w:rPr>
        <w:t>所示。</w:t>
      </w:r>
    </w:p>
    <w:p w:rsidR="00D359BE" w14:paraId="5940EDEA" w14:textId="77777777">
      <w:pPr>
        <w:snapToGrid w:val="0"/>
        <w:spacing w:line="300" w:lineRule="auto"/>
        <w:ind w:firstLine="480" w:firstLineChars="200"/>
        <w:rPr>
          <w:rFonts w:ascii="Times New Roman" w:eastAsia="宋体" w:hAnsi="Times New Roman" w:cs="Times New Roman"/>
          <w:sz w:val="24"/>
        </w:rPr>
      </w:pPr>
    </w:p>
    <w:p w:rsidR="00D359BE" w:rsidP="00B33D2C" w14:paraId="2AF41BD3" w14:textId="77777777">
      <w:pPr>
        <w:adjustRightInd w:val="0"/>
        <w:snapToGrid w:val="0"/>
        <w:spacing w:line="300" w:lineRule="auto"/>
        <w:ind w:firstLine="420" w:firstLineChars="200"/>
        <w:jc w:val="center"/>
        <w:rPr>
          <w:rFonts w:ascii="Times New Roman" w:eastAsia="宋体" w:hAnsi="Times New Roman" w:cs="Times New Roman"/>
          <w:szCs w:val="21"/>
        </w:rPr>
      </w:pPr>
      <w:bookmarkStart w:id="41" w:name="_Hlk134562131"/>
      <w:r>
        <w:rPr>
          <w:rFonts w:ascii="Times New Roman" w:eastAsia="宋体" w:hAnsi="Times New Roman" w:cs="Times New Roman"/>
          <w:szCs w:val="21"/>
        </w:rPr>
        <w:t>表</w:t>
      </w:r>
      <w:r>
        <w:rPr>
          <w:rFonts w:ascii="Times New Roman" w:eastAsia="宋体" w:hAnsi="Times New Roman" w:cs="Times New Roman"/>
          <w:szCs w:val="21"/>
        </w:rPr>
        <w:t xml:space="preserve"> 3.4 </w:t>
      </w:r>
      <w:r>
        <w:rPr>
          <w:rFonts w:ascii="Times New Roman" w:eastAsia="宋体" w:hAnsi="Times New Roman" w:cs="Times New Roman" w:hint="eastAsia"/>
          <w:szCs w:val="21"/>
        </w:rPr>
        <w:t>不同结构立式</w:t>
      </w:r>
      <w:r>
        <w:rPr>
          <w:rFonts w:ascii="Times New Roman" w:eastAsia="宋体" w:hAnsi="Times New Roman" w:cs="Times New Roman"/>
          <w:szCs w:val="21"/>
        </w:rPr>
        <w:t>油罐优缺点对比</w:t>
      </w:r>
    </w:p>
    <w:tbl>
      <w:tblPr>
        <w:tblStyle w:val="TableGrid2"/>
        <w:tblW w:w="8538" w:type="dxa"/>
        <w:jc w:val="center"/>
        <w:tblInd w:w="0" w:type="dxa"/>
        <w:tblBorders>
          <w:top w:val="single" w:sz="4" w:space="0" w:color="auto"/>
          <w:bottom w:val="single" w:sz="4" w:space="0" w:color="auto"/>
        </w:tblBorders>
        <w:tblCellMar>
          <w:top w:w="34" w:type="dxa"/>
          <w:left w:w="108" w:type="dxa"/>
          <w:right w:w="1" w:type="dxa"/>
        </w:tblCellMar>
        <w:tblLook w:val="04A0"/>
      </w:tblPr>
      <w:tblGrid>
        <w:gridCol w:w="1540"/>
        <w:gridCol w:w="3119"/>
        <w:gridCol w:w="1747"/>
        <w:gridCol w:w="2132"/>
      </w:tblGrid>
      <w:tr w14:paraId="78AEECD9" w14:textId="77777777" w:rsidTr="00B33D2C">
        <w:tblPrEx>
          <w:tblW w:w="8538" w:type="dxa"/>
          <w:jc w:val="center"/>
          <w:tblInd w:w="0" w:type="dxa"/>
          <w:tblBorders>
            <w:top w:val="single" w:sz="4" w:space="0" w:color="auto"/>
            <w:bottom w:val="single" w:sz="4" w:space="0" w:color="auto"/>
          </w:tblBorders>
          <w:tblCellMar>
            <w:top w:w="34" w:type="dxa"/>
            <w:left w:w="108" w:type="dxa"/>
            <w:right w:w="1" w:type="dxa"/>
          </w:tblCellMar>
          <w:tblLook w:val="04A0"/>
        </w:tblPrEx>
        <w:trPr>
          <w:trHeight w:val="257"/>
          <w:jc w:val="center"/>
        </w:trPr>
        <w:tc>
          <w:tcPr>
            <w:tcW w:w="1540" w:type="dxa"/>
            <w:tcBorders>
              <w:top w:val="single" w:sz="4" w:space="0" w:color="auto"/>
              <w:bottom w:val="single" w:sz="4" w:space="0" w:color="auto"/>
            </w:tcBorders>
            <w:vAlign w:val="center"/>
          </w:tcPr>
          <w:bookmarkEnd w:id="41"/>
          <w:p w:rsidR="00D359BE" w:rsidP="00B33D2C" w14:paraId="71DC441E" w14:textId="785EB7A6">
            <w:pPr>
              <w:adjustRightInd w:val="0"/>
              <w:snapToGrid w:val="0"/>
              <w:spacing w:line="300" w:lineRule="auto"/>
              <w:ind w:right="93" w:firstLine="420" w:firstLineChars="200"/>
              <w:jc w:val="center"/>
              <w:rPr>
                <w:rFonts w:ascii="Times New Roman" w:eastAsia="宋体" w:hAnsi="Times New Roman"/>
                <w:szCs w:val="21"/>
              </w:rPr>
            </w:pPr>
            <w:r>
              <w:rPr>
                <w:rFonts w:ascii="Times New Roman" w:eastAsia="宋体" w:hAnsi="Times New Roman"/>
                <w:szCs w:val="21"/>
              </w:rPr>
              <w:t>项目</w:t>
            </w:r>
          </w:p>
        </w:tc>
        <w:tc>
          <w:tcPr>
            <w:tcW w:w="3119" w:type="dxa"/>
            <w:tcBorders>
              <w:top w:val="single" w:sz="4" w:space="0" w:color="auto"/>
              <w:bottom w:val="single" w:sz="4" w:space="0" w:color="auto"/>
            </w:tcBorders>
            <w:vAlign w:val="center"/>
          </w:tcPr>
          <w:p w:rsidR="00D359BE" w:rsidP="00B33D2C" w14:paraId="2A2E2444" w14:textId="64B84E65">
            <w:pPr>
              <w:adjustRightInd w:val="0"/>
              <w:snapToGrid w:val="0"/>
              <w:spacing w:line="300" w:lineRule="auto"/>
              <w:ind w:right="107" w:firstLine="420" w:firstLineChars="200"/>
              <w:jc w:val="center"/>
              <w:rPr>
                <w:rFonts w:ascii="Times New Roman" w:eastAsia="宋体" w:hAnsi="Times New Roman"/>
                <w:szCs w:val="21"/>
              </w:rPr>
            </w:pPr>
            <w:r>
              <w:rPr>
                <w:rFonts w:ascii="Times New Roman" w:eastAsia="宋体" w:hAnsi="Times New Roman"/>
                <w:szCs w:val="21"/>
              </w:rPr>
              <w:t>适用范围</w:t>
            </w:r>
          </w:p>
        </w:tc>
        <w:tc>
          <w:tcPr>
            <w:tcW w:w="1747" w:type="dxa"/>
            <w:tcBorders>
              <w:top w:val="single" w:sz="4" w:space="0" w:color="auto"/>
              <w:bottom w:val="single" w:sz="4" w:space="0" w:color="auto"/>
            </w:tcBorders>
            <w:vAlign w:val="center"/>
          </w:tcPr>
          <w:p w:rsidR="00D359BE" w:rsidP="00B33D2C" w14:paraId="473217CC" w14:textId="0DA45289">
            <w:pPr>
              <w:adjustRightInd w:val="0"/>
              <w:snapToGrid w:val="0"/>
              <w:spacing w:line="300" w:lineRule="auto"/>
              <w:ind w:right="107" w:firstLine="420" w:firstLineChars="200"/>
              <w:jc w:val="center"/>
              <w:rPr>
                <w:rFonts w:ascii="Times New Roman" w:eastAsia="宋体" w:hAnsi="Times New Roman"/>
                <w:szCs w:val="21"/>
              </w:rPr>
            </w:pPr>
            <w:r>
              <w:rPr>
                <w:rFonts w:ascii="Times New Roman" w:eastAsia="宋体" w:hAnsi="Times New Roman"/>
                <w:szCs w:val="21"/>
              </w:rPr>
              <w:t>优点</w:t>
            </w:r>
          </w:p>
        </w:tc>
        <w:tc>
          <w:tcPr>
            <w:tcW w:w="2132" w:type="dxa"/>
            <w:tcBorders>
              <w:top w:val="single" w:sz="4" w:space="0" w:color="auto"/>
              <w:bottom w:val="single" w:sz="4" w:space="0" w:color="auto"/>
            </w:tcBorders>
            <w:vAlign w:val="center"/>
          </w:tcPr>
          <w:p w:rsidR="00D359BE" w:rsidP="00B33D2C" w14:paraId="67C7D7CE" w14:textId="73FEFD13">
            <w:pPr>
              <w:adjustRightInd w:val="0"/>
              <w:snapToGrid w:val="0"/>
              <w:spacing w:line="300" w:lineRule="auto"/>
              <w:ind w:right="107" w:firstLine="420" w:firstLineChars="200"/>
              <w:jc w:val="center"/>
              <w:rPr>
                <w:rFonts w:ascii="Times New Roman" w:eastAsia="宋体" w:hAnsi="Times New Roman"/>
                <w:szCs w:val="21"/>
              </w:rPr>
            </w:pPr>
            <w:r>
              <w:rPr>
                <w:rFonts w:ascii="Times New Roman" w:eastAsia="宋体" w:hAnsi="Times New Roman"/>
                <w:szCs w:val="21"/>
              </w:rPr>
              <w:t>缺点</w:t>
            </w:r>
          </w:p>
        </w:tc>
      </w:tr>
      <w:tr w14:paraId="540F6922" w14:textId="77777777" w:rsidTr="00B33D2C">
        <w:tblPrEx>
          <w:tblW w:w="8538" w:type="dxa"/>
          <w:jc w:val="center"/>
          <w:tblInd w:w="0" w:type="dxa"/>
          <w:tblCellMar>
            <w:top w:w="34" w:type="dxa"/>
            <w:left w:w="108" w:type="dxa"/>
            <w:right w:w="1" w:type="dxa"/>
          </w:tblCellMar>
          <w:tblLook w:val="04A0"/>
        </w:tblPrEx>
        <w:trPr>
          <w:trHeight w:val="637"/>
          <w:jc w:val="center"/>
        </w:trPr>
        <w:tc>
          <w:tcPr>
            <w:tcW w:w="1540" w:type="dxa"/>
            <w:tcBorders>
              <w:top w:val="single" w:sz="4" w:space="0" w:color="auto"/>
            </w:tcBorders>
            <w:vAlign w:val="center"/>
          </w:tcPr>
          <w:p w:rsidR="00D359BE" w:rsidP="00B33D2C" w14:paraId="69C13A10" w14:textId="77777777">
            <w:pPr>
              <w:adjustRightInd w:val="0"/>
              <w:snapToGrid w:val="0"/>
              <w:spacing w:line="300" w:lineRule="auto"/>
              <w:ind w:left="250"/>
              <w:jc w:val="center"/>
              <w:rPr>
                <w:rFonts w:ascii="Times New Roman" w:eastAsia="宋体" w:hAnsi="Times New Roman"/>
                <w:szCs w:val="21"/>
              </w:rPr>
            </w:pPr>
            <w:r>
              <w:rPr>
                <w:rFonts w:ascii="Times New Roman" w:eastAsia="宋体" w:hAnsi="Times New Roman"/>
                <w:szCs w:val="21"/>
              </w:rPr>
              <w:t>浮顶油罐</w:t>
            </w:r>
          </w:p>
        </w:tc>
        <w:tc>
          <w:tcPr>
            <w:tcW w:w="3119" w:type="dxa"/>
            <w:tcBorders>
              <w:top w:val="single" w:sz="4" w:space="0" w:color="auto"/>
            </w:tcBorders>
            <w:vAlign w:val="center"/>
          </w:tcPr>
          <w:p w:rsidR="00D359BE" w:rsidP="00B33D2C" w14:paraId="34DD741F" w14:textId="77777777">
            <w:pPr>
              <w:adjustRightInd w:val="0"/>
              <w:snapToGrid w:val="0"/>
              <w:spacing w:line="300" w:lineRule="auto"/>
              <w:jc w:val="center"/>
              <w:rPr>
                <w:rFonts w:ascii="Times New Roman" w:eastAsia="宋体" w:hAnsi="Times New Roman"/>
                <w:szCs w:val="21"/>
              </w:rPr>
            </w:pPr>
            <w:r>
              <w:rPr>
                <w:rFonts w:ascii="Times New Roman" w:eastAsia="宋体" w:hAnsi="Times New Roman"/>
                <w:szCs w:val="21"/>
              </w:rPr>
              <w:t>矿场油库、炼厂油库、中转油库、及成品油管道首末站</w:t>
            </w:r>
          </w:p>
        </w:tc>
        <w:tc>
          <w:tcPr>
            <w:tcW w:w="1747" w:type="dxa"/>
            <w:tcBorders>
              <w:top w:val="single" w:sz="4" w:space="0" w:color="auto"/>
            </w:tcBorders>
            <w:vAlign w:val="center"/>
          </w:tcPr>
          <w:p w:rsidR="00D359BE" w:rsidP="00B33D2C" w14:paraId="2EBC89DA" w14:textId="77777777">
            <w:pPr>
              <w:adjustRightInd w:val="0"/>
              <w:snapToGrid w:val="0"/>
              <w:spacing w:line="300" w:lineRule="auto"/>
              <w:jc w:val="center"/>
              <w:rPr>
                <w:rFonts w:ascii="Times New Roman" w:eastAsia="宋体" w:hAnsi="Times New Roman"/>
                <w:szCs w:val="21"/>
              </w:rPr>
            </w:pPr>
            <w:r>
              <w:rPr>
                <w:rFonts w:ascii="Times New Roman" w:eastAsia="宋体" w:hAnsi="Times New Roman"/>
                <w:szCs w:val="21"/>
              </w:rPr>
              <w:t>受力情况良好、油品蒸发损耗小</w:t>
            </w:r>
          </w:p>
        </w:tc>
        <w:tc>
          <w:tcPr>
            <w:tcW w:w="2132" w:type="dxa"/>
            <w:tcBorders>
              <w:top w:val="single" w:sz="4" w:space="0" w:color="auto"/>
            </w:tcBorders>
            <w:vAlign w:val="center"/>
          </w:tcPr>
          <w:p w:rsidR="00D359BE" w:rsidP="00B33D2C" w14:paraId="120139B4" w14:textId="77777777">
            <w:pPr>
              <w:adjustRightInd w:val="0"/>
              <w:snapToGrid w:val="0"/>
              <w:spacing w:line="300" w:lineRule="auto"/>
              <w:jc w:val="center"/>
              <w:rPr>
                <w:rFonts w:ascii="Times New Roman" w:eastAsia="宋体" w:hAnsi="Times New Roman"/>
                <w:szCs w:val="21"/>
              </w:rPr>
            </w:pPr>
            <w:r>
              <w:rPr>
                <w:rFonts w:ascii="Times New Roman" w:eastAsia="宋体" w:hAnsi="Times New Roman"/>
                <w:szCs w:val="21"/>
              </w:rPr>
              <w:t>顶板与罐壁连接处容易疲劳损坏</w:t>
            </w:r>
          </w:p>
        </w:tc>
      </w:tr>
      <w:tr w14:paraId="29A8C53C" w14:textId="77777777" w:rsidTr="00B33D2C">
        <w:tblPrEx>
          <w:tblW w:w="8538" w:type="dxa"/>
          <w:jc w:val="center"/>
          <w:tblInd w:w="0" w:type="dxa"/>
          <w:tblCellMar>
            <w:top w:w="34" w:type="dxa"/>
            <w:left w:w="108" w:type="dxa"/>
            <w:right w:w="1" w:type="dxa"/>
          </w:tblCellMar>
          <w:tblLook w:val="04A0"/>
        </w:tblPrEx>
        <w:trPr>
          <w:trHeight w:val="802"/>
          <w:jc w:val="center"/>
        </w:trPr>
        <w:tc>
          <w:tcPr>
            <w:tcW w:w="1540" w:type="dxa"/>
            <w:vAlign w:val="center"/>
          </w:tcPr>
          <w:p w:rsidR="00D359BE" w:rsidP="00B33D2C" w14:paraId="6E4126C6" w14:textId="77777777">
            <w:pPr>
              <w:adjustRightInd w:val="0"/>
              <w:snapToGrid w:val="0"/>
              <w:spacing w:line="300" w:lineRule="auto"/>
              <w:ind w:left="250"/>
              <w:jc w:val="center"/>
              <w:rPr>
                <w:rFonts w:ascii="Times New Roman" w:eastAsia="宋体" w:hAnsi="Times New Roman"/>
                <w:szCs w:val="21"/>
              </w:rPr>
            </w:pPr>
            <w:r>
              <w:rPr>
                <w:rFonts w:ascii="Times New Roman" w:eastAsia="宋体" w:hAnsi="Times New Roman"/>
                <w:szCs w:val="21"/>
              </w:rPr>
              <w:t>拱顶油罐</w:t>
            </w:r>
          </w:p>
        </w:tc>
        <w:tc>
          <w:tcPr>
            <w:tcW w:w="3119" w:type="dxa"/>
            <w:vAlign w:val="center"/>
          </w:tcPr>
          <w:p w:rsidR="00D359BE" w:rsidP="00B33D2C" w14:paraId="54796992" w14:textId="77777777">
            <w:pPr>
              <w:adjustRightInd w:val="0"/>
              <w:snapToGrid w:val="0"/>
              <w:spacing w:line="300" w:lineRule="auto"/>
              <w:ind w:right="110"/>
              <w:jc w:val="center"/>
              <w:rPr>
                <w:rFonts w:ascii="Times New Roman" w:eastAsia="宋体" w:hAnsi="Times New Roman"/>
                <w:szCs w:val="21"/>
              </w:rPr>
            </w:pPr>
            <w:r>
              <w:rPr>
                <w:rFonts w:ascii="Times New Roman" w:eastAsia="宋体" w:hAnsi="Times New Roman"/>
                <w:szCs w:val="21"/>
              </w:rPr>
              <w:t>不超过</w:t>
            </w:r>
            <w:r>
              <w:rPr>
                <w:rFonts w:ascii="Times New Roman" w:eastAsia="宋体" w:hAnsi="Times New Roman"/>
                <w:szCs w:val="21"/>
              </w:rPr>
              <w:t xml:space="preserve"> 10000m</w:t>
            </w:r>
            <w:r>
              <w:rPr>
                <w:rFonts w:ascii="Times New Roman" w:eastAsia="宋体" w:hAnsi="Times New Roman"/>
                <w:szCs w:val="21"/>
                <w:vertAlign w:val="superscript"/>
              </w:rPr>
              <w:t>3</w:t>
            </w:r>
          </w:p>
        </w:tc>
        <w:tc>
          <w:tcPr>
            <w:tcW w:w="1747" w:type="dxa"/>
            <w:vAlign w:val="center"/>
          </w:tcPr>
          <w:p w:rsidR="00D359BE" w:rsidP="00B33D2C" w14:paraId="50D3F8C1" w14:textId="77777777">
            <w:pPr>
              <w:adjustRightInd w:val="0"/>
              <w:snapToGrid w:val="0"/>
              <w:spacing w:line="300" w:lineRule="auto"/>
              <w:jc w:val="center"/>
              <w:rPr>
                <w:rFonts w:ascii="Times New Roman" w:eastAsia="宋体" w:hAnsi="Times New Roman"/>
                <w:szCs w:val="21"/>
              </w:rPr>
            </w:pPr>
            <w:r>
              <w:rPr>
                <w:rFonts w:ascii="Times New Roman" w:eastAsia="宋体" w:hAnsi="Times New Roman"/>
                <w:szCs w:val="21"/>
              </w:rPr>
              <w:t>刚性大、承受内压高、结构简单便于施工</w:t>
            </w:r>
          </w:p>
        </w:tc>
        <w:tc>
          <w:tcPr>
            <w:tcW w:w="2132" w:type="dxa"/>
            <w:vAlign w:val="center"/>
          </w:tcPr>
          <w:p w:rsidR="00D359BE" w:rsidP="00B33D2C" w14:paraId="6EFAE179" w14:textId="77777777">
            <w:pPr>
              <w:adjustRightInd w:val="0"/>
              <w:snapToGrid w:val="0"/>
              <w:spacing w:line="300" w:lineRule="auto"/>
              <w:jc w:val="center"/>
              <w:rPr>
                <w:rFonts w:ascii="Times New Roman" w:eastAsia="宋体" w:hAnsi="Times New Roman"/>
                <w:szCs w:val="21"/>
              </w:rPr>
            </w:pPr>
            <w:r>
              <w:rPr>
                <w:rFonts w:ascii="Times New Roman" w:eastAsia="宋体" w:hAnsi="Times New Roman"/>
                <w:szCs w:val="21"/>
              </w:rPr>
              <w:t>容积越大，单位容积的用钢</w:t>
            </w:r>
            <w:r>
              <w:rPr>
                <w:rFonts w:ascii="Times New Roman" w:eastAsia="宋体" w:hAnsi="Times New Roman"/>
                <w:szCs w:val="21"/>
              </w:rPr>
              <w:t>量更多</w:t>
            </w:r>
          </w:p>
        </w:tc>
      </w:tr>
      <w:tr w14:paraId="35DFF393" w14:textId="77777777" w:rsidTr="00B33D2C">
        <w:tblPrEx>
          <w:tblW w:w="8538" w:type="dxa"/>
          <w:jc w:val="center"/>
          <w:tblInd w:w="0" w:type="dxa"/>
          <w:tblCellMar>
            <w:top w:w="34" w:type="dxa"/>
            <w:left w:w="108" w:type="dxa"/>
            <w:right w:w="1" w:type="dxa"/>
          </w:tblCellMar>
          <w:tblLook w:val="04A0"/>
        </w:tblPrEx>
        <w:trPr>
          <w:trHeight w:val="1032"/>
          <w:jc w:val="center"/>
        </w:trPr>
        <w:tc>
          <w:tcPr>
            <w:tcW w:w="1540" w:type="dxa"/>
            <w:vAlign w:val="center"/>
          </w:tcPr>
          <w:p w:rsidR="00D359BE" w:rsidP="00B33D2C" w14:paraId="4AA36663" w14:textId="77777777">
            <w:pPr>
              <w:adjustRightInd w:val="0"/>
              <w:snapToGrid w:val="0"/>
              <w:spacing w:line="300" w:lineRule="auto"/>
              <w:ind w:left="144"/>
              <w:jc w:val="center"/>
              <w:rPr>
                <w:rFonts w:ascii="Times New Roman" w:eastAsia="宋体" w:hAnsi="Times New Roman"/>
                <w:szCs w:val="21"/>
              </w:rPr>
            </w:pPr>
            <w:r>
              <w:rPr>
                <w:rFonts w:ascii="Times New Roman" w:eastAsia="宋体" w:hAnsi="Times New Roman"/>
                <w:szCs w:val="21"/>
              </w:rPr>
              <w:t>内浮顶油罐</w:t>
            </w:r>
          </w:p>
        </w:tc>
        <w:tc>
          <w:tcPr>
            <w:tcW w:w="3119" w:type="dxa"/>
            <w:vAlign w:val="center"/>
          </w:tcPr>
          <w:p w:rsidR="00D359BE" w:rsidP="00B33D2C" w14:paraId="799BCAC3" w14:textId="77777777">
            <w:pPr>
              <w:adjustRightInd w:val="0"/>
              <w:snapToGrid w:val="0"/>
              <w:spacing w:line="300" w:lineRule="auto"/>
              <w:ind w:right="106"/>
              <w:jc w:val="center"/>
              <w:rPr>
                <w:rFonts w:ascii="Times New Roman" w:eastAsia="宋体" w:hAnsi="Times New Roman"/>
                <w:szCs w:val="21"/>
              </w:rPr>
            </w:pPr>
            <w:r>
              <w:rPr>
                <w:rFonts w:ascii="Times New Roman" w:eastAsia="宋体" w:hAnsi="Times New Roman"/>
                <w:szCs w:val="21"/>
              </w:rPr>
              <w:t>储存饱和蒸汽压高的油品</w:t>
            </w:r>
          </w:p>
        </w:tc>
        <w:tc>
          <w:tcPr>
            <w:tcW w:w="1747" w:type="dxa"/>
            <w:vAlign w:val="center"/>
          </w:tcPr>
          <w:p w:rsidR="00D359BE" w:rsidP="00B33D2C" w14:paraId="68BEA322" w14:textId="77777777">
            <w:pPr>
              <w:adjustRightInd w:val="0"/>
              <w:snapToGrid w:val="0"/>
              <w:spacing w:line="300" w:lineRule="auto"/>
              <w:jc w:val="center"/>
              <w:rPr>
                <w:rFonts w:ascii="Times New Roman" w:eastAsia="宋体" w:hAnsi="Times New Roman"/>
                <w:szCs w:val="21"/>
              </w:rPr>
            </w:pPr>
            <w:r>
              <w:rPr>
                <w:rFonts w:ascii="Times New Roman" w:eastAsia="宋体" w:hAnsi="Times New Roman"/>
                <w:szCs w:val="21"/>
              </w:rPr>
              <w:t>蒸发损耗小，可以防止雨水、尘土进入罐内</w:t>
            </w:r>
          </w:p>
        </w:tc>
        <w:tc>
          <w:tcPr>
            <w:tcW w:w="2132" w:type="dxa"/>
            <w:vAlign w:val="center"/>
          </w:tcPr>
          <w:p w:rsidR="00D359BE" w:rsidP="00B33D2C" w14:paraId="748538C6" w14:textId="77777777">
            <w:pPr>
              <w:adjustRightInd w:val="0"/>
              <w:snapToGrid w:val="0"/>
              <w:spacing w:line="300" w:lineRule="auto"/>
              <w:ind w:right="107"/>
              <w:jc w:val="center"/>
              <w:rPr>
                <w:rFonts w:ascii="Times New Roman" w:eastAsia="宋体" w:hAnsi="Times New Roman"/>
                <w:szCs w:val="21"/>
              </w:rPr>
            </w:pPr>
            <w:r>
              <w:rPr>
                <w:rFonts w:ascii="Times New Roman" w:eastAsia="宋体" w:hAnsi="Times New Roman"/>
                <w:szCs w:val="21"/>
              </w:rPr>
              <w:t>造价高</w:t>
            </w:r>
          </w:p>
        </w:tc>
      </w:tr>
    </w:tbl>
    <w:p>
      <w:pPr>
        <w:sectPr>
          <w:headerReference w:type="even" r:id="rId120"/>
          <w:headerReference w:type="default" r:id="rId121"/>
          <w:footerReference w:type="even" r:id="rId122"/>
          <w:footerReference w:type="default" r:id="rId123"/>
          <w:headerReference w:type="first" r:id="rId124"/>
          <w:footerReference w:type="first" r:id="rId125"/>
          <w:type w:val="nextPage"/>
          <w:pgSz w:w="11906" w:h="16838"/>
          <w:pgMar w:top="1985" w:right="1418" w:bottom="1418" w:left="1418" w:header="1417" w:footer="1134" w:gutter="0"/>
          <w:pgNumType w:start="11"/>
          <w:cols w:space="425"/>
          <w:titlePg w:val="0"/>
          <w:docGrid w:linePitch="312"/>
        </w:sectPr>
      </w:pPr>
    </w:p>
    <w:tbl>
      <w:tblPr>
        <w:tblStyle w:val="TableGrid3"/>
        <w:tblW w:w="8538" w:type="dxa"/>
        <w:jc w:val="center"/>
        <w:tblInd w:w="0" w:type="dxa"/>
        <w:tblBorders>
          <w:top w:val="single" w:sz="4" w:space="0" w:color="auto"/>
          <w:bottom w:val="single" w:sz="4" w:space="0" w:color="auto"/>
        </w:tblBorders>
        <w:tblCellMar>
          <w:top w:w="34" w:type="dxa"/>
          <w:left w:w="108" w:type="dxa"/>
          <w:right w:w="1" w:type="dxa"/>
        </w:tblCellMar>
        <w:tblLook w:val="04A0"/>
      </w:tblPr>
      <w:tblGrid>
        <w:gridCol w:w="1540"/>
        <w:gridCol w:w="3119"/>
        <w:gridCol w:w="1747"/>
        <w:gridCol w:w="2132"/>
      </w:tblGrid>
      <w:tr w14:paraId="1B6B80AE" w14:textId="77777777">
        <w:tblPrEx>
          <w:tblW w:w="8538" w:type="dxa"/>
          <w:jc w:val="center"/>
          <w:tblInd w:w="0" w:type="dxa"/>
          <w:tblBorders>
            <w:top w:val="single" w:sz="4" w:space="0" w:color="auto"/>
            <w:bottom w:val="single" w:sz="4" w:space="0" w:color="auto"/>
          </w:tblBorders>
          <w:tblCellMar>
            <w:top w:w="34" w:type="dxa"/>
            <w:left w:w="108" w:type="dxa"/>
            <w:right w:w="1" w:type="dxa"/>
          </w:tblCellMar>
          <w:tblLook w:val="04A0"/>
        </w:tblPrEx>
        <w:trPr>
          <w:trHeight w:val="701"/>
          <w:jc w:val="center"/>
        </w:trPr>
        <w:tc>
          <w:tcPr>
            <w:tcW w:w="1540" w:type="dxa"/>
            <w:vAlign w:val="center"/>
          </w:tcPr>
          <w:p w:rsidR="00D359BE" w14:paraId="6B901AC0" w14:textId="77777777">
            <w:pPr>
              <w:snapToGrid w:val="0"/>
              <w:spacing w:line="259" w:lineRule="auto"/>
              <w:ind w:left="250"/>
              <w:jc w:val="center"/>
              <w:rPr>
                <w:rFonts w:ascii="Times New Roman" w:eastAsia="宋体" w:hAnsi="Times New Roman"/>
                <w:szCs w:val="21"/>
              </w:rPr>
            </w:pPr>
            <w:r>
              <w:rPr>
                <w:rFonts w:ascii="Times New Roman" w:eastAsia="宋体" w:hAnsi="Times New Roman"/>
                <w:szCs w:val="21"/>
              </w:rPr>
              <w:t>锥顶油罐</w:t>
            </w:r>
          </w:p>
        </w:tc>
        <w:tc>
          <w:tcPr>
            <w:tcW w:w="3119" w:type="dxa"/>
            <w:vAlign w:val="center"/>
          </w:tcPr>
          <w:p w:rsidR="00D359BE" w14:paraId="125F3B7A" w14:textId="77777777">
            <w:pPr>
              <w:snapToGrid w:val="0"/>
              <w:spacing w:line="259" w:lineRule="auto"/>
              <w:ind w:right="105"/>
              <w:jc w:val="center"/>
              <w:rPr>
                <w:rFonts w:ascii="Times New Roman" w:eastAsia="宋体" w:hAnsi="Times New Roman"/>
                <w:szCs w:val="21"/>
              </w:rPr>
            </w:pPr>
            <w:r>
              <w:rPr>
                <w:rFonts w:ascii="Times New Roman" w:eastAsia="宋体" w:hAnsi="Times New Roman"/>
                <w:szCs w:val="21"/>
              </w:rPr>
              <w:t>——</w:t>
            </w:r>
          </w:p>
        </w:tc>
        <w:tc>
          <w:tcPr>
            <w:tcW w:w="1747" w:type="dxa"/>
          </w:tcPr>
          <w:p w:rsidR="00D359BE" w14:paraId="6A797762" w14:textId="77777777">
            <w:pPr>
              <w:snapToGrid w:val="0"/>
              <w:spacing w:line="259" w:lineRule="auto"/>
              <w:ind w:right="30"/>
              <w:jc w:val="center"/>
              <w:rPr>
                <w:rFonts w:ascii="Times New Roman" w:eastAsia="宋体" w:hAnsi="Times New Roman"/>
                <w:szCs w:val="21"/>
              </w:rPr>
            </w:pPr>
            <w:r>
              <w:rPr>
                <w:rFonts w:ascii="Times New Roman" w:eastAsia="宋体" w:hAnsi="Times New Roman"/>
                <w:szCs w:val="21"/>
              </w:rPr>
              <w:t>顶部设计形式多变</w:t>
            </w:r>
          </w:p>
        </w:tc>
        <w:tc>
          <w:tcPr>
            <w:tcW w:w="2132" w:type="dxa"/>
          </w:tcPr>
          <w:p w:rsidR="00D359BE" w14:paraId="50E5D00E" w14:textId="77777777">
            <w:pPr>
              <w:snapToGrid w:val="0"/>
              <w:spacing w:line="259" w:lineRule="auto"/>
              <w:jc w:val="center"/>
              <w:rPr>
                <w:rFonts w:ascii="Times New Roman" w:eastAsia="宋体" w:hAnsi="Times New Roman"/>
                <w:szCs w:val="21"/>
              </w:rPr>
            </w:pPr>
            <w:r>
              <w:rPr>
                <w:rFonts w:ascii="Times New Roman" w:eastAsia="宋体" w:hAnsi="Times New Roman"/>
                <w:szCs w:val="21"/>
              </w:rPr>
              <w:t>采用型钢种类多，结构复杂，施工困难</w:t>
            </w:r>
          </w:p>
        </w:tc>
      </w:tr>
    </w:tbl>
    <w:p w:rsidR="00D359BE" w:rsidP="00B33D2C" w14:paraId="2079E93D" w14:textId="77777777">
      <w:pPr>
        <w:adjustRightInd w:val="0"/>
        <w:snapToGrid w:val="0"/>
        <w:spacing w:line="30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从上表我们可以看到，目前在国内和国外使用最多的是浮顶储罐。浮顶储罐具有其他储罐所不具备的优点。它不仅能节省储罐的占地，还能降低储罐的汽化损失。浮顶储罐内的浮筒系统不仅可以起到密封作用，还能节约储罐的附属设备和储罐的管网。故</w:t>
      </w:r>
      <w:r>
        <w:rPr>
          <w:rFonts w:ascii="Times New Roman" w:eastAsia="宋体" w:hAnsi="Times New Roman" w:cs="Times New Roman"/>
          <w:sz w:val="24"/>
        </w:rPr>
        <w:t>92</w:t>
      </w:r>
      <w:r w:rsidRPr="0063216C">
        <w:rPr>
          <w:rFonts w:ascii="Times New Roman" w:eastAsia="宋体" w:hAnsi="Times New Roman" w:cs="Times New Roman"/>
          <w:sz w:val="24"/>
          <w:vertAlign w:val="superscript"/>
        </w:rPr>
        <w:t>#</w:t>
      </w:r>
      <w:r>
        <w:rPr>
          <w:rFonts w:ascii="Times New Roman" w:eastAsia="宋体" w:hAnsi="Times New Roman" w:cs="Times New Roman"/>
          <w:sz w:val="24"/>
        </w:rPr>
        <w:t>、</w:t>
      </w:r>
      <w:r>
        <w:rPr>
          <w:rFonts w:ascii="Times New Roman" w:eastAsia="宋体" w:hAnsi="Times New Roman" w:cs="Times New Roman"/>
          <w:sz w:val="24"/>
        </w:rPr>
        <w:t>95</w:t>
      </w:r>
      <w:r w:rsidRPr="0063216C">
        <w:rPr>
          <w:rFonts w:ascii="Times New Roman" w:eastAsia="宋体" w:hAnsi="Times New Roman" w:cs="Times New Roman"/>
          <w:sz w:val="24"/>
          <w:vertAlign w:val="superscript"/>
        </w:rPr>
        <w:t>#</w:t>
      </w:r>
      <w:r>
        <w:rPr>
          <w:rFonts w:ascii="Times New Roman" w:eastAsia="宋体" w:hAnsi="Times New Roman" w:cs="Times New Roman"/>
          <w:sz w:val="24"/>
        </w:rPr>
        <w:t>、</w:t>
      </w:r>
      <w:r>
        <w:rPr>
          <w:rFonts w:ascii="Times New Roman" w:eastAsia="宋体" w:hAnsi="Times New Roman" w:cs="Times New Roman"/>
          <w:sz w:val="24"/>
        </w:rPr>
        <w:t>98</w:t>
      </w:r>
      <w:r w:rsidRPr="0063216C">
        <w:rPr>
          <w:rFonts w:ascii="Times New Roman" w:eastAsia="宋体" w:hAnsi="Times New Roman" w:cs="Times New Roman"/>
          <w:sz w:val="24"/>
          <w:vertAlign w:val="superscript"/>
        </w:rPr>
        <w:t>#</w:t>
      </w:r>
      <w:r>
        <w:rPr>
          <w:rFonts w:ascii="Times New Roman" w:eastAsia="宋体" w:hAnsi="Times New Roman" w:cs="Times New Roman"/>
          <w:sz w:val="24"/>
        </w:rPr>
        <w:t>及</w:t>
      </w:r>
      <w:r>
        <w:rPr>
          <w:rFonts w:ascii="Times New Roman" w:eastAsia="宋体" w:hAnsi="Times New Roman" w:cs="Times New Roman"/>
          <w:sz w:val="24"/>
        </w:rPr>
        <w:t>航空汽油类易挥发油</w:t>
      </w:r>
      <w:r>
        <w:rPr>
          <w:rFonts w:ascii="Times New Roman" w:eastAsia="宋体" w:hAnsi="Times New Roman" w:cs="Times New Roman"/>
          <w:sz w:val="24"/>
        </w:rPr>
        <w:t>品选用浮顶油罐，</w:t>
      </w:r>
      <w:r>
        <w:rPr>
          <w:rFonts w:ascii="Times New Roman" w:eastAsia="宋体" w:hAnsi="Times New Roman" w:cs="Times New Roman"/>
          <w:sz w:val="24"/>
        </w:rPr>
        <w:t>10</w:t>
      </w:r>
      <w:r w:rsidRPr="0063216C">
        <w:rPr>
          <w:rFonts w:ascii="Times New Roman" w:eastAsia="宋体" w:hAnsi="Times New Roman" w:cs="Times New Roman"/>
          <w:sz w:val="24"/>
          <w:vertAlign w:val="superscript"/>
        </w:rPr>
        <w:t>#</w:t>
      </w:r>
      <w:r>
        <w:rPr>
          <w:rFonts w:ascii="Times New Roman" w:eastAsia="宋体" w:hAnsi="Times New Roman" w:cs="Times New Roman"/>
          <w:sz w:val="24"/>
        </w:rPr>
        <w:t>、</w:t>
      </w:r>
      <w:r>
        <w:rPr>
          <w:rFonts w:ascii="Times New Roman" w:eastAsia="宋体" w:hAnsi="Times New Roman" w:cs="Times New Roman"/>
          <w:sz w:val="24"/>
        </w:rPr>
        <w:t>-10</w:t>
      </w:r>
      <w:r w:rsidRPr="0063216C">
        <w:rPr>
          <w:rFonts w:ascii="Times New Roman" w:eastAsia="宋体" w:hAnsi="Times New Roman" w:cs="Times New Roman"/>
          <w:sz w:val="24"/>
          <w:vertAlign w:val="superscript"/>
        </w:rPr>
        <w:t>#</w:t>
      </w:r>
      <w:r>
        <w:rPr>
          <w:rFonts w:ascii="Times New Roman" w:eastAsia="宋体" w:hAnsi="Times New Roman" w:cs="Times New Roman"/>
          <w:sz w:val="24"/>
        </w:rPr>
        <w:t>轻柴油及</w:t>
      </w:r>
      <w:r>
        <w:rPr>
          <w:rFonts w:ascii="Times New Roman" w:eastAsia="宋体" w:hAnsi="Times New Roman" w:cs="Times New Roman"/>
          <w:sz w:val="24"/>
        </w:rPr>
        <w:t>10</w:t>
      </w:r>
      <w:r w:rsidRPr="0063216C">
        <w:rPr>
          <w:rFonts w:ascii="Times New Roman" w:eastAsia="宋体" w:hAnsi="Times New Roman" w:cs="Times New Roman"/>
          <w:sz w:val="24"/>
          <w:vertAlign w:val="superscript"/>
        </w:rPr>
        <w:t>#</w:t>
      </w:r>
      <w:r>
        <w:rPr>
          <w:rFonts w:ascii="Times New Roman" w:eastAsia="宋体" w:hAnsi="Times New Roman" w:cs="Times New Roman"/>
          <w:sz w:val="24"/>
        </w:rPr>
        <w:t>、</w:t>
      </w:r>
      <w:r>
        <w:rPr>
          <w:rFonts w:ascii="Times New Roman" w:eastAsia="宋体" w:hAnsi="Times New Roman" w:cs="Times New Roman"/>
          <w:sz w:val="24"/>
        </w:rPr>
        <w:t>20</w:t>
      </w:r>
      <w:r w:rsidRPr="0063216C">
        <w:rPr>
          <w:rFonts w:ascii="Times New Roman" w:eastAsia="宋体" w:hAnsi="Times New Roman" w:cs="Times New Roman"/>
          <w:sz w:val="24"/>
          <w:vertAlign w:val="superscript"/>
        </w:rPr>
        <w:t>#</w:t>
      </w:r>
      <w:r>
        <w:rPr>
          <w:rFonts w:ascii="Times New Roman" w:eastAsia="宋体" w:hAnsi="Times New Roman" w:cs="Times New Roman"/>
          <w:sz w:val="24"/>
        </w:rPr>
        <w:t>重柴油选择拱顶油罐。</w:t>
      </w:r>
    </w:p>
    <w:p w:rsidR="00D359BE" w:rsidP="00B33D2C" w14:paraId="7FF58C24" w14:textId="77777777">
      <w:pPr>
        <w:adjustRightInd w:val="0"/>
        <w:snapToGrid w:val="0"/>
        <w:spacing w:line="30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所用罐参数具体如下表</w:t>
      </w:r>
      <w:r>
        <w:rPr>
          <w:rFonts w:ascii="Times New Roman" w:eastAsia="宋体" w:hAnsi="Times New Roman" w:cs="Times New Roman" w:hint="eastAsia"/>
          <w:sz w:val="24"/>
        </w:rPr>
        <w:t>3</w:t>
      </w:r>
      <w:r>
        <w:rPr>
          <w:rFonts w:ascii="Times New Roman" w:eastAsia="宋体" w:hAnsi="Times New Roman" w:cs="Times New Roman"/>
          <w:sz w:val="24"/>
        </w:rPr>
        <w:t>.5</w:t>
      </w:r>
      <w:r>
        <w:rPr>
          <w:rFonts w:ascii="Times New Roman" w:eastAsia="宋体" w:hAnsi="Times New Roman" w:cs="Times New Roman" w:hint="eastAsia"/>
          <w:sz w:val="24"/>
        </w:rPr>
        <w:t>。</w:t>
      </w:r>
    </w:p>
    <w:p w:rsidR="00D359BE" w14:paraId="0A0E501F" w14:textId="77777777">
      <w:pPr>
        <w:snapToGrid w:val="0"/>
        <w:spacing w:line="300" w:lineRule="auto"/>
        <w:ind w:firstLine="480" w:firstLineChars="200"/>
        <w:rPr>
          <w:rFonts w:ascii="Times New Roman" w:eastAsia="宋体" w:hAnsi="Times New Roman" w:cs="Times New Roman"/>
          <w:sz w:val="24"/>
        </w:rPr>
      </w:pPr>
    </w:p>
    <w:p w:rsidR="00D359BE" w:rsidP="00B33D2C" w14:paraId="62245F4B" w14:textId="77777777">
      <w:pPr>
        <w:adjustRightInd w:val="0"/>
        <w:snapToGrid w:val="0"/>
        <w:spacing w:line="300" w:lineRule="auto"/>
        <w:jc w:val="center"/>
        <w:rPr>
          <w:rFonts w:ascii="宋体" w:eastAsia="宋体" w:hAnsi="宋体" w:cs="Times New Roman"/>
          <w:szCs w:val="21"/>
        </w:rPr>
      </w:pPr>
      <w:r>
        <w:rPr>
          <w:rFonts w:ascii="宋体" w:eastAsia="宋体" w:hAnsi="宋体" w:cs="Times New Roman"/>
          <w:szCs w:val="21"/>
        </w:rPr>
        <w:t>表</w:t>
      </w:r>
      <w:r>
        <w:rPr>
          <w:rFonts w:ascii="Times New Roman" w:eastAsia="宋体" w:hAnsi="Times New Roman" w:cs="Times New Roman"/>
          <w:szCs w:val="21"/>
        </w:rPr>
        <w:t xml:space="preserve">3.5 </w:t>
      </w:r>
      <w:r>
        <w:rPr>
          <w:rFonts w:ascii="宋体" w:eastAsia="宋体" w:hAnsi="宋体" w:cs="Times New Roman" w:hint="eastAsia"/>
          <w:szCs w:val="21"/>
        </w:rPr>
        <w:t xml:space="preserve"> </w:t>
      </w:r>
      <w:r>
        <w:rPr>
          <w:rFonts w:ascii="宋体" w:eastAsia="宋体" w:hAnsi="宋体" w:cs="Times New Roman"/>
          <w:szCs w:val="21"/>
        </w:rPr>
        <w:t>所用油罐的参数</w:t>
      </w:r>
      <w:r>
        <w:rPr>
          <w:rFonts w:ascii="Times New Roman" w:eastAsia="宋体" w:hAnsi="Times New Roman" w:cs="Times New Roman"/>
          <w:color w:val="FFFFFF"/>
          <w:sz w:val="0"/>
          <w:szCs w:val="21"/>
        </w:rPr>
        <w:t>油库设</w:t>
      </w:r>
    </w:p>
    <w:tbl>
      <w:tblPr>
        <w:tblStyle w:val="120"/>
        <w:tblW w:w="8789" w:type="dxa"/>
        <w:tblBorders>
          <w:top w:val="single" w:sz="4" w:space="0" w:color="auto"/>
          <w:bottom w:val="single" w:sz="4" w:space="0" w:color="auto"/>
          <w:insideH w:val="none" w:sz="0" w:space="0" w:color="auto"/>
          <w:insideV w:val="none" w:sz="0" w:space="0" w:color="auto"/>
        </w:tblBorders>
        <w:tblLayout w:type="fixed"/>
        <w:tblLook w:val="04A0"/>
      </w:tblPr>
      <w:tblGrid>
        <w:gridCol w:w="1692"/>
        <w:gridCol w:w="1801"/>
        <w:gridCol w:w="1800"/>
        <w:gridCol w:w="1801"/>
        <w:gridCol w:w="1695"/>
      </w:tblGrid>
      <w:tr w14:paraId="48753F3E" w14:textId="77777777" w:rsidTr="00B33D2C">
        <w:tblPrEx>
          <w:tblW w:w="8789" w:type="dxa"/>
          <w:tblBorders>
            <w:top w:val="single" w:sz="4" w:space="0" w:color="auto"/>
            <w:bottom w:val="single" w:sz="4" w:space="0" w:color="auto"/>
            <w:insideH w:val="none" w:sz="0" w:space="0" w:color="auto"/>
            <w:insideV w:val="none" w:sz="0" w:space="0" w:color="auto"/>
          </w:tblBorders>
          <w:tblLayout w:type="fixed"/>
          <w:tblLook w:val="04A0"/>
        </w:tblPrEx>
        <w:tc>
          <w:tcPr>
            <w:tcW w:w="1692" w:type="dxa"/>
            <w:tcBorders>
              <w:top w:val="single" w:sz="4" w:space="0" w:color="auto"/>
              <w:bottom w:val="single" w:sz="4" w:space="0" w:color="auto"/>
            </w:tcBorders>
          </w:tcPr>
          <w:p w:rsidR="00D359BE" w:rsidP="00B33D2C" w14:paraId="2868BCA1"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罐别</w:t>
            </w:r>
          </w:p>
        </w:tc>
        <w:tc>
          <w:tcPr>
            <w:tcW w:w="1801" w:type="dxa"/>
            <w:tcBorders>
              <w:top w:val="single" w:sz="4" w:space="0" w:color="auto"/>
              <w:bottom w:val="single" w:sz="4" w:space="0" w:color="auto"/>
            </w:tcBorders>
          </w:tcPr>
          <w:p w:rsidR="00D359BE" w:rsidP="00B33D2C" w14:paraId="5519340B"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公称容量</w:t>
            </w:r>
            <w:r>
              <w:rPr>
                <w:rFonts w:ascii="Times New Roman" w:hAnsi="Times New Roman" w:cs="Times New Roman"/>
                <w:szCs w:val="21"/>
              </w:rPr>
              <w:t>(m</w:t>
            </w:r>
            <w:r>
              <w:rPr>
                <w:rFonts w:ascii="Times New Roman" w:hAnsi="Times New Roman" w:cs="Times New Roman"/>
                <w:szCs w:val="21"/>
                <w:vertAlign w:val="superscript"/>
              </w:rPr>
              <w:t>3</w:t>
            </w:r>
            <w:r>
              <w:rPr>
                <w:rFonts w:ascii="Times New Roman" w:hAnsi="Times New Roman" w:cs="Times New Roman"/>
                <w:szCs w:val="21"/>
              </w:rPr>
              <w:t>)</w:t>
            </w:r>
          </w:p>
        </w:tc>
        <w:tc>
          <w:tcPr>
            <w:tcW w:w="1800" w:type="dxa"/>
            <w:tcBorders>
              <w:top w:val="single" w:sz="4" w:space="0" w:color="auto"/>
              <w:bottom w:val="single" w:sz="4" w:space="0" w:color="auto"/>
            </w:tcBorders>
          </w:tcPr>
          <w:p w:rsidR="00D359BE" w:rsidP="00B33D2C" w14:paraId="42EE75BE"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计算容量</w:t>
            </w:r>
            <w:r>
              <w:rPr>
                <w:rFonts w:ascii="Times New Roman" w:hAnsi="Times New Roman" w:cs="Times New Roman"/>
                <w:szCs w:val="21"/>
              </w:rPr>
              <w:t>(m</w:t>
            </w:r>
            <w:r>
              <w:rPr>
                <w:rFonts w:ascii="Times New Roman" w:hAnsi="Times New Roman" w:cs="Times New Roman"/>
                <w:szCs w:val="21"/>
                <w:vertAlign w:val="superscript"/>
              </w:rPr>
              <w:t>3</w:t>
            </w:r>
            <w:r>
              <w:rPr>
                <w:rFonts w:ascii="Times New Roman" w:hAnsi="Times New Roman" w:cs="Times New Roman"/>
                <w:szCs w:val="21"/>
              </w:rPr>
              <w:t>)</w:t>
            </w:r>
          </w:p>
        </w:tc>
        <w:tc>
          <w:tcPr>
            <w:tcW w:w="1801" w:type="dxa"/>
            <w:tcBorders>
              <w:top w:val="single" w:sz="4" w:space="0" w:color="auto"/>
              <w:bottom w:val="single" w:sz="4" w:space="0" w:color="auto"/>
            </w:tcBorders>
          </w:tcPr>
          <w:p w:rsidR="00D359BE" w:rsidP="00B33D2C" w14:paraId="5127DB81"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罐内</w:t>
            </w:r>
            <w:r>
              <w:rPr>
                <w:rFonts w:ascii="Times New Roman" w:hAnsi="Times New Roman" w:cs="Times New Roman" w:hint="eastAsia"/>
                <w:szCs w:val="21"/>
              </w:rPr>
              <w:t>半</w:t>
            </w:r>
            <w:r>
              <w:rPr>
                <w:rFonts w:ascii="Times New Roman" w:hAnsi="Times New Roman" w:cs="Times New Roman"/>
                <w:szCs w:val="21"/>
              </w:rPr>
              <w:t>径</w:t>
            </w:r>
            <w:r>
              <w:rPr>
                <w:rFonts w:ascii="Times New Roman" w:hAnsi="Times New Roman" w:cs="Times New Roman"/>
                <w:szCs w:val="21"/>
              </w:rPr>
              <w:t>(mm)</w:t>
            </w:r>
          </w:p>
        </w:tc>
        <w:tc>
          <w:tcPr>
            <w:tcW w:w="1695" w:type="dxa"/>
            <w:tcBorders>
              <w:top w:val="single" w:sz="4" w:space="0" w:color="auto"/>
              <w:bottom w:val="single" w:sz="4" w:space="0" w:color="auto"/>
            </w:tcBorders>
          </w:tcPr>
          <w:p w:rsidR="00D359BE" w:rsidP="00B33D2C" w14:paraId="011CC9C5"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罐壁高度</w:t>
            </w:r>
            <w:r>
              <w:rPr>
                <w:rFonts w:ascii="Times New Roman" w:hAnsi="Times New Roman" w:cs="Times New Roman"/>
                <w:szCs w:val="21"/>
              </w:rPr>
              <w:t>(mm)</w:t>
            </w:r>
          </w:p>
        </w:tc>
      </w:tr>
      <w:tr w14:paraId="28D2C140" w14:textId="77777777" w:rsidTr="00B33D2C">
        <w:tblPrEx>
          <w:tblW w:w="8789" w:type="dxa"/>
          <w:tblLayout w:type="fixed"/>
          <w:tblLook w:val="04A0"/>
        </w:tblPrEx>
        <w:tc>
          <w:tcPr>
            <w:tcW w:w="1692" w:type="dxa"/>
            <w:vMerge w:val="restart"/>
            <w:tcBorders>
              <w:top w:val="single" w:sz="4" w:space="0" w:color="auto"/>
            </w:tcBorders>
          </w:tcPr>
          <w:p w:rsidR="00D359BE" w:rsidP="00B33D2C" w14:paraId="5507FB99"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浮顶罐</w:t>
            </w:r>
          </w:p>
        </w:tc>
        <w:tc>
          <w:tcPr>
            <w:tcW w:w="1801" w:type="dxa"/>
            <w:tcBorders>
              <w:top w:val="single" w:sz="4" w:space="0" w:color="auto"/>
            </w:tcBorders>
          </w:tcPr>
          <w:p w:rsidR="00D359BE" w:rsidP="00B33D2C" w14:paraId="2E4C0C3A"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10000</w:t>
            </w:r>
          </w:p>
        </w:tc>
        <w:tc>
          <w:tcPr>
            <w:tcW w:w="1800" w:type="dxa"/>
            <w:tcBorders>
              <w:top w:val="single" w:sz="4" w:space="0" w:color="auto"/>
            </w:tcBorders>
          </w:tcPr>
          <w:p w:rsidR="00D359BE" w:rsidP="00B33D2C" w14:paraId="367DD946"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10002</w:t>
            </w:r>
          </w:p>
        </w:tc>
        <w:tc>
          <w:tcPr>
            <w:tcW w:w="1801" w:type="dxa"/>
            <w:tcBorders>
              <w:top w:val="single" w:sz="4" w:space="0" w:color="auto"/>
            </w:tcBorders>
          </w:tcPr>
          <w:p w:rsidR="00D359BE" w:rsidP="00B33D2C" w14:paraId="150521DB"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42500</w:t>
            </w:r>
          </w:p>
        </w:tc>
        <w:tc>
          <w:tcPr>
            <w:tcW w:w="1695" w:type="dxa"/>
            <w:tcBorders>
              <w:top w:val="single" w:sz="4" w:space="0" w:color="auto"/>
            </w:tcBorders>
          </w:tcPr>
          <w:p w:rsidR="00D359BE" w:rsidP="00B33D2C" w14:paraId="00F096B8"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17632</w:t>
            </w:r>
          </w:p>
        </w:tc>
      </w:tr>
      <w:tr w14:paraId="3FFFE8D5" w14:textId="77777777" w:rsidTr="00B33D2C">
        <w:tblPrEx>
          <w:tblW w:w="8789" w:type="dxa"/>
          <w:tblLayout w:type="fixed"/>
          <w:tblLook w:val="04A0"/>
        </w:tblPrEx>
        <w:tc>
          <w:tcPr>
            <w:tcW w:w="1692" w:type="dxa"/>
            <w:vMerge/>
          </w:tcPr>
          <w:p w:rsidR="00D359BE" w:rsidP="00B33D2C" w14:paraId="384C74C4" w14:textId="77777777">
            <w:pPr>
              <w:adjustRightInd w:val="0"/>
              <w:snapToGrid w:val="0"/>
              <w:spacing w:line="300" w:lineRule="auto"/>
              <w:jc w:val="center"/>
              <w:rPr>
                <w:rFonts w:ascii="Times New Roman" w:hAnsi="Times New Roman" w:cs="Times New Roman"/>
                <w:szCs w:val="21"/>
              </w:rPr>
            </w:pPr>
          </w:p>
        </w:tc>
        <w:tc>
          <w:tcPr>
            <w:tcW w:w="1801" w:type="dxa"/>
          </w:tcPr>
          <w:p w:rsidR="00D359BE" w:rsidP="00B33D2C" w14:paraId="6828513D"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10000</w:t>
            </w:r>
          </w:p>
        </w:tc>
        <w:tc>
          <w:tcPr>
            <w:tcW w:w="1800" w:type="dxa"/>
          </w:tcPr>
          <w:p w:rsidR="00D359BE" w:rsidP="00B33D2C" w14:paraId="6DC184FF"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10024</w:t>
            </w:r>
          </w:p>
        </w:tc>
        <w:tc>
          <w:tcPr>
            <w:tcW w:w="1801" w:type="dxa"/>
          </w:tcPr>
          <w:p w:rsidR="00D359BE" w:rsidP="00B33D2C" w14:paraId="341823CC"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11300</w:t>
            </w:r>
          </w:p>
        </w:tc>
        <w:tc>
          <w:tcPr>
            <w:tcW w:w="1695" w:type="dxa"/>
          </w:tcPr>
          <w:p w:rsidR="00D359BE" w:rsidP="00B33D2C" w14:paraId="1D221803"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25000</w:t>
            </w:r>
          </w:p>
        </w:tc>
      </w:tr>
      <w:tr w14:paraId="5C156991" w14:textId="77777777" w:rsidTr="00B33D2C">
        <w:tblPrEx>
          <w:tblW w:w="8789" w:type="dxa"/>
          <w:tblLayout w:type="fixed"/>
          <w:tblLook w:val="04A0"/>
        </w:tblPrEx>
        <w:tc>
          <w:tcPr>
            <w:tcW w:w="1692" w:type="dxa"/>
          </w:tcPr>
          <w:p w:rsidR="00D359BE" w:rsidP="00B33D2C" w14:paraId="579400A1"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拱顶罐</w:t>
            </w:r>
          </w:p>
        </w:tc>
        <w:tc>
          <w:tcPr>
            <w:tcW w:w="1801" w:type="dxa"/>
          </w:tcPr>
          <w:p w:rsidR="00D359BE" w:rsidP="00B33D2C" w14:paraId="63E904BE"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5000</w:t>
            </w:r>
          </w:p>
        </w:tc>
        <w:tc>
          <w:tcPr>
            <w:tcW w:w="1800" w:type="dxa"/>
          </w:tcPr>
          <w:p w:rsidR="00D359BE" w:rsidP="00B33D2C" w14:paraId="7D67C835"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5002</w:t>
            </w:r>
          </w:p>
        </w:tc>
        <w:tc>
          <w:tcPr>
            <w:tcW w:w="1801" w:type="dxa"/>
          </w:tcPr>
          <w:p w:rsidR="00D359BE" w:rsidP="00B33D2C" w14:paraId="11789BA2"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10000</w:t>
            </w:r>
          </w:p>
        </w:tc>
        <w:tc>
          <w:tcPr>
            <w:tcW w:w="1695" w:type="dxa"/>
          </w:tcPr>
          <w:p w:rsidR="00D359BE" w:rsidP="00B33D2C" w14:paraId="5AF74B6D"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15930</w:t>
            </w:r>
          </w:p>
        </w:tc>
      </w:tr>
    </w:tbl>
    <w:p w:rsidR="00D359BE" w14:paraId="3C7FB8C4" w14:textId="77777777">
      <w:pPr>
        <w:snapToGrid w:val="0"/>
        <w:spacing w:line="300" w:lineRule="auto"/>
        <w:ind w:firstLine="480" w:firstLineChars="200"/>
        <w:rPr>
          <w:rFonts w:ascii="Times New Roman" w:eastAsia="宋体" w:hAnsi="Times New Roman" w:cs="Times New Roman"/>
          <w:sz w:val="24"/>
          <w:szCs w:val="24"/>
        </w:rPr>
      </w:pPr>
    </w:p>
    <w:p w:rsidR="00D359BE" w:rsidP="00B33D2C" w14:paraId="0AE00FEC" w14:textId="61996F92">
      <w:pPr>
        <w:adjustRightInd w:val="0"/>
        <w:snapToGrid w:val="0"/>
        <w:spacing w:line="30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单盘式浮</w:t>
      </w:r>
      <w:r>
        <w:rPr>
          <w:rFonts w:ascii="Times New Roman" w:eastAsia="宋体" w:hAnsi="Times New Roman" w:cs="Times New Roman"/>
          <w:sz w:val="24"/>
          <w:szCs w:val="24"/>
        </w:rPr>
        <w:t>顶罐浮</w:t>
      </w:r>
      <w:r>
        <w:rPr>
          <w:rFonts w:ascii="Times New Roman" w:eastAsia="宋体" w:hAnsi="Times New Roman" w:cs="Times New Roman"/>
          <w:sz w:val="24"/>
          <w:szCs w:val="24"/>
        </w:rPr>
        <w:t>顶参数如表</w:t>
      </w:r>
      <w:r w:rsidR="00B33D2C">
        <w:rPr>
          <w:rFonts w:ascii="Times New Roman" w:eastAsia="宋体" w:hAnsi="Times New Roman" w:cs="Times New Roman"/>
          <w:sz w:val="24"/>
          <w:szCs w:val="24"/>
        </w:rPr>
        <w:t>3.6</w:t>
      </w:r>
      <w:r>
        <w:rPr>
          <w:rFonts w:ascii="Times New Roman" w:eastAsia="宋体" w:hAnsi="Times New Roman" w:cs="Times New Roman"/>
          <w:sz w:val="24"/>
          <w:szCs w:val="24"/>
        </w:rPr>
        <w:t>所示。</w:t>
      </w:r>
    </w:p>
    <w:p w:rsidR="00D359BE" w14:paraId="50CF869B" w14:textId="77777777">
      <w:pPr>
        <w:snapToGrid w:val="0"/>
        <w:spacing w:after="3" w:line="300" w:lineRule="auto"/>
        <w:ind w:left="369" w:right="631" w:firstLine="420" w:firstLineChars="200"/>
        <w:jc w:val="center"/>
        <w:rPr>
          <w:rFonts w:ascii="Times New Roman" w:eastAsia="宋体" w:hAnsi="Times New Roman" w:cs="Times New Roman"/>
          <w:b/>
          <w:bCs/>
          <w:szCs w:val="21"/>
        </w:rPr>
      </w:pPr>
    </w:p>
    <w:p w:rsidR="00D359BE" w:rsidP="00B33D2C" w14:paraId="446BD927" w14:textId="77777777">
      <w:pPr>
        <w:snapToGrid w:val="0"/>
        <w:spacing w:after="3" w:line="300" w:lineRule="auto"/>
        <w:ind w:left="369" w:right="629" w:firstLine="420" w:firstLineChars="200"/>
        <w:jc w:val="center"/>
        <w:rPr>
          <w:rFonts w:ascii="Times New Roman" w:eastAsia="宋体" w:hAnsi="Times New Roman" w:cs="Times New Roman"/>
          <w:szCs w:val="21"/>
        </w:rPr>
      </w:pPr>
      <w:bookmarkStart w:id="42" w:name="_Hlk134562193"/>
      <w:r>
        <w:rPr>
          <w:rFonts w:ascii="Times New Roman" w:eastAsia="宋体" w:hAnsi="Times New Roman" w:cs="Times New Roman"/>
          <w:szCs w:val="21"/>
        </w:rPr>
        <w:t>表</w:t>
      </w:r>
      <w:r>
        <w:rPr>
          <w:rFonts w:ascii="Times New Roman" w:eastAsia="宋体" w:hAnsi="Times New Roman" w:cs="Times New Roman"/>
          <w:szCs w:val="21"/>
        </w:rPr>
        <w:t>3.6 100000m</w:t>
      </w:r>
      <w:r>
        <w:rPr>
          <w:rFonts w:ascii="Times New Roman" w:eastAsia="宋体" w:hAnsi="Times New Roman" w:cs="Times New Roman"/>
          <w:szCs w:val="21"/>
          <w:vertAlign w:val="superscript"/>
        </w:rPr>
        <w:t>3</w:t>
      </w:r>
      <w:r>
        <w:rPr>
          <w:rFonts w:ascii="Times New Roman" w:eastAsia="宋体" w:hAnsi="Times New Roman" w:cs="Times New Roman"/>
          <w:szCs w:val="21"/>
        </w:rPr>
        <w:t>单盘式浮顶储罐浮顶参数</w:t>
      </w:r>
    </w:p>
    <w:tbl>
      <w:tblPr>
        <w:tblStyle w:val="TableGrid3"/>
        <w:tblW w:w="8538" w:type="dxa"/>
        <w:jc w:val="center"/>
        <w:tblInd w:w="0" w:type="dxa"/>
        <w:tblBorders>
          <w:top w:val="single" w:sz="4" w:space="0" w:color="auto"/>
          <w:bottom w:val="single" w:sz="4" w:space="0" w:color="auto"/>
        </w:tblBorders>
        <w:tblCellMar>
          <w:top w:w="54" w:type="dxa"/>
          <w:left w:w="115" w:type="dxa"/>
          <w:right w:w="115" w:type="dxa"/>
        </w:tblCellMar>
        <w:tblLook w:val="04A0"/>
      </w:tblPr>
      <w:tblGrid>
        <w:gridCol w:w="2107"/>
        <w:gridCol w:w="39"/>
        <w:gridCol w:w="2129"/>
        <w:gridCol w:w="4263"/>
      </w:tblGrid>
      <w:tr w14:paraId="1DCBE498" w14:textId="77777777" w:rsidTr="00B33D2C">
        <w:tblPrEx>
          <w:tblW w:w="8538" w:type="dxa"/>
          <w:jc w:val="center"/>
          <w:tblInd w:w="0" w:type="dxa"/>
          <w:tblBorders>
            <w:top w:val="single" w:sz="4" w:space="0" w:color="auto"/>
            <w:bottom w:val="single" w:sz="4" w:space="0" w:color="auto"/>
          </w:tblBorders>
          <w:tblCellMar>
            <w:top w:w="54" w:type="dxa"/>
            <w:left w:w="115" w:type="dxa"/>
            <w:right w:w="115" w:type="dxa"/>
          </w:tblCellMar>
          <w:tblLook w:val="04A0"/>
        </w:tblPrEx>
        <w:trPr>
          <w:trHeight w:val="418"/>
          <w:jc w:val="center"/>
        </w:trPr>
        <w:tc>
          <w:tcPr>
            <w:tcW w:w="4275" w:type="dxa"/>
            <w:gridSpan w:val="3"/>
            <w:tcBorders>
              <w:top w:val="single" w:sz="4" w:space="0" w:color="auto"/>
              <w:bottom w:val="single" w:sz="4" w:space="0" w:color="auto"/>
            </w:tcBorders>
            <w:vAlign w:val="center"/>
          </w:tcPr>
          <w:bookmarkEnd w:id="42"/>
          <w:p w:rsidR="00D359BE" w:rsidP="00B33D2C" w14:paraId="787675C5" w14:textId="7C9ED46D">
            <w:pPr>
              <w:adjustRightInd w:val="0"/>
              <w:snapToGrid w:val="0"/>
              <w:spacing w:line="300" w:lineRule="auto"/>
              <w:ind w:left="14" w:firstLine="420" w:firstLineChars="200"/>
              <w:jc w:val="center"/>
              <w:rPr>
                <w:rFonts w:ascii="Times New Roman" w:eastAsia="宋体" w:hAnsi="Times New Roman"/>
                <w:szCs w:val="21"/>
              </w:rPr>
            </w:pPr>
            <w:r>
              <w:rPr>
                <w:rFonts w:ascii="Times New Roman" w:eastAsia="宋体" w:hAnsi="Times New Roman"/>
                <w:szCs w:val="21"/>
              </w:rPr>
              <w:t>油罐容积（</w:t>
            </w:r>
            <w:r>
              <w:rPr>
                <w:rFonts w:ascii="Times New Roman" w:eastAsia="宋体" w:hAnsi="Times New Roman"/>
                <w:szCs w:val="21"/>
              </w:rPr>
              <w:t>m</w:t>
            </w:r>
            <w:r>
              <w:rPr>
                <w:rFonts w:ascii="Times New Roman" w:eastAsia="宋体" w:hAnsi="Times New Roman"/>
                <w:szCs w:val="21"/>
                <w:vertAlign w:val="superscript"/>
              </w:rPr>
              <w:t>3</w:t>
            </w:r>
            <w:r>
              <w:rPr>
                <w:rFonts w:ascii="Times New Roman" w:eastAsia="宋体" w:hAnsi="Times New Roman"/>
                <w:szCs w:val="21"/>
              </w:rPr>
              <w:t>）</w:t>
            </w:r>
          </w:p>
        </w:tc>
        <w:tc>
          <w:tcPr>
            <w:tcW w:w="4263" w:type="dxa"/>
            <w:tcBorders>
              <w:top w:val="single" w:sz="4" w:space="0" w:color="auto"/>
              <w:bottom w:val="single" w:sz="4" w:space="0" w:color="auto"/>
            </w:tcBorders>
            <w:vAlign w:val="center"/>
          </w:tcPr>
          <w:p w:rsidR="00D359BE" w:rsidP="00B33D2C" w14:paraId="73910724" w14:textId="74484E2F">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100000</w:t>
            </w:r>
          </w:p>
        </w:tc>
      </w:tr>
      <w:tr w14:paraId="15FEB745" w14:textId="77777777" w:rsidTr="00B33D2C">
        <w:tblPrEx>
          <w:tblW w:w="8538" w:type="dxa"/>
          <w:jc w:val="center"/>
          <w:tblInd w:w="0" w:type="dxa"/>
          <w:tblCellMar>
            <w:top w:w="54" w:type="dxa"/>
            <w:left w:w="115" w:type="dxa"/>
            <w:right w:w="115" w:type="dxa"/>
          </w:tblCellMar>
          <w:tblLook w:val="04A0"/>
        </w:tblPrEx>
        <w:trPr>
          <w:trHeight w:val="408"/>
          <w:jc w:val="center"/>
        </w:trPr>
        <w:tc>
          <w:tcPr>
            <w:tcW w:w="4275" w:type="dxa"/>
            <w:gridSpan w:val="3"/>
            <w:tcBorders>
              <w:top w:val="single" w:sz="4" w:space="0" w:color="auto"/>
            </w:tcBorders>
            <w:vAlign w:val="center"/>
          </w:tcPr>
          <w:p w:rsidR="00D359BE" w:rsidP="00B33D2C" w14:paraId="320D6014" w14:textId="14EC5331">
            <w:pPr>
              <w:adjustRightInd w:val="0"/>
              <w:snapToGrid w:val="0"/>
              <w:spacing w:line="300" w:lineRule="auto"/>
              <w:ind w:left="14" w:firstLine="420" w:firstLineChars="200"/>
              <w:jc w:val="center"/>
              <w:rPr>
                <w:rFonts w:ascii="Times New Roman" w:eastAsia="宋体" w:hAnsi="Times New Roman"/>
                <w:szCs w:val="21"/>
              </w:rPr>
            </w:pPr>
            <w:r>
              <w:rPr>
                <w:rFonts w:ascii="Times New Roman" w:eastAsia="宋体" w:hAnsi="Times New Roman"/>
                <w:szCs w:val="21"/>
              </w:rPr>
              <w:t>油罐内径（</w:t>
            </w:r>
            <w:r>
              <w:rPr>
                <w:rFonts w:ascii="Times New Roman" w:eastAsia="宋体" w:hAnsi="Times New Roman"/>
                <w:szCs w:val="21"/>
              </w:rPr>
              <w:t>mm</w:t>
            </w:r>
            <w:r>
              <w:rPr>
                <w:rFonts w:ascii="Times New Roman" w:eastAsia="宋体" w:hAnsi="Times New Roman"/>
                <w:szCs w:val="21"/>
              </w:rPr>
              <w:t>）</w:t>
            </w:r>
          </w:p>
        </w:tc>
        <w:tc>
          <w:tcPr>
            <w:tcW w:w="4263" w:type="dxa"/>
            <w:tcBorders>
              <w:top w:val="single" w:sz="4" w:space="0" w:color="auto"/>
            </w:tcBorders>
            <w:vAlign w:val="center"/>
          </w:tcPr>
          <w:p w:rsidR="00D359BE" w:rsidP="00B33D2C" w14:paraId="462BB655" w14:textId="49404ADA">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85000</w:t>
            </w:r>
          </w:p>
        </w:tc>
      </w:tr>
      <w:tr w14:paraId="45212A17" w14:textId="77777777" w:rsidTr="00B33D2C">
        <w:tblPrEx>
          <w:tblW w:w="8538" w:type="dxa"/>
          <w:jc w:val="center"/>
          <w:tblInd w:w="0" w:type="dxa"/>
          <w:tblCellMar>
            <w:top w:w="54" w:type="dxa"/>
            <w:left w:w="115" w:type="dxa"/>
            <w:right w:w="115" w:type="dxa"/>
          </w:tblCellMar>
          <w:tblLook w:val="04A0"/>
        </w:tblPrEx>
        <w:trPr>
          <w:trHeight w:val="406"/>
          <w:jc w:val="center"/>
        </w:trPr>
        <w:tc>
          <w:tcPr>
            <w:tcW w:w="4275" w:type="dxa"/>
            <w:gridSpan w:val="3"/>
            <w:vAlign w:val="center"/>
          </w:tcPr>
          <w:p w:rsidR="00D359BE" w:rsidP="00B33D2C" w14:paraId="67C9841E" w14:textId="4284750C">
            <w:pPr>
              <w:adjustRightInd w:val="0"/>
              <w:snapToGrid w:val="0"/>
              <w:spacing w:line="300" w:lineRule="auto"/>
              <w:ind w:left="14" w:firstLine="420" w:firstLineChars="200"/>
              <w:jc w:val="center"/>
              <w:rPr>
                <w:rFonts w:ascii="Times New Roman" w:eastAsia="宋体" w:hAnsi="Times New Roman"/>
                <w:szCs w:val="21"/>
              </w:rPr>
            </w:pPr>
            <w:r>
              <w:rPr>
                <w:rFonts w:ascii="Times New Roman" w:eastAsia="宋体" w:hAnsi="Times New Roman"/>
                <w:szCs w:val="21"/>
              </w:rPr>
              <w:t>浮船外径（</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38DE59A0" w14:textId="6E8B1DC1">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84600</w:t>
            </w:r>
          </w:p>
        </w:tc>
      </w:tr>
      <w:tr w14:paraId="20E1B378" w14:textId="77777777" w:rsidTr="00B33D2C">
        <w:tblPrEx>
          <w:tblW w:w="8538" w:type="dxa"/>
          <w:jc w:val="center"/>
          <w:tblInd w:w="0" w:type="dxa"/>
          <w:tblCellMar>
            <w:top w:w="54" w:type="dxa"/>
            <w:left w:w="115" w:type="dxa"/>
            <w:right w:w="115" w:type="dxa"/>
          </w:tblCellMar>
          <w:tblLook w:val="04A0"/>
        </w:tblPrEx>
        <w:trPr>
          <w:trHeight w:val="408"/>
          <w:jc w:val="center"/>
        </w:trPr>
        <w:tc>
          <w:tcPr>
            <w:tcW w:w="4275" w:type="dxa"/>
            <w:gridSpan w:val="3"/>
            <w:vAlign w:val="center"/>
          </w:tcPr>
          <w:p w:rsidR="00D359BE" w:rsidP="00B33D2C" w14:paraId="24587B77" w14:textId="6A01717E">
            <w:pPr>
              <w:adjustRightInd w:val="0"/>
              <w:snapToGrid w:val="0"/>
              <w:spacing w:line="300" w:lineRule="auto"/>
              <w:ind w:left="14" w:firstLine="420" w:firstLineChars="200"/>
              <w:jc w:val="center"/>
              <w:rPr>
                <w:rFonts w:ascii="Times New Roman" w:eastAsia="宋体" w:hAnsi="Times New Roman"/>
                <w:szCs w:val="21"/>
              </w:rPr>
            </w:pPr>
            <w:r>
              <w:rPr>
                <w:rFonts w:ascii="Times New Roman" w:eastAsia="宋体" w:hAnsi="Times New Roman"/>
                <w:szCs w:val="21"/>
              </w:rPr>
              <w:t>浮船内径（</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7185462A" w14:textId="546BDCB1">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83760</w:t>
            </w:r>
          </w:p>
        </w:tc>
      </w:tr>
      <w:tr w14:paraId="350434B8" w14:textId="77777777" w:rsidTr="00B33D2C">
        <w:tblPrEx>
          <w:tblW w:w="8538" w:type="dxa"/>
          <w:jc w:val="center"/>
          <w:tblInd w:w="0" w:type="dxa"/>
          <w:tblCellMar>
            <w:top w:w="54" w:type="dxa"/>
            <w:left w:w="115" w:type="dxa"/>
            <w:right w:w="115" w:type="dxa"/>
          </w:tblCellMar>
          <w:tblLook w:val="04A0"/>
        </w:tblPrEx>
        <w:trPr>
          <w:trHeight w:val="406"/>
          <w:jc w:val="center"/>
        </w:trPr>
        <w:tc>
          <w:tcPr>
            <w:tcW w:w="2146" w:type="dxa"/>
            <w:gridSpan w:val="2"/>
            <w:vMerge w:val="restart"/>
            <w:vAlign w:val="center"/>
          </w:tcPr>
          <w:p w:rsidR="00D359BE" w:rsidP="00B33D2C" w14:paraId="0DAEBFF7" w14:textId="48FE5E0C">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内边缘板</w:t>
            </w:r>
          </w:p>
        </w:tc>
        <w:tc>
          <w:tcPr>
            <w:tcW w:w="2129" w:type="dxa"/>
            <w:vAlign w:val="center"/>
          </w:tcPr>
          <w:p w:rsidR="00D359BE" w:rsidP="00B33D2C" w14:paraId="04071125" w14:textId="616AD3D7">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高度（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1E296494" w14:textId="5A4DC502">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4600</w:t>
            </w:r>
          </w:p>
        </w:tc>
      </w:tr>
      <w:tr w14:paraId="028F948D" w14:textId="77777777" w:rsidTr="00B33D2C">
        <w:tblPrEx>
          <w:tblW w:w="8538" w:type="dxa"/>
          <w:jc w:val="center"/>
          <w:tblInd w:w="0" w:type="dxa"/>
          <w:tblCellMar>
            <w:top w:w="54" w:type="dxa"/>
            <w:left w:w="115" w:type="dxa"/>
            <w:right w:w="115" w:type="dxa"/>
          </w:tblCellMar>
          <w:tblLook w:val="04A0"/>
        </w:tblPrEx>
        <w:trPr>
          <w:trHeight w:val="408"/>
          <w:jc w:val="center"/>
        </w:trPr>
        <w:tc>
          <w:tcPr>
            <w:tcW w:w="0" w:type="auto"/>
            <w:gridSpan w:val="2"/>
            <w:vMerge/>
            <w:vAlign w:val="center"/>
          </w:tcPr>
          <w:p w:rsidR="00D359BE" w:rsidP="00B33D2C" w14:paraId="7D673E19" w14:textId="77777777">
            <w:pPr>
              <w:adjustRightInd w:val="0"/>
              <w:snapToGrid w:val="0"/>
              <w:spacing w:after="160" w:line="300" w:lineRule="auto"/>
              <w:ind w:firstLine="420" w:firstLineChars="200"/>
              <w:jc w:val="center"/>
              <w:rPr>
                <w:rFonts w:ascii="Times New Roman" w:eastAsia="宋体" w:hAnsi="Times New Roman"/>
                <w:szCs w:val="21"/>
              </w:rPr>
            </w:pPr>
          </w:p>
        </w:tc>
        <w:tc>
          <w:tcPr>
            <w:tcW w:w="2129" w:type="dxa"/>
            <w:vAlign w:val="center"/>
          </w:tcPr>
          <w:p w:rsidR="00D359BE" w:rsidP="00B33D2C" w14:paraId="7CC63B51" w14:textId="748BB8C3">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厚度（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5BDE848A" w14:textId="2F3C0548">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24</w:t>
            </w:r>
          </w:p>
        </w:tc>
      </w:tr>
      <w:tr w14:paraId="47801D63" w14:textId="77777777" w:rsidTr="00B33D2C">
        <w:tblPrEx>
          <w:tblW w:w="8538" w:type="dxa"/>
          <w:jc w:val="center"/>
          <w:tblInd w:w="0" w:type="dxa"/>
          <w:tblCellMar>
            <w:top w:w="54" w:type="dxa"/>
            <w:left w:w="115" w:type="dxa"/>
            <w:right w:w="115" w:type="dxa"/>
          </w:tblCellMar>
          <w:tblLook w:val="04A0"/>
        </w:tblPrEx>
        <w:trPr>
          <w:trHeight w:val="408"/>
          <w:jc w:val="center"/>
        </w:trPr>
        <w:tc>
          <w:tcPr>
            <w:tcW w:w="2146" w:type="dxa"/>
            <w:gridSpan w:val="2"/>
            <w:vMerge w:val="restart"/>
            <w:vAlign w:val="center"/>
          </w:tcPr>
          <w:p w:rsidR="00D359BE" w:rsidP="00B33D2C" w14:paraId="5942A6B5" w14:textId="2CA358F9">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外边缘板</w:t>
            </w:r>
          </w:p>
        </w:tc>
        <w:tc>
          <w:tcPr>
            <w:tcW w:w="2129" w:type="dxa"/>
            <w:vAlign w:val="center"/>
          </w:tcPr>
          <w:p w:rsidR="00D359BE" w:rsidP="00B33D2C" w14:paraId="6D026484" w14:textId="11991CAE">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高度（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0FD708FA" w14:textId="39EDF8FB">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4600</w:t>
            </w:r>
          </w:p>
        </w:tc>
      </w:tr>
      <w:tr w14:paraId="6BBC555B" w14:textId="77777777" w:rsidTr="00B33D2C">
        <w:tblPrEx>
          <w:tblW w:w="8538" w:type="dxa"/>
          <w:jc w:val="center"/>
          <w:tblInd w:w="0" w:type="dxa"/>
          <w:tblCellMar>
            <w:top w:w="54" w:type="dxa"/>
            <w:left w:w="115" w:type="dxa"/>
            <w:right w:w="115" w:type="dxa"/>
          </w:tblCellMar>
          <w:tblLook w:val="04A0"/>
        </w:tblPrEx>
        <w:trPr>
          <w:trHeight w:val="406"/>
          <w:jc w:val="center"/>
        </w:trPr>
        <w:tc>
          <w:tcPr>
            <w:tcW w:w="0" w:type="auto"/>
            <w:gridSpan w:val="2"/>
            <w:vMerge/>
            <w:vAlign w:val="center"/>
          </w:tcPr>
          <w:p w:rsidR="00D359BE" w:rsidP="00B33D2C" w14:paraId="18F42C25" w14:textId="77777777">
            <w:pPr>
              <w:adjustRightInd w:val="0"/>
              <w:snapToGrid w:val="0"/>
              <w:spacing w:after="160" w:line="300" w:lineRule="auto"/>
              <w:ind w:firstLine="420" w:firstLineChars="200"/>
              <w:jc w:val="center"/>
              <w:rPr>
                <w:rFonts w:ascii="Times New Roman" w:eastAsia="宋体" w:hAnsi="Times New Roman"/>
                <w:szCs w:val="21"/>
              </w:rPr>
            </w:pPr>
          </w:p>
        </w:tc>
        <w:tc>
          <w:tcPr>
            <w:tcW w:w="2129" w:type="dxa"/>
            <w:vAlign w:val="center"/>
          </w:tcPr>
          <w:p w:rsidR="00D359BE" w:rsidP="00B33D2C" w14:paraId="6A4E3E5D" w14:textId="797590BE">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厚度（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56BB5518" w14:textId="2E3EC7E1">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24</w:t>
            </w:r>
          </w:p>
        </w:tc>
      </w:tr>
      <w:tr w14:paraId="77B4143A" w14:textId="77777777" w:rsidTr="00B33D2C">
        <w:tblPrEx>
          <w:tblW w:w="8538" w:type="dxa"/>
          <w:jc w:val="center"/>
          <w:tblInd w:w="0" w:type="dxa"/>
          <w:tblCellMar>
            <w:top w:w="54" w:type="dxa"/>
            <w:left w:w="115" w:type="dxa"/>
            <w:right w:w="115" w:type="dxa"/>
          </w:tblCellMar>
          <w:tblLook w:val="04A0"/>
        </w:tblPrEx>
        <w:trPr>
          <w:trHeight w:val="408"/>
          <w:jc w:val="center"/>
        </w:trPr>
        <w:tc>
          <w:tcPr>
            <w:tcW w:w="2146" w:type="dxa"/>
            <w:gridSpan w:val="2"/>
            <w:vMerge w:val="restart"/>
            <w:vAlign w:val="center"/>
          </w:tcPr>
          <w:p w:rsidR="00D359BE" w:rsidP="00B33D2C" w14:paraId="33236385" w14:textId="3986CA25">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船舱顶板</w:t>
            </w:r>
          </w:p>
        </w:tc>
        <w:tc>
          <w:tcPr>
            <w:tcW w:w="2129" w:type="dxa"/>
            <w:vAlign w:val="center"/>
          </w:tcPr>
          <w:p w:rsidR="00D359BE" w:rsidP="00B33D2C" w14:paraId="6FADA8AD" w14:textId="0305CB41">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高度（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742CD9FF" w14:textId="10533FFA">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4500</w:t>
            </w:r>
          </w:p>
        </w:tc>
      </w:tr>
      <w:tr w14:paraId="31666DA6" w14:textId="77777777" w:rsidTr="00B33D2C">
        <w:tblPrEx>
          <w:tblW w:w="8538" w:type="dxa"/>
          <w:jc w:val="center"/>
          <w:tblInd w:w="0" w:type="dxa"/>
          <w:tblCellMar>
            <w:top w:w="54" w:type="dxa"/>
            <w:left w:w="115" w:type="dxa"/>
            <w:right w:w="115" w:type="dxa"/>
          </w:tblCellMar>
          <w:tblLook w:val="04A0"/>
        </w:tblPrEx>
        <w:trPr>
          <w:trHeight w:val="406"/>
          <w:jc w:val="center"/>
        </w:trPr>
        <w:tc>
          <w:tcPr>
            <w:tcW w:w="0" w:type="auto"/>
            <w:gridSpan w:val="2"/>
            <w:vMerge/>
            <w:vAlign w:val="center"/>
          </w:tcPr>
          <w:p w:rsidR="00D359BE" w:rsidP="00B33D2C" w14:paraId="5278FA5E" w14:textId="77777777">
            <w:pPr>
              <w:adjustRightInd w:val="0"/>
              <w:snapToGrid w:val="0"/>
              <w:spacing w:after="160" w:line="300" w:lineRule="auto"/>
              <w:ind w:firstLine="420" w:firstLineChars="200"/>
              <w:jc w:val="center"/>
              <w:rPr>
                <w:rFonts w:ascii="Times New Roman" w:eastAsia="宋体" w:hAnsi="Times New Roman"/>
                <w:szCs w:val="21"/>
              </w:rPr>
            </w:pPr>
          </w:p>
        </w:tc>
        <w:tc>
          <w:tcPr>
            <w:tcW w:w="2129" w:type="dxa"/>
            <w:vAlign w:val="center"/>
          </w:tcPr>
          <w:p w:rsidR="00D359BE" w:rsidP="00B33D2C" w14:paraId="0629C763" w14:textId="64CA189C">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厚度（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0BD2CF46" w14:textId="381F11C2">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65</w:t>
            </w:r>
          </w:p>
        </w:tc>
      </w:tr>
      <w:tr w14:paraId="35CB9513" w14:textId="77777777" w:rsidTr="00B33D2C">
        <w:tblPrEx>
          <w:tblW w:w="8538" w:type="dxa"/>
          <w:jc w:val="center"/>
          <w:tblInd w:w="0" w:type="dxa"/>
          <w:tblCellMar>
            <w:top w:w="54" w:type="dxa"/>
            <w:left w:w="115" w:type="dxa"/>
            <w:right w:w="115" w:type="dxa"/>
          </w:tblCellMar>
          <w:tblLook w:val="04A0"/>
        </w:tblPrEx>
        <w:trPr>
          <w:trHeight w:val="408"/>
          <w:jc w:val="center"/>
        </w:trPr>
        <w:tc>
          <w:tcPr>
            <w:tcW w:w="2146" w:type="dxa"/>
            <w:gridSpan w:val="2"/>
            <w:vAlign w:val="center"/>
          </w:tcPr>
          <w:p w:rsidR="00D359BE" w:rsidP="00B33D2C" w14:paraId="41893C24" w14:textId="1AF90756">
            <w:pPr>
              <w:adjustRightInd w:val="0"/>
              <w:snapToGrid w:val="0"/>
              <w:spacing w:line="300" w:lineRule="auto"/>
              <w:ind w:left="11" w:firstLine="420" w:firstLineChars="200"/>
              <w:jc w:val="center"/>
              <w:rPr>
                <w:rFonts w:ascii="Times New Roman" w:eastAsia="宋体" w:hAnsi="Times New Roman"/>
                <w:szCs w:val="21"/>
              </w:rPr>
            </w:pPr>
            <w:r>
              <w:rPr>
                <w:rFonts w:ascii="Times New Roman" w:eastAsia="宋体" w:hAnsi="Times New Roman"/>
                <w:szCs w:val="21"/>
              </w:rPr>
              <w:t>船舱底板</w:t>
            </w:r>
          </w:p>
        </w:tc>
        <w:tc>
          <w:tcPr>
            <w:tcW w:w="2129" w:type="dxa"/>
            <w:vAlign w:val="center"/>
          </w:tcPr>
          <w:p w:rsidR="00D359BE" w:rsidP="00B33D2C" w14:paraId="48D50BD1" w14:textId="5E9B2922">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高度（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3033297E" w14:textId="0185F4B7">
            <w:pPr>
              <w:adjustRightInd w:val="0"/>
              <w:snapToGrid w:val="0"/>
              <w:spacing w:line="300" w:lineRule="auto"/>
              <w:ind w:firstLine="420" w:firstLineChars="200"/>
              <w:jc w:val="center"/>
              <w:rPr>
                <w:rFonts w:ascii="Times New Roman" w:eastAsia="宋体" w:hAnsi="Times New Roman"/>
                <w:szCs w:val="21"/>
              </w:rPr>
            </w:pPr>
            <w:r>
              <w:rPr>
                <w:rFonts w:ascii="Times New Roman" w:eastAsia="宋体" w:hAnsi="Times New Roman"/>
                <w:szCs w:val="21"/>
              </w:rPr>
              <w:t>4500</w:t>
            </w:r>
          </w:p>
        </w:tc>
      </w:tr>
      <w:tr w14:paraId="16900B33" w14:textId="77777777" w:rsidTr="00B33D2C">
        <w:tblPrEx>
          <w:tblW w:w="8538" w:type="dxa"/>
          <w:jc w:val="center"/>
          <w:tblInd w:w="0" w:type="dxa"/>
          <w:tblCellMar>
            <w:top w:w="54" w:type="dxa"/>
            <w:left w:w="115" w:type="dxa"/>
            <w:right w:w="115" w:type="dxa"/>
          </w:tblCellMar>
          <w:tblLook w:val="04A0"/>
        </w:tblPrEx>
        <w:trPr>
          <w:trHeight w:val="406"/>
          <w:jc w:val="center"/>
        </w:trPr>
        <w:tc>
          <w:tcPr>
            <w:tcW w:w="2107" w:type="dxa"/>
            <w:vAlign w:val="center"/>
          </w:tcPr>
          <w:p w:rsidR="00D359BE" w:rsidP="00B33D2C" w14:paraId="5E22CC9F" w14:textId="77777777">
            <w:pPr>
              <w:adjustRightInd w:val="0"/>
              <w:snapToGrid w:val="0"/>
              <w:spacing w:after="160" w:line="300" w:lineRule="auto"/>
              <w:ind w:firstLine="420" w:firstLineChars="200"/>
              <w:jc w:val="center"/>
              <w:rPr>
                <w:rFonts w:ascii="Times New Roman" w:eastAsia="宋体" w:hAnsi="Times New Roman"/>
                <w:szCs w:val="21"/>
              </w:rPr>
            </w:pPr>
          </w:p>
        </w:tc>
        <w:tc>
          <w:tcPr>
            <w:tcW w:w="2168" w:type="dxa"/>
            <w:gridSpan w:val="2"/>
            <w:vAlign w:val="center"/>
          </w:tcPr>
          <w:p w:rsidR="00D359BE" w:rsidP="00B33D2C" w14:paraId="7810DDFA" w14:textId="0B09D186">
            <w:pPr>
              <w:adjustRightInd w:val="0"/>
              <w:snapToGrid w:val="0"/>
              <w:spacing w:line="300" w:lineRule="auto"/>
              <w:ind w:left="2" w:firstLine="420" w:firstLineChars="200"/>
              <w:jc w:val="center"/>
              <w:rPr>
                <w:rFonts w:ascii="Times New Roman" w:eastAsia="宋体" w:hAnsi="Times New Roman"/>
                <w:szCs w:val="21"/>
              </w:rPr>
            </w:pPr>
            <w:r>
              <w:rPr>
                <w:rFonts w:ascii="Times New Roman" w:eastAsia="宋体" w:hAnsi="Times New Roman"/>
                <w:szCs w:val="21"/>
              </w:rPr>
              <w:t>厚度（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3A20C771" w14:textId="12B7A846">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20</w:t>
            </w:r>
          </w:p>
        </w:tc>
      </w:tr>
      <w:tr w14:paraId="6CDF6788" w14:textId="77777777" w:rsidTr="00B33D2C">
        <w:tblPrEx>
          <w:tblW w:w="8538" w:type="dxa"/>
          <w:jc w:val="center"/>
          <w:tblInd w:w="0" w:type="dxa"/>
          <w:tblCellMar>
            <w:top w:w="54" w:type="dxa"/>
            <w:left w:w="115" w:type="dxa"/>
            <w:right w:w="115" w:type="dxa"/>
          </w:tblCellMar>
          <w:tblLook w:val="04A0"/>
        </w:tblPrEx>
        <w:trPr>
          <w:trHeight w:val="420"/>
          <w:jc w:val="center"/>
        </w:trPr>
        <w:tc>
          <w:tcPr>
            <w:tcW w:w="4275" w:type="dxa"/>
            <w:gridSpan w:val="3"/>
            <w:vAlign w:val="center"/>
          </w:tcPr>
          <w:p w:rsidR="00D359BE" w:rsidP="00B33D2C" w14:paraId="2F0A7281" w14:textId="2ABF32F3">
            <w:pPr>
              <w:adjustRightInd w:val="0"/>
              <w:snapToGrid w:val="0"/>
              <w:spacing w:line="300" w:lineRule="auto"/>
              <w:ind w:left="12" w:firstLine="420" w:firstLineChars="200"/>
              <w:jc w:val="center"/>
              <w:rPr>
                <w:rFonts w:ascii="Times New Roman" w:eastAsia="宋体" w:hAnsi="Times New Roman"/>
                <w:szCs w:val="21"/>
              </w:rPr>
            </w:pPr>
            <w:r>
              <w:rPr>
                <w:rFonts w:ascii="Times New Roman" w:eastAsia="宋体" w:hAnsi="Times New Roman"/>
                <w:szCs w:val="21"/>
              </w:rPr>
              <w:t>单盘板厚度（</w:t>
            </w:r>
            <w:r>
              <w:rPr>
                <w:rFonts w:ascii="Times New Roman" w:eastAsia="宋体" w:hAnsi="Times New Roman"/>
                <w:szCs w:val="21"/>
              </w:rPr>
              <w:t>mm</w:t>
            </w:r>
            <w:r>
              <w:rPr>
                <w:rFonts w:ascii="Times New Roman" w:eastAsia="宋体" w:hAnsi="Times New Roman"/>
                <w:szCs w:val="21"/>
              </w:rPr>
              <w:t>）</w:t>
            </w:r>
          </w:p>
        </w:tc>
        <w:tc>
          <w:tcPr>
            <w:tcW w:w="4263" w:type="dxa"/>
            <w:vAlign w:val="center"/>
          </w:tcPr>
          <w:p w:rsidR="00D359BE" w:rsidP="00B33D2C" w14:paraId="3ED78393" w14:textId="0412683D">
            <w:pPr>
              <w:adjustRightInd w:val="0"/>
              <w:snapToGrid w:val="0"/>
              <w:spacing w:line="300" w:lineRule="auto"/>
              <w:ind w:right="5" w:firstLine="420" w:firstLineChars="200"/>
              <w:jc w:val="center"/>
              <w:rPr>
                <w:rFonts w:ascii="Times New Roman" w:eastAsia="宋体" w:hAnsi="Times New Roman"/>
                <w:szCs w:val="21"/>
              </w:rPr>
            </w:pPr>
            <w:r>
              <w:rPr>
                <w:rFonts w:ascii="Times New Roman" w:eastAsia="宋体" w:hAnsi="Times New Roman"/>
                <w:szCs w:val="21"/>
              </w:rPr>
              <w:t>20</w:t>
            </w:r>
          </w:p>
        </w:tc>
      </w:tr>
    </w:tbl>
    <w:p>
      <w:pPr>
        <w:sectPr>
          <w:headerReference w:type="even" r:id="rId126"/>
          <w:headerReference w:type="default" r:id="rId127"/>
          <w:footerReference w:type="even" r:id="rId128"/>
          <w:footerReference w:type="default" r:id="rId129"/>
          <w:headerReference w:type="first" r:id="rId130"/>
          <w:footerReference w:type="first" r:id="rId131"/>
          <w:type w:val="nextPage"/>
          <w:pgSz w:w="11906" w:h="16838"/>
          <w:pgMar w:top="1985" w:right="1418" w:bottom="1418" w:left="1418" w:header="1417" w:footer="1134" w:gutter="0"/>
          <w:pgNumType w:start="12"/>
          <w:cols w:space="425"/>
          <w:titlePg w:val="0"/>
          <w:docGrid w:linePitch="312"/>
        </w:sectPr>
      </w:pPr>
    </w:p>
    <w:p w:rsidR="00D359BE" w:rsidRPr="001C2293" w:rsidP="001C2293" w14:paraId="29FB7E03" w14:textId="19E02609">
      <w:pPr>
        <w:pStyle w:val="Heading2"/>
        <w:adjustRightInd w:val="0"/>
        <w:snapToGrid w:val="0"/>
        <w:spacing w:before="120" w:beforeLines="50" w:after="0" w:line="360" w:lineRule="auto"/>
        <w:rPr>
          <w:rFonts w:ascii="Times New Roman" w:hAnsi="Times New Roman" w:cs="Times New Roman"/>
          <w:b w:val="0"/>
        </w:rPr>
      </w:pPr>
      <w:bookmarkStart w:id="43" w:name="_Toc517533814"/>
      <w:bookmarkStart w:id="44" w:name="_Toc294692589"/>
      <w:bookmarkStart w:id="45" w:name="_Toc262902802"/>
      <w:bookmarkStart w:id="46" w:name="_Toc135660727"/>
      <w:bookmarkStart w:id="47" w:name="_Toc99293291"/>
      <w:r w:rsidRPr="001C2293">
        <w:rPr>
          <w:rFonts w:ascii="Times New Roman" w:hAnsi="Times New Roman" w:cs="Times New Roman"/>
          <w:b w:val="0"/>
        </w:rPr>
        <w:t>3.3</w:t>
      </w:r>
      <w:r w:rsidRPr="001C2293" w:rsidR="007C777D">
        <w:rPr>
          <w:rFonts w:ascii="Times New Roman" w:hAnsi="Times New Roman" w:cs="Times New Roman" w:hint="eastAsia"/>
          <w:b w:val="0"/>
        </w:rPr>
        <w:t xml:space="preserve"> </w:t>
      </w:r>
      <w:r w:rsidRPr="001C2293">
        <w:rPr>
          <w:rFonts w:ascii="Times New Roman" w:hAnsi="Times New Roman" w:cs="Times New Roman"/>
          <w:b w:val="0"/>
        </w:rPr>
        <w:t>罐区布置及防火堤高度的确定</w:t>
      </w:r>
      <w:bookmarkEnd w:id="43"/>
      <w:bookmarkEnd w:id="44"/>
      <w:bookmarkEnd w:id="45"/>
      <w:bookmarkEnd w:id="46"/>
    </w:p>
    <w:p w:rsidR="00D359BE" w:rsidP="00F14C2B" w14:paraId="301E0777" w14:textId="77777777">
      <w:pPr>
        <w:pStyle w:val="NormalWeb"/>
        <w:adjustRightInd w:val="0"/>
        <w:snapToGrid w:val="0"/>
        <w:spacing w:before="0" w:beforeAutospacing="0" w:after="0" w:afterAutospacing="0" w:line="300" w:lineRule="auto"/>
        <w:ind w:firstLine="480" w:firstLineChars="200"/>
        <w:rPr>
          <w:rFonts w:ascii="Times New Roman" w:hAnsi="Times New Roman" w:cs="Times New Roman"/>
        </w:rPr>
      </w:pPr>
      <w:r>
        <w:rPr>
          <w:rFonts w:ascii="Times New Roman" w:hAnsi="Times New Roman" w:cs="Times New Roman" w:hint="eastAsia"/>
        </w:rPr>
        <w:t>根据</w:t>
      </w:r>
      <w:bookmarkStart w:id="48" w:name="_Hlk133154345"/>
      <w:r>
        <w:rPr>
          <w:rFonts w:ascii="Times New Roman" w:hAnsi="Times New Roman" w:cs="Times New Roman" w:hint="eastAsia"/>
        </w:rPr>
        <w:t>《石油化工防火堤设计规范》</w:t>
      </w:r>
      <w:r>
        <w:rPr>
          <w:rFonts w:ascii="Times New Roman" w:hAnsi="Times New Roman" w:cs="Times New Roman" w:hint="eastAsia"/>
        </w:rPr>
        <w:t>SH</w:t>
      </w:r>
      <w:r>
        <w:rPr>
          <w:rFonts w:ascii="Times New Roman" w:hAnsi="Times New Roman" w:cs="Times New Roman"/>
        </w:rPr>
        <w:t>3125-2017</w:t>
      </w:r>
      <w:bookmarkEnd w:id="48"/>
      <w:r>
        <w:rPr>
          <w:rFonts w:hint="eastAsia"/>
        </w:rPr>
        <w:t>对于每一个罐区的位置，</w:t>
      </w:r>
      <w:r w:rsidRPr="00F14C2B">
        <w:rPr>
          <w:sz w:val="21"/>
          <w:szCs w:val="21"/>
          <w:vertAlign w:val="superscript"/>
        </w:rPr>
        <w:fldChar w:fldCharType="begin"/>
      </w:r>
      <w:r w:rsidRPr="00F14C2B">
        <w:rPr>
          <w:sz w:val="21"/>
          <w:szCs w:val="21"/>
          <w:vertAlign w:val="superscript"/>
        </w:rPr>
        <w:instrText xml:space="preserve"> </w:instrText>
      </w:r>
      <w:r w:rsidRPr="00F14C2B">
        <w:rPr>
          <w:rFonts w:hint="eastAsia"/>
          <w:sz w:val="21"/>
          <w:szCs w:val="21"/>
          <w:vertAlign w:val="superscript"/>
        </w:rPr>
        <w:instrText>REF _Ref135493065 \r \h</w:instrText>
      </w:r>
      <w:r w:rsidRPr="00F14C2B">
        <w:rPr>
          <w:sz w:val="21"/>
          <w:szCs w:val="21"/>
          <w:vertAlign w:val="superscript"/>
        </w:rPr>
        <w:instrText xml:space="preserve">  \* MERGEFORMAT </w:instrText>
      </w:r>
      <w:r w:rsidRPr="00F14C2B">
        <w:rPr>
          <w:sz w:val="21"/>
          <w:szCs w:val="21"/>
          <w:vertAlign w:val="superscript"/>
        </w:rPr>
        <w:fldChar w:fldCharType="separate"/>
      </w:r>
      <w:r w:rsidRPr="00F14C2B">
        <w:rPr>
          <w:sz w:val="21"/>
          <w:szCs w:val="21"/>
          <w:vertAlign w:val="superscript"/>
        </w:rPr>
        <w:t>[18]</w:t>
      </w:r>
      <w:r w:rsidRPr="00F14C2B">
        <w:rPr>
          <w:sz w:val="21"/>
          <w:szCs w:val="21"/>
          <w:vertAlign w:val="superscript"/>
        </w:rPr>
        <w:fldChar w:fldCharType="end"/>
      </w:r>
      <w:r>
        <w:rPr>
          <w:rFonts w:hint="eastAsia"/>
        </w:rPr>
        <w:t>我们会经过反复的调整，使每个罐区的面积和防火墙的高度达到一个最小值，从而达到防火墙的高度也能够达到规范要求。</w:t>
      </w:r>
      <w:r>
        <w:rPr>
          <w:rFonts w:ascii="Times New Roman" w:hAnsi="Times New Roman" w:cs="Times New Roman" w:hint="eastAsia"/>
        </w:rPr>
        <w:t>各油罐之间的防火距离参照如表</w:t>
      </w:r>
      <w:r>
        <w:rPr>
          <w:rFonts w:ascii="Times New Roman" w:hAnsi="Times New Roman" w:cs="Times New Roman" w:hint="eastAsia"/>
        </w:rPr>
        <w:t>3</w:t>
      </w:r>
      <w:r>
        <w:rPr>
          <w:rFonts w:ascii="Times New Roman" w:hAnsi="Times New Roman" w:cs="Times New Roman"/>
        </w:rPr>
        <w:t>.7</w:t>
      </w:r>
      <w:r>
        <w:rPr>
          <w:rFonts w:ascii="Times New Roman" w:hAnsi="Times New Roman" w:cs="Times New Roman" w:hint="eastAsia"/>
        </w:rPr>
        <w:t>。</w:t>
      </w:r>
    </w:p>
    <w:p w:rsidR="00D359BE" w:rsidP="00F14C2B" w14:paraId="0B1139EC" w14:textId="77777777">
      <w:pPr>
        <w:adjustRightInd w:val="0"/>
        <w:snapToGrid w:val="0"/>
        <w:spacing w:line="30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表</w:t>
      </w:r>
      <w:r>
        <w:rPr>
          <w:rFonts w:ascii="Times New Roman" w:eastAsia="宋体" w:hAnsi="Times New Roman" w:cs="Times New Roman" w:hint="eastAsia"/>
          <w:bCs/>
          <w:szCs w:val="21"/>
        </w:rPr>
        <w:t>3.</w:t>
      </w:r>
      <w:r>
        <w:rPr>
          <w:rFonts w:ascii="Times New Roman" w:eastAsia="宋体" w:hAnsi="Times New Roman" w:cs="Times New Roman"/>
          <w:bCs/>
          <w:szCs w:val="21"/>
        </w:rPr>
        <w:t>7</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油罐之间的防火距离参照</w:t>
      </w:r>
      <w:r>
        <w:rPr>
          <w:rFonts w:ascii="Times New Roman" w:eastAsia="宋体" w:hAnsi="Times New Roman" w:cs="Times New Roman"/>
          <w:bCs/>
          <w:color w:val="FFFFFF"/>
          <w:sz w:val="0"/>
          <w:szCs w:val="24"/>
        </w:rPr>
        <w:t>计</w:t>
      </w:r>
    </w:p>
    <w:tbl>
      <w:tblPr>
        <w:tblStyle w:val="13"/>
        <w:tblW w:w="0" w:type="auto"/>
        <w:jc w:val="center"/>
        <w:tblBorders>
          <w:top w:val="single" w:sz="4" w:space="0" w:color="auto"/>
          <w:bottom w:val="single" w:sz="4" w:space="0" w:color="auto"/>
          <w:insideH w:val="none" w:sz="0" w:space="0" w:color="auto"/>
          <w:insideV w:val="none" w:sz="0" w:space="0" w:color="auto"/>
        </w:tblBorders>
        <w:tblLook w:val="04A0"/>
      </w:tblPr>
      <w:tblGrid>
        <w:gridCol w:w="1701"/>
        <w:gridCol w:w="4253"/>
        <w:gridCol w:w="1984"/>
      </w:tblGrid>
      <w:tr w14:paraId="05C046A9" w14:textId="77777777" w:rsidTr="00F14C2B">
        <w:tblPrEx>
          <w:tblW w:w="0" w:type="auto"/>
          <w:jc w:val="center"/>
          <w:tblBorders>
            <w:top w:val="single" w:sz="4" w:space="0" w:color="auto"/>
            <w:bottom w:val="single" w:sz="4" w:space="0" w:color="auto"/>
            <w:insideH w:val="none" w:sz="0" w:space="0" w:color="auto"/>
            <w:insideV w:val="none" w:sz="0" w:space="0" w:color="auto"/>
          </w:tblBorders>
          <w:tblLook w:val="04A0"/>
        </w:tblPrEx>
        <w:trPr>
          <w:trHeight w:val="519"/>
          <w:jc w:val="center"/>
        </w:trPr>
        <w:tc>
          <w:tcPr>
            <w:tcW w:w="1701" w:type="dxa"/>
            <w:tcBorders>
              <w:top w:val="single" w:sz="4" w:space="0" w:color="auto"/>
              <w:bottom w:val="single" w:sz="4" w:space="0" w:color="auto"/>
            </w:tcBorders>
          </w:tcPr>
          <w:p w:rsidR="00D359BE" w:rsidP="00F14C2B" w14:paraId="2EE7D679"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油品类别</w:t>
            </w:r>
          </w:p>
        </w:tc>
        <w:tc>
          <w:tcPr>
            <w:tcW w:w="4253" w:type="dxa"/>
            <w:tcBorders>
              <w:top w:val="single" w:sz="4" w:space="0" w:color="auto"/>
              <w:bottom w:val="single" w:sz="4" w:space="0" w:color="auto"/>
            </w:tcBorders>
          </w:tcPr>
          <w:p w:rsidR="00D359BE" w:rsidP="00F14C2B" w14:paraId="0F1B9B3B"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地上</w:t>
            </w:r>
            <w:r>
              <w:rPr>
                <w:rFonts w:ascii="Times New Roman" w:hAnsi="Times New Roman" w:cs="Times New Roman"/>
                <w:szCs w:val="21"/>
              </w:rPr>
              <w:t>固定顶罐</w:t>
            </w:r>
          </w:p>
        </w:tc>
        <w:tc>
          <w:tcPr>
            <w:tcW w:w="1984" w:type="dxa"/>
            <w:tcBorders>
              <w:top w:val="single" w:sz="4" w:space="0" w:color="auto"/>
              <w:bottom w:val="single" w:sz="4" w:space="0" w:color="auto"/>
            </w:tcBorders>
          </w:tcPr>
          <w:p w:rsidR="00D359BE" w:rsidP="00F14C2B" w14:paraId="311ECD8C"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内</w:t>
            </w:r>
            <w:r>
              <w:rPr>
                <w:rFonts w:ascii="Times New Roman" w:hAnsi="Times New Roman" w:cs="Times New Roman"/>
                <w:szCs w:val="21"/>
              </w:rPr>
              <w:t>浮顶罐</w:t>
            </w:r>
          </w:p>
        </w:tc>
      </w:tr>
      <w:tr w14:paraId="1690C684" w14:textId="77777777" w:rsidTr="00F14C2B">
        <w:tblPrEx>
          <w:tblW w:w="0" w:type="auto"/>
          <w:jc w:val="center"/>
          <w:tblLook w:val="04A0"/>
        </w:tblPrEx>
        <w:trPr>
          <w:trHeight w:val="1071"/>
          <w:jc w:val="center"/>
        </w:trPr>
        <w:tc>
          <w:tcPr>
            <w:tcW w:w="1701" w:type="dxa"/>
            <w:tcBorders>
              <w:top w:val="single" w:sz="4" w:space="0" w:color="auto"/>
            </w:tcBorders>
          </w:tcPr>
          <w:p w:rsidR="00D359BE" w:rsidP="00F14C2B" w14:paraId="3C6369DB"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甲、乙类</w:t>
            </w:r>
          </w:p>
        </w:tc>
        <w:tc>
          <w:tcPr>
            <w:tcW w:w="4253" w:type="dxa"/>
            <w:tcBorders>
              <w:top w:val="single" w:sz="4" w:space="0" w:color="auto"/>
            </w:tcBorders>
          </w:tcPr>
          <w:p w:rsidR="00D359BE" w:rsidP="00F14C2B" w14:paraId="4CE0D3B2"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1000</w:t>
            </w:r>
            <w:r>
              <w:rPr>
                <w:rFonts w:ascii="Times New Roman" w:hAnsi="Times New Roman" w:cs="Times New Roman"/>
                <w:szCs w:val="21"/>
              </w:rPr>
              <w:t>立方米的油罐：</w:t>
            </w:r>
            <w:r>
              <w:rPr>
                <w:rFonts w:ascii="Times New Roman" w:hAnsi="Times New Roman" w:cs="Times New Roman"/>
                <w:szCs w:val="21"/>
              </w:rPr>
              <w:t>0.6</w:t>
            </w:r>
            <w:r>
              <w:rPr>
                <w:rFonts w:ascii="Times New Roman" w:hAnsi="Times New Roman" w:cs="Times New Roman"/>
                <w:i/>
                <w:szCs w:val="21"/>
              </w:rPr>
              <w:t>D</w:t>
            </w:r>
            <w:r>
              <w:rPr>
                <w:rFonts w:ascii="Times New Roman" w:hAnsi="Times New Roman" w:cs="Times New Roman"/>
                <w:szCs w:val="21"/>
              </w:rPr>
              <w:t>且不大于</w:t>
            </w:r>
            <w:r>
              <w:rPr>
                <w:rFonts w:ascii="Times New Roman" w:hAnsi="Times New Roman" w:cs="Times New Roman"/>
                <w:szCs w:val="21"/>
              </w:rPr>
              <w:t>20m</w:t>
            </w:r>
          </w:p>
          <w:p w:rsidR="00D359BE" w:rsidP="00F14C2B" w14:paraId="68262509"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1000</w:t>
            </w:r>
            <w:r>
              <w:rPr>
                <w:rFonts w:ascii="Times New Roman" w:hAnsi="Times New Roman" w:cs="Times New Roman"/>
                <w:szCs w:val="21"/>
              </w:rPr>
              <w:t>立方米以下的油罐：</w:t>
            </w:r>
            <w:r>
              <w:rPr>
                <w:rFonts w:ascii="Times New Roman" w:hAnsi="Times New Roman" w:cs="Times New Roman"/>
                <w:szCs w:val="21"/>
              </w:rPr>
              <w:t>0.6</w:t>
            </w:r>
            <w:r>
              <w:rPr>
                <w:rFonts w:ascii="Times New Roman" w:hAnsi="Times New Roman" w:cs="Times New Roman"/>
                <w:i/>
                <w:szCs w:val="21"/>
              </w:rPr>
              <w:t>D</w:t>
            </w:r>
          </w:p>
        </w:tc>
        <w:tc>
          <w:tcPr>
            <w:tcW w:w="1984" w:type="dxa"/>
            <w:tcBorders>
              <w:top w:val="single" w:sz="4" w:space="0" w:color="auto"/>
            </w:tcBorders>
          </w:tcPr>
          <w:p w:rsidR="00D359BE" w:rsidP="00F14C2B" w14:paraId="1A67AE27"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0.4</w:t>
            </w:r>
            <w:r>
              <w:rPr>
                <w:rFonts w:ascii="Times New Roman" w:hAnsi="Times New Roman" w:cs="Times New Roman"/>
                <w:i/>
                <w:szCs w:val="21"/>
              </w:rPr>
              <w:t>D</w:t>
            </w:r>
            <w:r>
              <w:rPr>
                <w:rFonts w:ascii="Times New Roman" w:hAnsi="Times New Roman" w:cs="Times New Roman"/>
                <w:szCs w:val="21"/>
              </w:rPr>
              <w:t>且不大于</w:t>
            </w:r>
            <w:r>
              <w:rPr>
                <w:rFonts w:ascii="Times New Roman" w:hAnsi="Times New Roman" w:cs="Times New Roman"/>
                <w:szCs w:val="21"/>
              </w:rPr>
              <w:t>20m</w:t>
            </w:r>
          </w:p>
        </w:tc>
      </w:tr>
      <w:tr w14:paraId="78627863" w14:textId="77777777" w:rsidTr="00F14C2B">
        <w:tblPrEx>
          <w:tblW w:w="0" w:type="auto"/>
          <w:jc w:val="center"/>
          <w:tblLook w:val="04A0"/>
        </w:tblPrEx>
        <w:trPr>
          <w:trHeight w:val="469"/>
          <w:jc w:val="center"/>
        </w:trPr>
        <w:tc>
          <w:tcPr>
            <w:tcW w:w="1701" w:type="dxa"/>
          </w:tcPr>
          <w:p w:rsidR="00D359BE" w:rsidP="00F14C2B" w14:paraId="4B1C8035"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丙</w:t>
            </w:r>
            <w:r>
              <w:rPr>
                <w:rFonts w:ascii="Times New Roman" w:hAnsi="Times New Roman" w:cs="Times New Roman"/>
                <w:szCs w:val="21"/>
              </w:rPr>
              <w:t>A</w:t>
            </w:r>
            <w:r>
              <w:rPr>
                <w:rFonts w:ascii="Times New Roman" w:hAnsi="Times New Roman" w:cs="Times New Roman"/>
                <w:szCs w:val="21"/>
              </w:rPr>
              <w:t>类</w:t>
            </w:r>
          </w:p>
        </w:tc>
        <w:tc>
          <w:tcPr>
            <w:tcW w:w="4253" w:type="dxa"/>
          </w:tcPr>
          <w:p w:rsidR="00D359BE" w:rsidP="00F14C2B" w14:paraId="1F6F4B52"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0.4D</w:t>
            </w:r>
            <w:r>
              <w:rPr>
                <w:rFonts w:ascii="Times New Roman" w:hAnsi="Times New Roman" w:cs="Times New Roman"/>
                <w:szCs w:val="21"/>
              </w:rPr>
              <w:t>宜不大于</w:t>
            </w:r>
            <w:r>
              <w:rPr>
                <w:rFonts w:ascii="Times New Roman" w:hAnsi="Times New Roman" w:cs="Times New Roman"/>
                <w:szCs w:val="21"/>
              </w:rPr>
              <w:t>15m</w:t>
            </w:r>
          </w:p>
        </w:tc>
        <w:tc>
          <w:tcPr>
            <w:tcW w:w="1984" w:type="dxa"/>
          </w:tcPr>
          <w:p w:rsidR="00D359BE" w:rsidP="00F14C2B" w14:paraId="0BA94902" w14:textId="77777777">
            <w:pPr>
              <w:adjustRightInd w:val="0"/>
              <w:snapToGrid w:val="0"/>
              <w:spacing w:line="300" w:lineRule="auto"/>
              <w:jc w:val="center"/>
              <w:rPr>
                <w:rFonts w:ascii="Times New Roman" w:hAnsi="Times New Roman" w:cs="Times New Roman"/>
                <w:szCs w:val="21"/>
              </w:rPr>
            </w:pPr>
          </w:p>
        </w:tc>
      </w:tr>
      <w:tr w14:paraId="7CFF7F3C" w14:textId="77777777" w:rsidTr="00F14C2B">
        <w:tblPrEx>
          <w:tblW w:w="0" w:type="auto"/>
          <w:jc w:val="center"/>
          <w:tblLook w:val="04A0"/>
        </w:tblPrEx>
        <w:trPr>
          <w:trHeight w:val="729"/>
          <w:jc w:val="center"/>
        </w:trPr>
        <w:tc>
          <w:tcPr>
            <w:tcW w:w="1701" w:type="dxa"/>
          </w:tcPr>
          <w:p w:rsidR="00D359BE" w:rsidP="00F14C2B" w14:paraId="74B163AD"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丙</w:t>
            </w:r>
            <w:r>
              <w:rPr>
                <w:rFonts w:ascii="Times New Roman" w:hAnsi="Times New Roman" w:cs="Times New Roman"/>
                <w:szCs w:val="21"/>
              </w:rPr>
              <w:t>B</w:t>
            </w:r>
            <w:r>
              <w:rPr>
                <w:rFonts w:ascii="Times New Roman" w:hAnsi="Times New Roman" w:cs="Times New Roman"/>
                <w:szCs w:val="21"/>
              </w:rPr>
              <w:t>类</w:t>
            </w:r>
          </w:p>
        </w:tc>
        <w:tc>
          <w:tcPr>
            <w:tcW w:w="4253" w:type="dxa"/>
          </w:tcPr>
          <w:p w:rsidR="00D359BE" w:rsidP="00F14C2B" w14:paraId="5449CB79"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大于</w:t>
            </w:r>
            <w:r>
              <w:rPr>
                <w:rFonts w:ascii="Times New Roman" w:hAnsi="Times New Roman" w:cs="Times New Roman"/>
                <w:szCs w:val="21"/>
              </w:rPr>
              <w:t>1000</w:t>
            </w:r>
            <w:r>
              <w:rPr>
                <w:rFonts w:ascii="Times New Roman" w:hAnsi="Times New Roman" w:cs="Times New Roman"/>
                <w:szCs w:val="21"/>
              </w:rPr>
              <w:t>立方米油罐：</w:t>
            </w:r>
            <w:r>
              <w:rPr>
                <w:rFonts w:ascii="Times New Roman" w:hAnsi="Times New Roman" w:cs="Times New Roman"/>
                <w:szCs w:val="21"/>
              </w:rPr>
              <w:t>5m</w:t>
            </w:r>
          </w:p>
          <w:p w:rsidR="00D359BE" w:rsidP="00F14C2B" w14:paraId="2E0FC2E4" w14:textId="77777777">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不大于</w:t>
            </w:r>
            <w:r>
              <w:rPr>
                <w:rFonts w:ascii="Times New Roman" w:hAnsi="Times New Roman" w:cs="Times New Roman"/>
                <w:szCs w:val="21"/>
              </w:rPr>
              <w:t>1000</w:t>
            </w:r>
            <w:r>
              <w:rPr>
                <w:rFonts w:ascii="Times New Roman" w:hAnsi="Times New Roman" w:cs="Times New Roman"/>
                <w:szCs w:val="21"/>
              </w:rPr>
              <w:t>立方米油罐：</w:t>
            </w:r>
            <w:r>
              <w:rPr>
                <w:rFonts w:ascii="Times New Roman" w:hAnsi="Times New Roman" w:cs="Times New Roman"/>
                <w:szCs w:val="21"/>
              </w:rPr>
              <w:t>2m</w:t>
            </w:r>
          </w:p>
        </w:tc>
        <w:tc>
          <w:tcPr>
            <w:tcW w:w="1984" w:type="dxa"/>
          </w:tcPr>
          <w:p w:rsidR="00D359BE" w:rsidP="00F14C2B" w14:paraId="2DB467D1" w14:textId="77777777">
            <w:pPr>
              <w:adjustRightInd w:val="0"/>
              <w:snapToGrid w:val="0"/>
              <w:spacing w:line="300" w:lineRule="auto"/>
              <w:jc w:val="center"/>
              <w:rPr>
                <w:rFonts w:ascii="Times New Roman" w:hAnsi="Times New Roman" w:cs="Times New Roman"/>
                <w:szCs w:val="21"/>
              </w:rPr>
            </w:pPr>
          </w:p>
        </w:tc>
      </w:tr>
    </w:tbl>
    <w:p w:rsidR="00D359BE" w14:paraId="70C1177B" w14:textId="77777777">
      <w:bookmarkStart w:id="49" w:name="_Toc294692590"/>
      <w:bookmarkStart w:id="50" w:name="_Toc262902803"/>
      <w:bookmarkStart w:id="51" w:name="_Toc517533815"/>
    </w:p>
    <w:p w:rsidR="00D359BE" w:rsidP="00F14C2B" w14:paraId="3AAEBF19" w14:textId="471FEE27">
      <w:pPr>
        <w:pStyle w:val="Heading3"/>
        <w:adjustRightInd w:val="0"/>
        <w:snapToGrid w:val="0"/>
        <w:spacing w:before="120" w:beforeLines="50" w:after="0" w:line="360" w:lineRule="auto"/>
        <w:rPr>
          <w:rFonts w:ascii="黑体" w:hAnsi="黑体"/>
          <w:b w:val="0"/>
          <w:bCs w:val="0"/>
        </w:rPr>
      </w:pPr>
      <w:bookmarkStart w:id="52" w:name="_Toc135660728"/>
      <w:r w:rsidRPr="00092AA8">
        <w:rPr>
          <w:rFonts w:ascii="Times New Roman" w:hAnsi="Times New Roman" w:cs="Times New Roman" w:hint="cs"/>
          <w:b w:val="0"/>
          <w:bCs w:val="0"/>
          <w:kern w:val="44"/>
          <w:szCs w:val="24"/>
        </w:rPr>
        <w:t>3</w:t>
      </w:r>
      <w:r w:rsidRPr="00092AA8">
        <w:rPr>
          <w:rFonts w:ascii="Times New Roman" w:hAnsi="Times New Roman" w:cs="Times New Roman"/>
          <w:b w:val="0"/>
          <w:bCs w:val="0"/>
          <w:kern w:val="44"/>
          <w:szCs w:val="24"/>
        </w:rPr>
        <w:t>.3.1</w:t>
      </w:r>
      <w:r w:rsidR="007C777D">
        <w:rPr>
          <w:rFonts w:ascii="Times New Roman" w:hAnsi="Times New Roman" w:cs="Times New Roman" w:hint="eastAsia"/>
          <w:b w:val="0"/>
          <w:bCs w:val="0"/>
          <w:kern w:val="44"/>
          <w:szCs w:val="24"/>
        </w:rPr>
        <w:t xml:space="preserve"> </w:t>
      </w:r>
      <w:r>
        <w:rPr>
          <w:rFonts w:ascii="黑体" w:hAnsi="黑体" w:hint="eastAsia"/>
          <w:b w:val="0"/>
          <w:bCs w:val="0"/>
        </w:rPr>
        <w:t>汽油及航空汽油罐区</w:t>
      </w:r>
      <w:bookmarkEnd w:id="49"/>
      <w:bookmarkEnd w:id="50"/>
      <w:bookmarkEnd w:id="51"/>
      <w:bookmarkEnd w:id="52"/>
    </w:p>
    <w:p w:rsidR="00D359BE" w14:paraId="5CE5EDD5" w14:textId="77777777">
      <w:pPr>
        <w:snapToGrid w:val="0"/>
        <w:spacing w:line="300" w:lineRule="auto"/>
        <w:rPr>
          <w:rFonts w:ascii="Times New Roman" w:eastAsia="宋体" w:hAnsi="Times New Roman" w:cs="Times New Roman"/>
          <w:bCs/>
          <w:szCs w:val="21"/>
        </w:rPr>
      </w:pPr>
    </w:p>
    <w:tbl>
      <w:tblPr>
        <w:tblStyle w:val="TableNormal"/>
        <w:tblpPr w:leftFromText="180" w:rightFromText="180" w:vertAnchor="text" w:horzAnchor="page" w:tblpX="1709" w:tblpY="325"/>
        <w:tblOverlap w:val="never"/>
        <w:tblW w:w="86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41"/>
        <w:gridCol w:w="1750"/>
      </w:tblGrid>
      <w:tr w14:paraId="1095982B" w14:textId="77777777">
        <w:tblPrEx>
          <w:tblW w:w="86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932"/>
        </w:trPr>
        <w:tc>
          <w:tcPr>
            <w:tcW w:w="6941" w:type="dxa"/>
          </w:tcPr>
          <w:p w:rsidR="00D359BE" w14:paraId="7BE1F6B7" w14:textId="77777777">
            <w:pPr>
              <w:spacing w:line="400" w:lineRule="atLeast"/>
              <w:jc w:val="center"/>
              <w:rPr>
                <w:rFonts w:ascii="Times New Roman" w:eastAsia="宋体" w:hAnsi="Times New Roman" w:cs="Times New Roman"/>
                <w:sz w:val="24"/>
                <w:szCs w:val="24"/>
              </w:rPr>
            </w:pPr>
          </w:p>
          <w:p w:rsidR="00D359BE" w14:paraId="26C2D1BA" w14:textId="77777777">
            <w:pPr>
              <w:spacing w:line="400" w:lineRule="atLeast"/>
              <w:jc w:val="left"/>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675648" behindDoc="0" locked="0" layoutInCell="1" allowOverlap="1">
                      <wp:simplePos x="0" y="0"/>
                      <wp:positionH relativeFrom="column">
                        <wp:posOffset>3403600</wp:posOffset>
                      </wp:positionH>
                      <wp:positionV relativeFrom="paragraph">
                        <wp:posOffset>119380</wp:posOffset>
                      </wp:positionV>
                      <wp:extent cx="685800" cy="693420"/>
                      <wp:effectExtent l="6350" t="6350" r="8890" b="16510"/>
                      <wp:wrapNone/>
                      <wp:docPr id="22" name="流程图: 接点 2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Times New Roman" w:hAnsi="Times New Roman" w:cs="Times New Roman"/>
                                    </w:rPr>
                                  </w:pPr>
                                  <w:r>
                                    <w:rPr>
                                      <w:rFonts w:ascii="Times New Roman" w:hAnsi="Times New Roman" w:cs="Times New Roman"/>
                                    </w:rPr>
                                    <w:t>95</w:t>
                                  </w:r>
                                  <w:r>
                                    <w:rPr>
                                      <w:rFonts w:ascii="Times New Roman" w:hAnsi="Times New Roman" w:cs="Times New Roman"/>
                                      <w:vertAlign w:val="superscript"/>
                                    </w:rPr>
                                    <w:t>#</w:t>
                                  </w:r>
                                </w:p>
                              </w:txbxContent>
                            </wps:txbx>
                            <wps:bodyPr rot="0" vert="horz" wrap="square" lIns="91440" tIns="45720" rIns="91440" bIns="45720" anchor="t" anchorCtr="0" upright="1"/>
                          </wps:wsp>
                        </a:graphicData>
                      </a:graphic>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流程图: 接点 22" o:spid="_x0000_s1034" type="#_x0000_t120" style="width:54pt;height:54.6pt;margin-top:9.4pt;margin-left:268pt;mso-wrap-distance-bottom:0;mso-wrap-distance-left:9pt;mso-wrap-distance-right:9pt;mso-wrap-distance-top:0;position:absolute;v-text-anchor:top;z-index:251674624" fillcolor="white" stroked="t" strokecolor="black" strokeweight="1pt">
                      <v:textbox>
                        <w:txbxContent>
                          <w:p w:rsidR="00CA7143" w14:paraId="60263E9F" w14:textId="77777777">
                            <w:pPr>
                              <w:jc w:val="center"/>
                              <w:rPr>
                                <w:rFonts w:ascii="Times New Roman" w:hAnsi="Times New Roman" w:cs="Times New Roman"/>
                              </w:rPr>
                            </w:pPr>
                            <w:r>
                              <w:rPr>
                                <w:rFonts w:ascii="Times New Roman" w:hAnsi="Times New Roman" w:cs="Times New Roman"/>
                              </w:rPr>
                              <w:t>95</w:t>
                            </w:r>
                            <w:r>
                              <w:rPr>
                                <w:rFonts w:ascii="Times New Roman" w:hAnsi="Times New Roman" w:cs="Times New Roman"/>
                                <w:vertAlign w:val="superscript"/>
                              </w:rPr>
                              <w:t>#</w:t>
                            </w:r>
                          </w:p>
                        </w:txbxContent>
                      </v:textbox>
                    </v:shape>
                  </w:pict>
                </mc:Fallback>
              </mc:AlternateContent>
            </w:r>
            <w:r>
              <w:rPr>
                <w:rFonts w:ascii="Times New Roman" w:eastAsia="宋体" w:hAnsi="Times New Roman" w:cs="Times New Roman" w:hint="eastAsia"/>
                <w:noProof/>
                <w:sz w:val="24"/>
                <w:szCs w:val="24"/>
              </w:rPr>
              <mc:AlternateContent>
                <mc:Choice Requires="wps">
                  <w:drawing>
                    <wp:anchor distT="0" distB="0" distL="114300" distR="114300" simplePos="0" relativeHeight="251667456" behindDoc="0" locked="0" layoutInCell="1" allowOverlap="1">
                      <wp:simplePos x="0" y="0"/>
                      <wp:positionH relativeFrom="column">
                        <wp:posOffset>2356485</wp:posOffset>
                      </wp:positionH>
                      <wp:positionV relativeFrom="paragraph">
                        <wp:posOffset>114300</wp:posOffset>
                      </wp:positionV>
                      <wp:extent cx="685800" cy="693420"/>
                      <wp:effectExtent l="6350" t="6350" r="8890" b="16510"/>
                      <wp:wrapNone/>
                      <wp:docPr id="18" name="流程图: 接点 1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Times New Roman" w:hAnsi="Times New Roman" w:cs="Times New Roman"/>
                                    </w:rPr>
                                  </w:pPr>
                                  <w:r>
                                    <w:rPr>
                                      <w:rFonts w:ascii="Times New Roman" w:hAnsi="Times New Roman" w:cs="Times New Roman"/>
                                    </w:rPr>
                                    <w:t>95</w:t>
                                  </w:r>
                                  <w:r>
                                    <w:rPr>
                                      <w:rFonts w:ascii="Times New Roman" w:hAnsi="Times New Roman" w:cs="Times New Roman"/>
                                      <w:vertAlign w:val="superscript"/>
                                    </w:rPr>
                                    <w:t>#</w:t>
                                  </w:r>
                                </w:p>
                              </w:txbxContent>
                            </wps:txbx>
                            <wps:bodyPr rot="0" vert="horz" wrap="square" lIns="91440" tIns="45720" rIns="91440" bIns="45720" anchor="t" anchorCtr="0" upright="1"/>
                          </wps:wsp>
                        </a:graphicData>
                      </a:graphic>
                    </wp:anchor>
                  </w:drawing>
                </mc:Choice>
                <mc:Fallback>
                  <w:pict>
                    <v:shape id="流程图: 接点 18" o:spid="_x0000_s1035" type="#_x0000_t120" style="width:54pt;height:54.6pt;margin-top:9pt;margin-left:185.55pt;mso-wrap-distance-bottom:0;mso-wrap-distance-left:9pt;mso-wrap-distance-right:9pt;mso-wrap-distance-top:0;position:absolute;v-text-anchor:top;z-index:251666432" fillcolor="white" stroked="t" strokecolor="black" strokeweight="1pt">
                      <v:textbox>
                        <w:txbxContent>
                          <w:p w:rsidR="00CA7143" w14:paraId="69BCD565" w14:textId="77777777">
                            <w:pPr>
                              <w:jc w:val="center"/>
                              <w:rPr>
                                <w:rFonts w:ascii="Times New Roman" w:hAnsi="Times New Roman" w:cs="Times New Roman"/>
                              </w:rPr>
                            </w:pPr>
                            <w:r>
                              <w:rPr>
                                <w:rFonts w:ascii="Times New Roman" w:hAnsi="Times New Roman" w:cs="Times New Roman"/>
                              </w:rPr>
                              <w:t>95</w:t>
                            </w:r>
                            <w:r>
                              <w:rPr>
                                <w:rFonts w:ascii="Times New Roman" w:hAnsi="Times New Roman" w:cs="Times New Roman"/>
                                <w:vertAlign w:val="superscript"/>
                              </w:rPr>
                              <w:t>#</w:t>
                            </w:r>
                          </w:p>
                        </w:txbxContent>
                      </v:textbox>
                    </v:shape>
                  </w:pict>
                </mc:Fallback>
              </mc:AlternateContent>
            </w:r>
            <w:r>
              <w:rPr>
                <w:rFonts w:ascii="Times New Roman" w:eastAsia="宋体" w:hAnsi="Times New Roman" w:cs="Times New Roman" w:hint="eastAsia"/>
                <w:noProof/>
                <w:sz w:val="24"/>
                <w:szCs w:val="24"/>
              </w:rPr>
              <mc:AlternateContent>
                <mc:Choice Requires="wps">
                  <w:drawing>
                    <wp:anchor distT="0" distB="0" distL="114300" distR="114300" simplePos="0" relativeHeight="251669504" behindDoc="0" locked="0" layoutInCell="1" allowOverlap="1">
                      <wp:simplePos x="0" y="0"/>
                      <wp:positionH relativeFrom="column">
                        <wp:posOffset>1269365</wp:posOffset>
                      </wp:positionH>
                      <wp:positionV relativeFrom="paragraph">
                        <wp:posOffset>114300</wp:posOffset>
                      </wp:positionV>
                      <wp:extent cx="685800" cy="693420"/>
                      <wp:effectExtent l="6350" t="6350" r="8890" b="16510"/>
                      <wp:wrapNone/>
                      <wp:docPr id="19" name="流程图: 接点 1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Times New Roman" w:hAnsi="Times New Roman" w:cs="Times New Roman"/>
                                    </w:rPr>
                                  </w:pPr>
                                  <w:r>
                                    <w:rPr>
                                      <w:rFonts w:ascii="Times New Roman" w:hAnsi="Times New Roman" w:cs="Times New Roman"/>
                                    </w:rPr>
                                    <w:t>98</w:t>
                                  </w:r>
                                  <w:r>
                                    <w:rPr>
                                      <w:rFonts w:ascii="Times New Roman" w:hAnsi="Times New Roman" w:cs="Times New Roman"/>
                                      <w:vertAlign w:val="superscript"/>
                                    </w:rPr>
                                    <w:t>#</w:t>
                                  </w:r>
                                </w:p>
                              </w:txbxContent>
                            </wps:txbx>
                            <wps:bodyPr rot="0" vert="horz" wrap="square" lIns="91440" tIns="45720" rIns="91440" bIns="45720" anchor="t" anchorCtr="0" upright="1"/>
                          </wps:wsp>
                        </a:graphicData>
                      </a:graphic>
                    </wp:anchor>
                  </w:drawing>
                </mc:Choice>
                <mc:Fallback>
                  <w:pict>
                    <v:shape id="流程图: 接点 19" o:spid="_x0000_s1036" type="#_x0000_t120" style="width:54pt;height:54.6pt;margin-top:9pt;margin-left:99.95pt;mso-wrap-distance-bottom:0;mso-wrap-distance-left:9pt;mso-wrap-distance-right:9pt;mso-wrap-distance-top:0;position:absolute;v-text-anchor:top;z-index:251668480" fillcolor="white" stroked="t" strokecolor="black" strokeweight="1pt">
                      <v:textbox>
                        <w:txbxContent>
                          <w:p w:rsidR="00CA7143" w14:paraId="75E75430" w14:textId="77777777">
                            <w:pPr>
                              <w:jc w:val="center"/>
                              <w:rPr>
                                <w:rFonts w:ascii="Times New Roman" w:hAnsi="Times New Roman" w:cs="Times New Roman"/>
                              </w:rPr>
                            </w:pPr>
                            <w:r>
                              <w:rPr>
                                <w:rFonts w:ascii="Times New Roman" w:hAnsi="Times New Roman" w:cs="Times New Roman"/>
                              </w:rPr>
                              <w:t>98</w:t>
                            </w:r>
                            <w:r>
                              <w:rPr>
                                <w:rFonts w:ascii="Times New Roman" w:hAnsi="Times New Roman" w:cs="Times New Roman"/>
                                <w:vertAlign w:val="superscript"/>
                              </w:rPr>
                              <w:t>#</w:t>
                            </w:r>
                          </w:p>
                        </w:txbxContent>
                      </v:textbox>
                    </v:shape>
                  </w:pict>
                </mc:Fallback>
              </mc:AlternateContent>
            </w:r>
            <w:r>
              <w:rPr>
                <w:rFonts w:ascii="Times New Roman" w:eastAsia="宋体" w:hAnsi="Times New Roman" w:cs="Times New Roman" w:hint="eastAsia"/>
                <w:noProof/>
                <w:sz w:val="24"/>
                <w:szCs w:val="24"/>
              </w:rPr>
              <mc:AlternateContent>
                <mc:Choice Requires="wps">
                  <w:drawing>
                    <wp:anchor distT="0" distB="0" distL="114300" distR="114300" simplePos="0" relativeHeight="251661312" behindDoc="0" locked="0" layoutInCell="1" allowOverlap="1">
                      <wp:simplePos x="0" y="0"/>
                      <wp:positionH relativeFrom="column">
                        <wp:posOffset>162560</wp:posOffset>
                      </wp:positionH>
                      <wp:positionV relativeFrom="paragraph">
                        <wp:posOffset>114300</wp:posOffset>
                      </wp:positionV>
                      <wp:extent cx="685800" cy="693420"/>
                      <wp:effectExtent l="6350" t="6350" r="8890" b="16510"/>
                      <wp:wrapNone/>
                      <wp:docPr id="16" name="流程图: 接点 1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rPr>
                                      <w:rFonts w:ascii="Times New Roman" w:hAnsi="Times New Roman" w:cs="Times New Roman"/>
                                    </w:rPr>
                                  </w:pPr>
                                  <w:r>
                                    <w:rPr>
                                      <w:rFonts w:ascii="Times New Roman" w:hAnsi="Times New Roman" w:cs="Times New Roman"/>
                                    </w:rPr>
                                    <w:t>92</w:t>
                                  </w:r>
                                  <w:r>
                                    <w:rPr>
                                      <w:rFonts w:ascii="Times New Roman" w:hAnsi="Times New Roman" w:cs="Times New Roman"/>
                                      <w:vertAlign w:val="superscript"/>
                                    </w:rPr>
                                    <w:t>#</w:t>
                                  </w:r>
                                </w:p>
                              </w:txbxContent>
                            </wps:txbx>
                            <wps:bodyPr rot="0" vert="horz" wrap="square" lIns="91440" tIns="45720" rIns="91440" bIns="45720" anchor="t" anchorCtr="0" upright="1"/>
                          </wps:wsp>
                        </a:graphicData>
                      </a:graphic>
                    </wp:anchor>
                  </w:drawing>
                </mc:Choice>
                <mc:Fallback>
                  <w:pict>
                    <v:shape id="流程图: 接点 16" o:spid="_x0000_s1037" type="#_x0000_t120" style="width:54pt;height:54.6pt;margin-top:9pt;margin-left:12.8pt;mso-wrap-distance-bottom:0;mso-wrap-distance-left:9pt;mso-wrap-distance-right:9pt;mso-wrap-distance-top:0;position:absolute;v-text-anchor:top;z-index:251660288" fillcolor="white" stroked="t" strokecolor="black" strokeweight="1pt">
                      <v:textbox>
                        <w:txbxContent>
                          <w:p w:rsidR="00CA7143" w14:paraId="75276BC6" w14:textId="77777777">
                            <w:pPr>
                              <w:rPr>
                                <w:rFonts w:ascii="Times New Roman" w:hAnsi="Times New Roman" w:cs="Times New Roman"/>
                              </w:rPr>
                            </w:pPr>
                            <w:r>
                              <w:rPr>
                                <w:rFonts w:ascii="Times New Roman" w:hAnsi="Times New Roman" w:cs="Times New Roman"/>
                              </w:rPr>
                              <w:t>92</w:t>
                            </w:r>
                            <w:r>
                              <w:rPr>
                                <w:rFonts w:ascii="Times New Roman" w:hAnsi="Times New Roman" w:cs="Times New Roman"/>
                                <w:vertAlign w:val="superscript"/>
                              </w:rPr>
                              <w:t>#</w:t>
                            </w:r>
                          </w:p>
                        </w:txbxContent>
                      </v:textbox>
                    </v:shape>
                  </w:pict>
                </mc:Fallback>
              </mc:AlternateContent>
            </w:r>
          </w:p>
          <w:p w:rsidR="00D359BE" w14:paraId="1AF4A12B" w14:textId="77777777">
            <w:pPr>
              <w:spacing w:line="400" w:lineRule="atLeast"/>
              <w:jc w:val="left"/>
              <w:rPr>
                <w:rFonts w:ascii="Times New Roman" w:eastAsia="宋体" w:hAnsi="Times New Roman" w:cs="Times New Roman"/>
                <w:sz w:val="24"/>
                <w:szCs w:val="24"/>
              </w:rPr>
            </w:pPr>
          </w:p>
          <w:p w:rsidR="00D359BE" w14:paraId="35D7A4DF" w14:textId="77777777">
            <w:pPr>
              <w:spacing w:line="400" w:lineRule="atLeast"/>
              <w:jc w:val="left"/>
              <w:rPr>
                <w:rFonts w:ascii="Times New Roman" w:eastAsia="宋体" w:hAnsi="Times New Roman" w:cs="Times New Roman"/>
                <w:sz w:val="24"/>
                <w:szCs w:val="24"/>
              </w:rPr>
            </w:pPr>
          </w:p>
          <w:p w:rsidR="00D359BE" w14:paraId="2CDCC5F8" w14:textId="77777777">
            <w:pPr>
              <w:spacing w:line="400" w:lineRule="atLeast"/>
              <w:jc w:val="left"/>
              <w:rPr>
                <w:rFonts w:ascii="Times New Roman" w:eastAsia="宋体" w:hAnsi="Times New Roman" w:cs="Times New Roman"/>
                <w:sz w:val="24"/>
                <w:szCs w:val="24"/>
              </w:rPr>
            </w:pPr>
          </w:p>
          <w:p w:rsidR="00D359BE" w14:paraId="2CA39575" w14:textId="77777777">
            <w:pPr>
              <w:spacing w:line="400" w:lineRule="atLeast"/>
              <w:jc w:val="left"/>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663360" behindDoc="0" locked="0" layoutInCell="1" allowOverlap="1">
                      <wp:simplePos x="0" y="0"/>
                      <wp:positionH relativeFrom="column">
                        <wp:posOffset>2356485</wp:posOffset>
                      </wp:positionH>
                      <wp:positionV relativeFrom="paragraph">
                        <wp:posOffset>142240</wp:posOffset>
                      </wp:positionV>
                      <wp:extent cx="685800" cy="693420"/>
                      <wp:effectExtent l="6350" t="6350" r="8890" b="16510"/>
                      <wp:wrapNone/>
                      <wp:docPr id="6" name="流程图: 接点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Times New Roman" w:hAnsi="Times New Roman" w:cs="Times New Roman"/>
                                      <w:vertAlign w:val="superscript"/>
                                    </w:rPr>
                                  </w:pPr>
                                  <w:r>
                                    <w:rPr>
                                      <w:rFonts w:ascii="Times New Roman" w:hAnsi="Times New Roman" w:cs="Times New Roman"/>
                                    </w:rPr>
                                    <w:t>95</w:t>
                                  </w:r>
                                  <w:r>
                                    <w:rPr>
                                      <w:rFonts w:ascii="Times New Roman" w:hAnsi="Times New Roman" w:cs="Times New Roman"/>
                                      <w:vertAlign w:val="superscript"/>
                                    </w:rPr>
                                    <w:t>#</w:t>
                                  </w:r>
                                </w:p>
                              </w:txbxContent>
                            </wps:txbx>
                            <wps:bodyPr rot="0" vert="horz" wrap="square" lIns="91440" tIns="45720" rIns="91440" bIns="45720" anchor="t" anchorCtr="0" upright="1"/>
                          </wps:wsp>
                        </a:graphicData>
                      </a:graphic>
                    </wp:anchor>
                  </w:drawing>
                </mc:Choice>
                <mc:Fallback>
                  <w:pict>
                    <v:shape id="流程图: 接点 6" o:spid="_x0000_s1038" type="#_x0000_t120" style="width:54pt;height:54.6pt;margin-top:11.2pt;margin-left:185.55pt;mso-wrap-distance-bottom:0;mso-wrap-distance-left:9pt;mso-wrap-distance-right:9pt;mso-wrap-distance-top:0;position:absolute;v-text-anchor:top;z-index:251662336" fillcolor="white" stroked="t" strokecolor="black" strokeweight="1pt">
                      <v:textbox>
                        <w:txbxContent>
                          <w:p w:rsidR="00CA7143" w14:paraId="36943123" w14:textId="77777777">
                            <w:pPr>
                              <w:jc w:val="center"/>
                              <w:rPr>
                                <w:rFonts w:ascii="Times New Roman" w:hAnsi="Times New Roman" w:cs="Times New Roman"/>
                                <w:vertAlign w:val="superscript"/>
                              </w:rPr>
                            </w:pPr>
                            <w:r>
                              <w:rPr>
                                <w:rFonts w:ascii="Times New Roman" w:hAnsi="Times New Roman" w:cs="Times New Roman"/>
                              </w:rPr>
                              <w:t>95</w:t>
                            </w:r>
                            <w:r>
                              <w:rPr>
                                <w:rFonts w:ascii="Times New Roman" w:hAnsi="Times New Roman" w:cs="Times New Roman"/>
                                <w:vertAlign w:val="superscript"/>
                              </w:rPr>
                              <w:t>#</w:t>
                            </w:r>
                          </w:p>
                        </w:txbxContent>
                      </v:textbox>
                    </v:shape>
                  </w:pict>
                </mc:Fallback>
              </mc:AlternateContent>
            </w:r>
            <w:r>
              <w:rPr>
                <w:rFonts w:ascii="Times New Roman" w:eastAsia="宋体" w:hAnsi="Times New Roman" w:cs="Times New Roman" w:hint="eastAsia"/>
                <w:noProof/>
                <w:sz w:val="24"/>
                <w:szCs w:val="24"/>
              </w:rPr>
              <mc:AlternateContent>
                <mc:Choice Requires="wps">
                  <w:drawing>
                    <wp:anchor distT="0" distB="0" distL="114300" distR="114300" simplePos="0" relativeHeight="251659264" behindDoc="0" locked="0" layoutInCell="1" allowOverlap="1">
                      <wp:simplePos x="0" y="0"/>
                      <wp:positionH relativeFrom="column">
                        <wp:posOffset>1269365</wp:posOffset>
                      </wp:positionH>
                      <wp:positionV relativeFrom="paragraph">
                        <wp:posOffset>142240</wp:posOffset>
                      </wp:positionV>
                      <wp:extent cx="685800" cy="693420"/>
                      <wp:effectExtent l="6350" t="6350" r="8890" b="16510"/>
                      <wp:wrapNone/>
                      <wp:docPr id="5" name="流程图: 接点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Times New Roman" w:hAnsi="Times New Roman" w:cs="Times New Roman"/>
                                    </w:rPr>
                                  </w:pPr>
                                  <w:r>
                                    <w:rPr>
                                      <w:rFonts w:ascii="Times New Roman" w:hAnsi="Times New Roman" w:cs="Times New Roman"/>
                                    </w:rPr>
                                    <w:t>98</w:t>
                                  </w:r>
                                  <w:r>
                                    <w:rPr>
                                      <w:rFonts w:ascii="Times New Roman" w:hAnsi="Times New Roman" w:cs="Times New Roman"/>
                                      <w:vertAlign w:val="superscript"/>
                                    </w:rPr>
                                    <w:t>#</w:t>
                                  </w:r>
                                </w:p>
                              </w:txbxContent>
                            </wps:txbx>
                            <wps:bodyPr rot="0" vert="horz" wrap="square" lIns="91440" tIns="45720" rIns="91440" bIns="45720" anchor="t" anchorCtr="0" upright="1"/>
                          </wps:wsp>
                        </a:graphicData>
                      </a:graphic>
                    </wp:anchor>
                  </w:drawing>
                </mc:Choice>
                <mc:Fallback>
                  <w:pict>
                    <v:shape id="流程图: 接点 5" o:spid="_x0000_s1039" type="#_x0000_t120" style="width:54pt;height:54.6pt;margin-top:11.2pt;margin-left:99.95pt;mso-wrap-distance-bottom:0;mso-wrap-distance-left:9pt;mso-wrap-distance-right:9pt;mso-wrap-distance-top:0;position:absolute;v-text-anchor:top;z-index:251658240" fillcolor="white" stroked="t" strokecolor="black" strokeweight="1pt">
                      <v:textbox>
                        <w:txbxContent>
                          <w:p w:rsidR="00CA7143" w14:paraId="6F2E8863" w14:textId="77777777">
                            <w:pPr>
                              <w:jc w:val="center"/>
                              <w:rPr>
                                <w:rFonts w:ascii="Times New Roman" w:hAnsi="Times New Roman" w:cs="Times New Roman"/>
                              </w:rPr>
                            </w:pPr>
                            <w:r>
                              <w:rPr>
                                <w:rFonts w:ascii="Times New Roman" w:hAnsi="Times New Roman" w:cs="Times New Roman"/>
                              </w:rPr>
                              <w:t>98</w:t>
                            </w:r>
                            <w:r>
                              <w:rPr>
                                <w:rFonts w:ascii="Times New Roman" w:hAnsi="Times New Roman" w:cs="Times New Roman"/>
                                <w:vertAlign w:val="superscript"/>
                              </w:rPr>
                              <w:t>#</w:t>
                            </w:r>
                          </w:p>
                        </w:txbxContent>
                      </v:textbox>
                    </v:shape>
                  </w:pict>
                </mc:Fallback>
              </mc:AlternateContent>
            </w:r>
            <w:r>
              <w:rPr>
                <w:rFonts w:ascii="Times New Roman" w:eastAsia="宋体" w:hAnsi="Times New Roman" w:cs="Times New Roman" w:hint="eastAsia"/>
                <w:noProof/>
                <w:sz w:val="24"/>
                <w:szCs w:val="24"/>
              </w:rPr>
              <mc:AlternateContent>
                <mc:Choice Requires="wps">
                  <w:drawing>
                    <wp:anchor distT="0" distB="0" distL="114300" distR="114300" simplePos="0" relativeHeight="251665408" behindDoc="0" locked="0" layoutInCell="1" allowOverlap="1">
                      <wp:simplePos x="0" y="0"/>
                      <wp:positionH relativeFrom="column">
                        <wp:posOffset>162560</wp:posOffset>
                      </wp:positionH>
                      <wp:positionV relativeFrom="paragraph">
                        <wp:posOffset>142240</wp:posOffset>
                      </wp:positionV>
                      <wp:extent cx="685800" cy="693420"/>
                      <wp:effectExtent l="6350" t="6350" r="8890" b="16510"/>
                      <wp:wrapNone/>
                      <wp:docPr id="4" name="流程图: 接点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Times New Roman" w:hAnsi="Times New Roman" w:cs="Times New Roman"/>
                                    </w:rPr>
                                  </w:pPr>
                                  <w:r>
                                    <w:rPr>
                                      <w:rFonts w:ascii="Times New Roman" w:hAnsi="Times New Roman" w:cs="Times New Roman"/>
                                    </w:rPr>
                                    <w:t>92</w:t>
                                  </w:r>
                                  <w:r>
                                    <w:rPr>
                                      <w:rFonts w:ascii="Times New Roman" w:hAnsi="Times New Roman" w:cs="Times New Roman"/>
                                      <w:vertAlign w:val="superscript"/>
                                    </w:rPr>
                                    <w:t>#</w:t>
                                  </w:r>
                                </w:p>
                              </w:txbxContent>
                            </wps:txbx>
                            <wps:bodyPr rot="0" vert="horz" wrap="square" lIns="91440" tIns="45720" rIns="91440" bIns="45720" anchor="t" anchorCtr="0" upright="1"/>
                          </wps:wsp>
                        </a:graphicData>
                      </a:graphic>
                    </wp:anchor>
                  </w:drawing>
                </mc:Choice>
                <mc:Fallback>
                  <w:pict>
                    <v:shape id="流程图: 接点 4" o:spid="_x0000_s1040" type="#_x0000_t120" style="width:54pt;height:54.6pt;margin-top:11.2pt;margin-left:12.8pt;mso-wrap-distance-bottom:0;mso-wrap-distance-left:9pt;mso-wrap-distance-right:9pt;mso-wrap-distance-top:0;position:absolute;v-text-anchor:top;z-index:251664384" fillcolor="white" stroked="t" strokecolor="black" strokeweight="1pt">
                      <v:textbox>
                        <w:txbxContent>
                          <w:p w:rsidR="00CA7143" w14:paraId="34018813" w14:textId="77777777">
                            <w:pPr>
                              <w:jc w:val="center"/>
                              <w:rPr>
                                <w:rFonts w:ascii="Times New Roman" w:hAnsi="Times New Roman" w:cs="Times New Roman"/>
                              </w:rPr>
                            </w:pPr>
                            <w:r>
                              <w:rPr>
                                <w:rFonts w:ascii="Times New Roman" w:hAnsi="Times New Roman" w:cs="Times New Roman"/>
                              </w:rPr>
                              <w:t>92</w:t>
                            </w:r>
                            <w:r>
                              <w:rPr>
                                <w:rFonts w:ascii="Times New Roman" w:hAnsi="Times New Roman" w:cs="Times New Roman"/>
                                <w:vertAlign w:val="superscript"/>
                              </w:rPr>
                              <w:t>#</w:t>
                            </w:r>
                          </w:p>
                        </w:txbxContent>
                      </v:textbox>
                    </v:shape>
                  </w:pict>
                </mc:Fallback>
              </mc:AlternateContent>
            </w:r>
          </w:p>
          <w:p w:rsidR="00D359BE" w14:paraId="1AA98598" w14:textId="77777777">
            <w:pPr>
              <w:spacing w:line="400" w:lineRule="atLeast"/>
              <w:jc w:val="left"/>
              <w:rPr>
                <w:rFonts w:ascii="Times New Roman" w:eastAsia="宋体" w:hAnsi="Times New Roman" w:cs="Times New Roman"/>
                <w:sz w:val="24"/>
                <w:szCs w:val="24"/>
              </w:rPr>
            </w:pPr>
          </w:p>
          <w:p w:rsidR="00D359BE" w14:paraId="7476D4C2" w14:textId="77777777">
            <w:pPr>
              <w:spacing w:line="400" w:lineRule="atLeast"/>
              <w:jc w:val="left"/>
              <w:rPr>
                <w:rFonts w:ascii="Times New Roman" w:eastAsia="宋体" w:hAnsi="Times New Roman" w:cs="Times New Roman"/>
                <w:sz w:val="24"/>
                <w:szCs w:val="24"/>
              </w:rPr>
            </w:pPr>
          </w:p>
        </w:tc>
        <w:tc>
          <w:tcPr>
            <w:tcW w:w="1750" w:type="dxa"/>
          </w:tcPr>
          <w:p w:rsidR="00D359BE" w14:paraId="0DCD0DB1" w14:textId="77777777">
            <w:pPr>
              <w:widowControl/>
              <w:jc w:val="left"/>
              <w:rPr>
                <w:rFonts w:ascii="Times New Roman" w:eastAsia="宋体" w:hAnsi="Times New Roman" w:cs="Times New Roman"/>
                <w:sz w:val="24"/>
                <w:szCs w:val="24"/>
              </w:rPr>
            </w:pPr>
          </w:p>
          <w:p w:rsidR="00D359BE" w14:paraId="0E92F27B" w14:textId="77777777">
            <w:pPr>
              <w:widowControl/>
              <w:jc w:val="left"/>
              <w:rPr>
                <w:rFonts w:ascii="Times New Roman" w:eastAsia="宋体" w:hAnsi="Times New Roman" w:cs="Times New Roman"/>
                <w:sz w:val="24"/>
                <w:szCs w:val="24"/>
              </w:rPr>
            </w:pPr>
            <w:r>
              <w:rPr>
                <w:rFonts w:ascii="Times New Roman" w:eastAsia="宋体" w:hAnsi="Times New Roman" w:cs="Times New Roman" w:hint="eastAsia"/>
                <w:noProof/>
                <w:sz w:val="24"/>
                <w:szCs w:val="24"/>
              </w:rPr>
              <mc:AlternateContent>
                <mc:Choice Requires="wps">
                  <w:drawing>
                    <wp:anchor distT="0" distB="0" distL="114300" distR="114300" simplePos="0" relativeHeight="251671552" behindDoc="0" locked="0" layoutInCell="1" allowOverlap="1">
                      <wp:simplePos x="0" y="0"/>
                      <wp:positionH relativeFrom="column">
                        <wp:posOffset>136525</wp:posOffset>
                      </wp:positionH>
                      <wp:positionV relativeFrom="paragraph">
                        <wp:posOffset>170180</wp:posOffset>
                      </wp:positionV>
                      <wp:extent cx="685800" cy="693420"/>
                      <wp:effectExtent l="6350" t="6350" r="8890" b="16510"/>
                      <wp:wrapNone/>
                      <wp:docPr id="20" name="流程图: 接点 2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宋体" w:eastAsia="宋体" w:hAnsi="宋体"/>
                                    </w:rPr>
                                  </w:pPr>
                                  <w:r>
                                    <w:rPr>
                                      <w:rFonts w:ascii="宋体" w:eastAsia="宋体" w:hAnsi="宋体" w:hint="eastAsia"/>
                                    </w:rPr>
                                    <w:t>航油</w:t>
                                  </w:r>
                                </w:p>
                              </w:txbxContent>
                            </wps:txbx>
                            <wps:bodyPr rot="0" vert="horz" wrap="square" lIns="91440" tIns="45720" rIns="91440" bIns="45720" anchor="t" anchorCtr="0" upright="1"/>
                          </wps:wsp>
                        </a:graphicData>
                      </a:graphic>
                    </wp:anchor>
                  </w:drawing>
                </mc:Choice>
                <mc:Fallback>
                  <w:pict>
                    <v:shape id="流程图: 接点 20" o:spid="_x0000_s1041" type="#_x0000_t120" style="width:54pt;height:54.6pt;margin-top:13.4pt;margin-left:10.75pt;mso-wrap-distance-bottom:0;mso-wrap-distance-left:9pt;mso-wrap-distance-right:9pt;mso-wrap-distance-top:0;position:absolute;v-text-anchor:top;z-index:251670528" fillcolor="white" stroked="t" strokecolor="black" strokeweight="1pt">
                      <v:textbox>
                        <w:txbxContent>
                          <w:p w:rsidR="00CA7143" w14:paraId="3371965C" w14:textId="77777777">
                            <w:pPr>
                              <w:jc w:val="center"/>
                              <w:rPr>
                                <w:rFonts w:ascii="宋体" w:eastAsia="宋体" w:hAnsi="宋体"/>
                              </w:rPr>
                            </w:pPr>
                            <w:r>
                              <w:rPr>
                                <w:rFonts w:ascii="宋体" w:eastAsia="宋体" w:hAnsi="宋体" w:hint="eastAsia"/>
                              </w:rPr>
                              <w:t>航油</w:t>
                            </w:r>
                          </w:p>
                        </w:txbxContent>
                      </v:textbox>
                    </v:shape>
                  </w:pict>
                </mc:Fallback>
              </mc:AlternateContent>
            </w:r>
          </w:p>
          <w:p w:rsidR="00D359BE" w14:paraId="366D0E7C" w14:textId="77777777">
            <w:pPr>
              <w:widowControl/>
              <w:jc w:val="left"/>
              <w:rPr>
                <w:rFonts w:ascii="Times New Roman" w:eastAsia="宋体" w:hAnsi="Times New Roman" w:cs="Times New Roman"/>
                <w:sz w:val="24"/>
                <w:szCs w:val="24"/>
              </w:rPr>
            </w:pPr>
          </w:p>
          <w:p w:rsidR="00D359BE" w14:paraId="10D16E8F" w14:textId="77777777">
            <w:pPr>
              <w:widowControl/>
              <w:jc w:val="left"/>
              <w:rPr>
                <w:rFonts w:ascii="Times New Roman" w:eastAsia="宋体" w:hAnsi="Times New Roman" w:cs="Times New Roman"/>
                <w:sz w:val="24"/>
                <w:szCs w:val="24"/>
              </w:rPr>
            </w:pPr>
          </w:p>
          <w:p w:rsidR="00D359BE" w14:paraId="4D8B30AD" w14:textId="77777777">
            <w:pPr>
              <w:widowControl/>
              <w:jc w:val="left"/>
              <w:rPr>
                <w:rFonts w:ascii="Times New Roman" w:eastAsia="宋体" w:hAnsi="Times New Roman" w:cs="Times New Roman"/>
                <w:sz w:val="24"/>
                <w:szCs w:val="24"/>
              </w:rPr>
            </w:pPr>
          </w:p>
          <w:p w:rsidR="00D359BE" w14:paraId="6FD736AF" w14:textId="77777777">
            <w:pPr>
              <w:widowControl/>
              <w:jc w:val="left"/>
              <w:rPr>
                <w:rFonts w:ascii="Times New Roman" w:eastAsia="宋体" w:hAnsi="Times New Roman" w:cs="Times New Roman"/>
                <w:sz w:val="24"/>
                <w:szCs w:val="24"/>
              </w:rPr>
            </w:pPr>
          </w:p>
          <w:p w:rsidR="00D359BE" w14:paraId="2E59CF9C" w14:textId="77777777">
            <w:pPr>
              <w:widowControl/>
              <w:jc w:val="left"/>
              <w:rPr>
                <w:rFonts w:ascii="Times New Roman" w:eastAsia="宋体" w:hAnsi="Times New Roman" w:cs="Times New Roman"/>
                <w:sz w:val="24"/>
                <w:szCs w:val="24"/>
              </w:rPr>
            </w:pPr>
          </w:p>
          <w:p w:rsidR="00D359BE" w14:paraId="467E6D36" w14:textId="77777777">
            <w:pPr>
              <w:widowControl/>
              <w:jc w:val="left"/>
              <w:rPr>
                <w:rFonts w:ascii="Times New Roman" w:eastAsia="宋体" w:hAnsi="Times New Roman" w:cs="Times New Roman"/>
                <w:sz w:val="24"/>
                <w:szCs w:val="24"/>
              </w:rPr>
            </w:pPr>
            <w:r>
              <w:rPr>
                <w:rFonts w:ascii="Times New Roman" w:eastAsia="宋体" w:hAnsi="Times New Roman" w:cs="Times New Roman" w:hint="eastAsia"/>
                <w:noProof/>
                <w:sz w:val="24"/>
                <w:szCs w:val="24"/>
              </w:rPr>
              <mc:AlternateContent>
                <mc:Choice Requires="wps">
                  <w:drawing>
                    <wp:anchor distT="0" distB="0" distL="114300" distR="114300" simplePos="0" relativeHeight="251673600" behindDoc="0" locked="0" layoutInCell="1" allowOverlap="1">
                      <wp:simplePos x="0" y="0"/>
                      <wp:positionH relativeFrom="column">
                        <wp:posOffset>138430</wp:posOffset>
                      </wp:positionH>
                      <wp:positionV relativeFrom="paragraph">
                        <wp:posOffset>24765</wp:posOffset>
                      </wp:positionV>
                      <wp:extent cx="685800" cy="693420"/>
                      <wp:effectExtent l="6350" t="6350" r="8890" b="16510"/>
                      <wp:wrapNone/>
                      <wp:docPr id="8" name="流程图: 接点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宋体" w:eastAsia="宋体" w:hAnsi="宋体" w:cs="Times New Roman"/>
                                    </w:rPr>
                                  </w:pPr>
                                  <w:r>
                                    <w:rPr>
                                      <w:rFonts w:ascii="宋体" w:eastAsia="宋体" w:hAnsi="宋体" w:cs="Times New Roman"/>
                                    </w:rPr>
                                    <w:t>航油</w:t>
                                  </w:r>
                                </w:p>
                              </w:txbxContent>
                            </wps:txbx>
                            <wps:bodyPr rot="0" vert="horz" wrap="square" lIns="91440" tIns="45720" rIns="91440" bIns="45720" anchor="t" anchorCtr="0" upright="1"/>
                          </wps:wsp>
                        </a:graphicData>
                      </a:graphic>
                    </wp:anchor>
                  </w:drawing>
                </mc:Choice>
                <mc:Fallback>
                  <w:pict>
                    <v:shape id="流程图: 接点 8" o:spid="_x0000_s1042" type="#_x0000_t120" style="width:54pt;height:54.6pt;margin-top:1.95pt;margin-left:10.9pt;mso-wrap-distance-bottom:0;mso-wrap-distance-left:9pt;mso-wrap-distance-right:9pt;mso-wrap-distance-top:0;position:absolute;v-text-anchor:top;z-index:251672576" fillcolor="white" stroked="t" strokecolor="black" strokeweight="1pt">
                      <v:textbox>
                        <w:txbxContent>
                          <w:p w:rsidR="00CA7143" w14:paraId="104D8B40" w14:textId="77777777">
                            <w:pPr>
                              <w:jc w:val="center"/>
                              <w:rPr>
                                <w:rFonts w:ascii="宋体" w:eastAsia="宋体" w:hAnsi="宋体" w:cs="Times New Roman"/>
                              </w:rPr>
                            </w:pPr>
                            <w:r>
                              <w:rPr>
                                <w:rFonts w:ascii="宋体" w:eastAsia="宋体" w:hAnsi="宋体" w:cs="Times New Roman"/>
                              </w:rPr>
                              <w:t>航油</w:t>
                            </w:r>
                          </w:p>
                        </w:txbxContent>
                      </v:textbox>
                    </v:shape>
                  </w:pict>
                </mc:Fallback>
              </mc:AlternateContent>
            </w:r>
          </w:p>
          <w:p w:rsidR="00D359BE" w14:paraId="7B308CC7" w14:textId="77777777">
            <w:pPr>
              <w:spacing w:line="400" w:lineRule="atLeast"/>
              <w:jc w:val="left"/>
              <w:rPr>
                <w:rFonts w:ascii="Times New Roman" w:eastAsia="宋体" w:hAnsi="Times New Roman" w:cs="Times New Roman"/>
                <w:sz w:val="24"/>
                <w:szCs w:val="24"/>
              </w:rPr>
            </w:pPr>
          </w:p>
        </w:tc>
      </w:tr>
    </w:tbl>
    <w:p w:rsidR="00D359BE" w14:paraId="55FB766C" w14:textId="77777777">
      <w:pPr>
        <w:snapToGrid w:val="0"/>
        <w:spacing w:line="300" w:lineRule="auto"/>
        <w:ind w:firstLine="420" w:firstLineChars="200"/>
        <w:jc w:val="center"/>
        <w:rPr>
          <w:rFonts w:ascii="Times New Roman" w:eastAsia="宋体" w:hAnsi="Times New Roman" w:cs="Times New Roman"/>
          <w:bCs/>
          <w:szCs w:val="21"/>
        </w:rPr>
      </w:pPr>
      <w:r>
        <w:rPr>
          <w:rFonts w:ascii="Times New Roman" w:eastAsia="宋体" w:hAnsi="Times New Roman" w:cs="Times New Roman" w:hint="eastAsia"/>
          <w:bCs/>
          <w:szCs w:val="21"/>
        </w:rPr>
        <w:t>图</w:t>
      </w:r>
      <w:r>
        <w:rPr>
          <w:rFonts w:ascii="Times New Roman" w:eastAsia="宋体" w:hAnsi="Times New Roman" w:cs="Times New Roman" w:hint="eastAsia"/>
          <w:bCs/>
          <w:szCs w:val="21"/>
        </w:rPr>
        <w:t>3.</w:t>
      </w:r>
      <w:r>
        <w:rPr>
          <w:rFonts w:ascii="Times New Roman" w:eastAsia="宋体" w:hAnsi="Times New Roman" w:cs="Times New Roman"/>
          <w:bCs/>
          <w:szCs w:val="21"/>
        </w:rPr>
        <w:t>1</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汽油灌区图</w:t>
      </w:r>
    </w:p>
    <w:p w:rsidR="00D359BE" w14:paraId="2AFAEE0B" w14:textId="77777777">
      <w:pPr>
        <w:snapToGrid w:val="0"/>
        <w:spacing w:line="300" w:lineRule="auto"/>
        <w:ind w:firstLine="420" w:firstLineChars="200"/>
        <w:jc w:val="center"/>
        <w:rPr>
          <w:rFonts w:ascii="Times New Roman" w:eastAsia="宋体" w:hAnsi="Times New Roman" w:cs="Times New Roman"/>
          <w:b/>
          <w:szCs w:val="21"/>
        </w:rPr>
      </w:pPr>
    </w:p>
    <w:p w:rsidR="00D359BE" w14:paraId="778AE98B" w14:textId="77777777">
      <w:pPr>
        <w:snapToGrid w:val="0"/>
        <w:spacing w:line="300" w:lineRule="auto"/>
        <w:ind w:firstLine="0" w:firstLineChars="200"/>
        <w:jc w:val="center"/>
        <w:rPr>
          <w:rFonts w:ascii="Times New Roman" w:eastAsia="宋体" w:hAnsi="Times New Roman" w:cs="Times New Roman"/>
          <w:color w:val="FFFFFF"/>
          <w:sz w:val="0"/>
          <w:szCs w:val="24"/>
        </w:rPr>
      </w:pPr>
    </w:p>
    <w:p w:rsidR="00D359BE" w:rsidP="00F14C2B" w14:paraId="272E79A0" w14:textId="6B10BADD">
      <w:pPr>
        <w:adjustRightInd w:val="0"/>
        <w:snapToGrid w:val="0"/>
        <w:spacing w:line="300" w:lineRule="auto"/>
        <w:ind w:firstLine="480" w:firstLineChars="200"/>
        <w:jc w:val="left"/>
      </w:pPr>
      <w:r>
        <w:rPr>
          <w:rFonts w:ascii="Times New Roman" w:eastAsia="宋体" w:hAnsi="Times New Roman" w:cs="Times New Roman" w:hint="eastAsia"/>
          <w:sz w:val="24"/>
        </w:rPr>
        <w:t>长度</w:t>
      </w:r>
      <w:r>
        <w:rPr>
          <w:rFonts w:ascii="Times New Roman" w:eastAsia="宋体" w:hAnsi="Times New Roman" w:cs="Times New Roman"/>
          <w:position w:val="-12"/>
          <w:sz w:val="24"/>
        </w:rPr>
        <w:object>
          <v:shape id="_x0000_i1043" type="#_x0000_t75" style="width:148.35pt;height:18.55pt" o:ole="">
            <v:imagedata r:id="rId132" o:title=""/>
          </v:shape>
          <o:OLEObject Type="Embed" ProgID="Equation.DSMT4" ShapeID="_x0000_i1043" DrawAspect="Content" ObjectID="_1771596901" r:id="rId133"/>
        </w:object>
      </w:r>
    </w:p>
    <w:p w:rsidR="00D359BE" w:rsidP="00F14C2B" w14:paraId="3CFCB9FB" w14:textId="499FE248">
      <w:pPr>
        <w:adjustRightInd w:val="0"/>
        <w:snapToGrid w:val="0"/>
        <w:spacing w:line="300" w:lineRule="auto"/>
        <w:ind w:firstLine="480" w:firstLineChars="200"/>
        <w:jc w:val="left"/>
        <w:rPr>
          <w:rFonts w:ascii="Times New Roman" w:eastAsia="宋体" w:hAnsi="Times New Roman" w:cs="Times New Roman"/>
          <w:sz w:val="24"/>
        </w:rPr>
      </w:pPr>
      <w:r>
        <w:rPr>
          <w:rFonts w:ascii="Times New Roman" w:eastAsia="宋体" w:hAnsi="Times New Roman" w:cs="Times New Roman" w:hint="eastAsia"/>
          <w:sz w:val="24"/>
        </w:rPr>
        <w:t>宽度</w:t>
      </w:r>
      <w:r>
        <w:rPr>
          <w:rFonts w:ascii="Times New Roman" w:eastAsia="宋体" w:hAnsi="Times New Roman" w:cs="Times New Roman"/>
          <w:position w:val="-12"/>
          <w:sz w:val="24"/>
        </w:rPr>
        <w:object>
          <v:shape id="_x0000_i1044" type="#_x0000_t75" style="width:160.35pt;height:18.55pt" o:ole="">
            <v:imagedata r:id="rId134" o:title=""/>
          </v:shape>
          <o:OLEObject Type="Embed" ProgID="Equation.DSMT4" ShapeID="_x0000_i1044" DrawAspect="Content" ObjectID="_1771596902" r:id="rId135"/>
        </w:object>
      </w:r>
    </w:p>
    <w:p w:rsidR="00D359BE" w:rsidP="00F14C2B" w14:paraId="46779744" w14:textId="6160FC35">
      <w:pPr>
        <w:adjustRightInd w:val="0"/>
        <w:snapToGrid w:val="0"/>
        <w:spacing w:line="300" w:lineRule="auto"/>
        <w:ind w:firstLine="480" w:firstLineChars="200"/>
        <w:jc w:val="left"/>
        <w:rPr>
          <w:rFonts w:ascii="Times New Roman" w:eastAsia="宋体" w:hAnsi="Times New Roman" w:cs="Times New Roman"/>
          <w:sz w:val="24"/>
        </w:rPr>
      </w:pPr>
      <w:r>
        <w:rPr>
          <w:rFonts w:ascii="Times New Roman" w:eastAsia="宋体" w:hAnsi="Times New Roman" w:cs="Times New Roman" w:hint="eastAsia"/>
          <w:sz w:val="24"/>
        </w:rPr>
        <w:t>罐区有效面积：</w:t>
      </w:r>
      <w:r>
        <w:rPr>
          <w:rFonts w:ascii="Times New Roman" w:eastAsia="宋体" w:hAnsi="Times New Roman" w:cs="Times New Roman"/>
          <w:position w:val="-6"/>
          <w:sz w:val="24"/>
        </w:rPr>
        <w:object>
          <v:shape id="_x0000_i1045" type="#_x0000_t75" style="width:233.45pt;height:16.35pt" o:ole="">
            <v:imagedata r:id="rId136" o:title=""/>
          </v:shape>
          <o:OLEObject Type="Embed" ProgID="Equation.DSMT4" ShapeID="_x0000_i1045" DrawAspect="Content" ObjectID="_1771596903" r:id="rId137"/>
        </w:object>
      </w:r>
    </w:p>
    <w:p w:rsidR="00D359BE" w:rsidP="00F14C2B" w14:paraId="74F2F7AC" w14:textId="1E865318">
      <w:pPr>
        <w:adjustRightInd w:val="0"/>
        <w:snapToGrid w:val="0"/>
        <w:spacing w:line="300" w:lineRule="auto"/>
        <w:ind w:firstLine="480" w:firstLineChars="200"/>
        <w:jc w:val="left"/>
        <w:rPr>
          <w:rFonts w:ascii="Times New Roman" w:eastAsia="宋体" w:hAnsi="Times New Roman" w:cs="Times New Roman"/>
          <w:sz w:val="24"/>
        </w:rPr>
      </w:pPr>
      <w:r>
        <w:rPr>
          <w:rFonts w:ascii="Times New Roman" w:eastAsia="宋体" w:hAnsi="Times New Roman" w:cs="Times New Roman" w:hint="eastAsia"/>
          <w:sz w:val="24"/>
        </w:rPr>
        <w:t>防火堤高度：</w:t>
      </w:r>
      <w:r>
        <w:rPr>
          <w:rFonts w:ascii="Times New Roman" w:eastAsia="宋体" w:hAnsi="Times New Roman" w:cs="Times New Roman"/>
          <w:position w:val="-24"/>
          <w:sz w:val="24"/>
        </w:rPr>
        <w:object>
          <v:shape id="_x0000_i1046" type="#_x0000_t75" style="width:177.8pt;height:31.65pt" o:ole="">
            <v:imagedata r:id="rId138" o:title=""/>
          </v:shape>
          <o:OLEObject Type="Embed" ProgID="Equation.DSMT4" ShapeID="_x0000_i1046" DrawAspect="Content" ObjectID="_1771596904" r:id="rId139"/>
        </w:object>
      </w:r>
    </w:p>
    <w:p w:rsidR="00D359BE" w:rsidP="00F14C2B" w14:paraId="281477DF" w14:textId="4796DA7A">
      <w:pPr>
        <w:adjustRightInd w:val="0"/>
        <w:snapToGrid w:val="0"/>
        <w:spacing w:line="300" w:lineRule="auto"/>
        <w:ind w:firstLine="480" w:firstLineChars="200"/>
        <w:jc w:val="left"/>
        <w:rPr>
          <w:rFonts w:ascii="Times New Roman" w:eastAsia="宋体" w:hAnsi="Times New Roman" w:cs="Times New Roman"/>
          <w:sz w:val="24"/>
        </w:rPr>
        <w:sectPr>
          <w:headerReference w:type="even" r:id="rId140"/>
          <w:headerReference w:type="default" r:id="rId141"/>
          <w:footerReference w:type="even" r:id="rId142"/>
          <w:footerReference w:type="default" r:id="rId143"/>
          <w:headerReference w:type="first" r:id="rId144"/>
          <w:footerReference w:type="first" r:id="rId145"/>
          <w:type w:val="nextPage"/>
          <w:pgSz w:w="11906" w:h="16838"/>
          <w:pgMar w:top="1985" w:right="1418" w:bottom="1418" w:left="1418" w:header="1417" w:footer="1134" w:gutter="0"/>
          <w:pgNumType w:start="13"/>
          <w:cols w:space="425"/>
          <w:titlePg w:val="0"/>
          <w:docGrid w:linePitch="312"/>
        </w:sectPr>
      </w:pPr>
      <w:r>
        <w:rPr>
          <w:rFonts w:ascii="Times New Roman" w:eastAsia="宋体" w:hAnsi="Times New Roman" w:cs="Times New Roman"/>
          <w:position w:val="-14"/>
          <w:sz w:val="24"/>
        </w:rPr>
        <w:object>
          <v:shape id="_x0000_i1047" type="#_x0000_t75" style="width:172.35pt;height:19.65pt" o:ole="">
            <v:imagedata r:id="rId146" o:title=""/>
          </v:shape>
          <o:OLEObject Type="Embed" ProgID="Equation.DSMT4" ShapeID="_x0000_i1047" DrawAspect="Content" ObjectID="_1771596905" r:id="rId147"/>
        </w:object>
      </w:r>
    </w:p>
    <w:p w:rsidR="00D359BE" w:rsidP="00F14C2B" w14:paraId="34477F8D" w14:textId="77777777">
      <w:pPr>
        <w:adjustRightInd w:val="0"/>
        <w:snapToGrid w:val="0"/>
        <w:spacing w:line="300" w:lineRule="auto"/>
        <w:ind w:firstLine="480" w:firstLineChars="200"/>
        <w:jc w:val="left"/>
        <w:rPr>
          <w:rFonts w:ascii="Times New Roman" w:eastAsia="宋体" w:hAnsi="Times New Roman" w:cs="Times New Roman"/>
          <w:sz w:val="24"/>
        </w:rPr>
      </w:pPr>
      <w:r>
        <w:rPr>
          <w:rFonts w:ascii="Times New Roman" w:eastAsia="宋体" w:hAnsi="Times New Roman" w:cs="Times New Roman" w:hint="eastAsia"/>
          <w:sz w:val="24"/>
        </w:rPr>
        <w:t>防火堤高度为</w:t>
      </w:r>
      <w:r>
        <w:rPr>
          <w:rFonts w:ascii="Times New Roman" w:eastAsia="宋体" w:hAnsi="Times New Roman" w:cs="Times New Roman" w:hint="eastAsia"/>
          <w:sz w:val="24"/>
        </w:rPr>
        <w:t>1</w:t>
      </w:r>
      <w:r>
        <w:rPr>
          <w:rFonts w:ascii="Times New Roman" w:eastAsia="宋体" w:hAnsi="Times New Roman" w:cs="Times New Roman"/>
          <w:sz w:val="24"/>
        </w:rPr>
        <w:t>m</w:t>
      </w:r>
      <w:r>
        <w:rPr>
          <w:rFonts w:ascii="Times New Roman" w:eastAsia="宋体" w:hAnsi="Times New Roman" w:cs="Times New Roman" w:hint="eastAsia"/>
          <w:sz w:val="24"/>
        </w:rPr>
        <w:t>。</w:t>
      </w:r>
    </w:p>
    <w:p w:rsidR="00D359BE" w:rsidRPr="00F14C2B" w:rsidP="00F14C2B" w14:paraId="35F52063" w14:textId="7B4DF2EF">
      <w:pPr>
        <w:pStyle w:val="Heading3"/>
        <w:adjustRightInd w:val="0"/>
        <w:snapToGrid w:val="0"/>
        <w:spacing w:before="120" w:beforeLines="50" w:after="0" w:line="360" w:lineRule="auto"/>
        <w:rPr>
          <w:rFonts w:ascii="Times New Roman" w:hAnsi="Times New Roman" w:cs="Times New Roman"/>
          <w:b w:val="0"/>
          <w:bCs w:val="0"/>
          <w:kern w:val="44"/>
          <w:szCs w:val="24"/>
        </w:rPr>
      </w:pPr>
      <w:bookmarkStart w:id="53" w:name="_Toc135660729"/>
      <w:r w:rsidRPr="00092AA8">
        <w:rPr>
          <w:rFonts w:ascii="Times New Roman" w:hAnsi="Times New Roman" w:cs="Times New Roman"/>
          <w:b w:val="0"/>
          <w:bCs w:val="0"/>
          <w:kern w:val="44"/>
          <w:szCs w:val="24"/>
        </w:rPr>
        <w:t>3.3.2</w:t>
      </w:r>
      <w:r w:rsidR="007C777D">
        <w:rPr>
          <w:rFonts w:ascii="Times New Roman" w:hAnsi="Times New Roman" w:cs="Times New Roman" w:hint="eastAsia"/>
          <w:b w:val="0"/>
          <w:bCs w:val="0"/>
          <w:kern w:val="44"/>
          <w:szCs w:val="24"/>
        </w:rPr>
        <w:t xml:space="preserve"> </w:t>
      </w:r>
      <w:r w:rsidRPr="00F14C2B">
        <w:rPr>
          <w:rFonts w:ascii="Times New Roman" w:hAnsi="Times New Roman" w:cs="Times New Roman" w:hint="eastAsia"/>
          <w:b w:val="0"/>
          <w:bCs w:val="0"/>
          <w:kern w:val="44"/>
          <w:szCs w:val="24"/>
        </w:rPr>
        <w:t>柴油油罐区</w:t>
      </w:r>
      <w:bookmarkEnd w:id="53"/>
    </w:p>
    <w:p w:rsidR="00D359BE" w:rsidP="00F14C2B" w14:paraId="42F1CA0C" w14:textId="47E19EB7">
      <w:pPr>
        <w:snapToGrid w:val="0"/>
        <w:spacing w:line="300" w:lineRule="auto"/>
        <w:rPr>
          <w:rFonts w:ascii="宋体" w:eastAsia="宋体" w:hAnsi="宋体"/>
          <w:bCs/>
          <w:szCs w:val="21"/>
        </w:rPr>
      </w:pPr>
    </w:p>
    <w:tbl>
      <w:tblPr>
        <w:tblStyle w:val="TableNormal"/>
        <w:tblW w:w="6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85"/>
        <w:gridCol w:w="2031"/>
      </w:tblGrid>
      <w:tr w14:paraId="169EA3EB" w14:textId="77777777">
        <w:tblPrEx>
          <w:tblW w:w="6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433"/>
          <w:jc w:val="center"/>
        </w:trPr>
        <w:tc>
          <w:tcPr>
            <w:tcW w:w="4485" w:type="dxa"/>
          </w:tcPr>
          <w:p w:rsidR="00D359BE" w14:paraId="50E10833" w14:textId="77777777">
            <w:pPr>
              <w:spacing w:line="400" w:lineRule="atLeast"/>
              <w:jc w:val="left"/>
            </w:pPr>
            <w:r>
              <w:rPr>
                <w:noProof/>
              </w:rPr>
              <mc:AlternateContent>
                <mc:Choice Requires="wps">
                  <w:drawing>
                    <wp:anchor distT="0" distB="0" distL="114300" distR="114300" simplePos="0" relativeHeight="251683840" behindDoc="0" locked="0" layoutInCell="1" allowOverlap="1">
                      <wp:simplePos x="0" y="0"/>
                      <wp:positionH relativeFrom="column">
                        <wp:posOffset>1646555</wp:posOffset>
                      </wp:positionH>
                      <wp:positionV relativeFrom="paragraph">
                        <wp:posOffset>94615</wp:posOffset>
                      </wp:positionV>
                      <wp:extent cx="920750" cy="892810"/>
                      <wp:effectExtent l="0" t="0" r="12700" b="21590"/>
                      <wp:wrapNone/>
                      <wp:docPr id="24" name="流程图: 接点 2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20750" cy="892810"/>
                              </a:xfrm>
                              <a:prstGeom prst="flowChartConnector">
                                <a:avLst/>
                              </a:prstGeom>
                              <a:solidFill>
                                <a:srgbClr val="FFFFFF"/>
                              </a:solidFill>
                              <a:ln w="9525">
                                <a:solidFill>
                                  <a:srgbClr val="000000"/>
                                </a:solidFill>
                                <a:round/>
                              </a:ln>
                            </wps:spPr>
                            <wps:txbx>
                              <w:txbxContent>
                                <w:p w:rsidR="00CA7143"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20</w:t>
                                  </w:r>
                                  <w:r>
                                    <w:rPr>
                                      <w:rFonts w:ascii="Times New Roman" w:eastAsia="宋体" w:hAnsi="Times New Roman" w:cs="Times New Roman"/>
                                      <w:sz w:val="18"/>
                                      <w:szCs w:val="18"/>
                                      <w:vertAlign w:val="superscript"/>
                                    </w:rPr>
                                    <w:t>#</w:t>
                                  </w:r>
                                  <w:r>
                                    <w:rPr>
                                      <w:rFonts w:ascii="Times New Roman" w:eastAsia="宋体" w:hAnsi="Times New Roman" w:cs="Times New Roman"/>
                                      <w:sz w:val="18"/>
                                      <w:szCs w:val="18"/>
                                    </w:rPr>
                                    <w:t>轻柴</w:t>
                                  </w:r>
                                </w:p>
                                <w:p w:rsidR="00CA7143" w14:textId="77777777">
                                  <w:pPr>
                                    <w:jc w:val="center"/>
                                  </w:pPr>
                                </w:p>
                              </w:txbxContent>
                            </wps:txbx>
                            <wps:bodyPr rot="0" vert="horz" wrap="square" lIns="91440" tIns="45720" rIns="91440" bIns="45720" anchor="t" anchorCtr="0" upright="1"/>
                          </wps:wsp>
                        </a:graphicData>
                      </a:graphic>
                    </wp:anchor>
                  </w:drawing>
                </mc:Choice>
                <mc:Fallback>
                  <w:pict>
                    <v:shape id="流程图: 接点 24" o:spid="_x0000_s1048" type="#_x0000_t120" style="width:72.5pt;height:70.3pt;margin-top:7.45pt;margin-left:129.65pt;mso-wrap-distance-bottom:0;mso-wrap-distance-left:9pt;mso-wrap-distance-right:9pt;mso-wrap-distance-top:0;position:absolute;v-text-anchor:top;z-index:251682816" fillcolor="white" stroked="t" strokecolor="black" strokeweight="0.75pt">
                      <v:stroke joinstyle="round"/>
                      <v:textbox>
                        <w:txbxContent>
                          <w:p w:rsidR="00CA7143" w14:paraId="03850D53"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20</w:t>
                            </w:r>
                            <w:r>
                              <w:rPr>
                                <w:rFonts w:ascii="Times New Roman" w:eastAsia="宋体" w:hAnsi="Times New Roman" w:cs="Times New Roman"/>
                                <w:sz w:val="18"/>
                                <w:szCs w:val="18"/>
                                <w:vertAlign w:val="superscript"/>
                              </w:rPr>
                              <w:t>#</w:t>
                            </w:r>
                            <w:r>
                              <w:rPr>
                                <w:rFonts w:ascii="Times New Roman" w:eastAsia="宋体" w:hAnsi="Times New Roman" w:cs="Times New Roman"/>
                                <w:sz w:val="18"/>
                                <w:szCs w:val="18"/>
                              </w:rPr>
                              <w:t>轻柴</w:t>
                            </w:r>
                          </w:p>
                          <w:p w:rsidR="00CA7143" w14:paraId="225CCC5F" w14:textId="77777777">
                            <w:pPr>
                              <w:jc w:val="center"/>
                            </w:pPr>
                          </w:p>
                        </w:txbxContent>
                      </v:textbox>
                    </v:shape>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1646555</wp:posOffset>
                      </wp:positionH>
                      <wp:positionV relativeFrom="paragraph">
                        <wp:posOffset>1184275</wp:posOffset>
                      </wp:positionV>
                      <wp:extent cx="920750" cy="892810"/>
                      <wp:effectExtent l="0" t="0" r="12700" b="21590"/>
                      <wp:wrapNone/>
                      <wp:docPr id="23" name="流程图: 接点 2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20750" cy="892810"/>
                              </a:xfrm>
                              <a:prstGeom prst="flowChartConnector">
                                <a:avLst/>
                              </a:prstGeom>
                              <a:solidFill>
                                <a:srgbClr val="FFFFFF"/>
                              </a:solidFill>
                              <a:ln w="9525">
                                <a:solidFill>
                                  <a:srgbClr val="000000"/>
                                </a:solidFill>
                                <a:round/>
                              </a:ln>
                            </wps:spPr>
                            <wps:txbx>
                              <w:txbxContent>
                                <w:p w:rsidR="00CA7143"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20</w:t>
                                  </w:r>
                                  <w:r>
                                    <w:rPr>
                                      <w:rFonts w:ascii="Times New Roman" w:eastAsia="宋体" w:hAnsi="Times New Roman" w:cs="Times New Roman"/>
                                      <w:sz w:val="18"/>
                                      <w:szCs w:val="18"/>
                                      <w:vertAlign w:val="superscript"/>
                                    </w:rPr>
                                    <w:t>#</w:t>
                                  </w:r>
                                  <w:r>
                                    <w:rPr>
                                      <w:rFonts w:ascii="Times New Roman" w:eastAsia="宋体" w:hAnsi="Times New Roman" w:cs="Times New Roman"/>
                                      <w:sz w:val="18"/>
                                      <w:szCs w:val="18"/>
                                    </w:rPr>
                                    <w:t>轻柴</w:t>
                                  </w:r>
                                </w:p>
                                <w:p w:rsidR="00CA7143" w14:textId="77777777">
                                  <w:pPr>
                                    <w:jc w:val="center"/>
                                  </w:pPr>
                                </w:p>
                              </w:txbxContent>
                            </wps:txbx>
                            <wps:bodyPr rot="0" vert="horz" wrap="square" lIns="91440" tIns="45720" rIns="91440" bIns="45720" anchor="t" anchorCtr="0" upright="1"/>
                          </wps:wsp>
                        </a:graphicData>
                      </a:graphic>
                    </wp:anchor>
                  </w:drawing>
                </mc:Choice>
                <mc:Fallback>
                  <w:pict>
                    <v:shape id="流程图: 接点 23" o:spid="_x0000_s1049" type="#_x0000_t120" style="width:72.5pt;height:70.3pt;margin-top:93.25pt;margin-left:129.65pt;mso-wrap-distance-bottom:0;mso-wrap-distance-left:9pt;mso-wrap-distance-right:9pt;mso-wrap-distance-top:0;position:absolute;v-text-anchor:top;z-index:251680768" fillcolor="white" stroked="t" strokecolor="black" strokeweight="0.75pt">
                      <v:stroke joinstyle="round"/>
                      <v:textbox>
                        <w:txbxContent>
                          <w:p w:rsidR="00CA7143" w14:paraId="270FE203"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20</w:t>
                            </w:r>
                            <w:r>
                              <w:rPr>
                                <w:rFonts w:ascii="Times New Roman" w:eastAsia="宋体" w:hAnsi="Times New Roman" w:cs="Times New Roman"/>
                                <w:sz w:val="18"/>
                                <w:szCs w:val="18"/>
                                <w:vertAlign w:val="superscript"/>
                              </w:rPr>
                              <w:t>#</w:t>
                            </w:r>
                            <w:r>
                              <w:rPr>
                                <w:rFonts w:ascii="Times New Roman" w:eastAsia="宋体" w:hAnsi="Times New Roman" w:cs="Times New Roman"/>
                                <w:sz w:val="18"/>
                                <w:szCs w:val="18"/>
                              </w:rPr>
                              <w:t>轻柴</w:t>
                            </w:r>
                          </w:p>
                          <w:p w:rsidR="00CA7143" w14:paraId="275E56BF" w14:textId="77777777">
                            <w:pPr>
                              <w:jc w:val="center"/>
                            </w:pPr>
                          </w:p>
                        </w:txbxContent>
                      </v:textbox>
                    </v:shap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160655</wp:posOffset>
                      </wp:positionH>
                      <wp:positionV relativeFrom="paragraph">
                        <wp:posOffset>94615</wp:posOffset>
                      </wp:positionV>
                      <wp:extent cx="920750" cy="892810"/>
                      <wp:effectExtent l="0" t="0" r="12700" b="21590"/>
                      <wp:wrapNone/>
                      <wp:docPr id="21" name="流程图: 接点 2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20750" cy="892810"/>
                              </a:xfrm>
                              <a:prstGeom prst="flowChartConnector">
                                <a:avLst/>
                              </a:prstGeom>
                            </wps:spPr>
                            <wps:style>
                              <a:lnRef idx="2">
                                <a:schemeClr val="dk1"/>
                              </a:lnRef>
                              <a:fillRef idx="1">
                                <a:schemeClr val="lt1"/>
                              </a:fillRef>
                              <a:effectRef idx="0">
                                <a:schemeClr val="dk1"/>
                              </a:effectRef>
                              <a:fontRef idx="minor">
                                <a:schemeClr val="dk1"/>
                              </a:fontRef>
                            </wps:style>
                            <wps:txbx>
                              <w:txbxContent>
                                <w:p w:rsidR="00CA7143"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10</w:t>
                                  </w:r>
                                  <w:r>
                                    <w:rPr>
                                      <w:rFonts w:ascii="Times New Roman" w:eastAsia="宋体" w:hAnsi="Times New Roman" w:cs="Times New Roman"/>
                                      <w:sz w:val="18"/>
                                      <w:szCs w:val="18"/>
                                      <w:vertAlign w:val="superscript"/>
                                    </w:rPr>
                                    <w:t>#</w:t>
                                  </w:r>
                                  <w:r>
                                    <w:rPr>
                                      <w:rFonts w:ascii="Times New Roman" w:eastAsia="宋体" w:hAnsi="Times New Roman" w:cs="Times New Roman"/>
                                      <w:sz w:val="18"/>
                                      <w:szCs w:val="18"/>
                                    </w:rPr>
                                    <w:t>轻柴</w:t>
                                  </w:r>
                                </w:p>
                              </w:txbxContent>
                            </wps:txbx>
                            <wps:bodyPr rot="0" vert="horz" wrap="square" lIns="91440" tIns="45720" rIns="91440" bIns="45720" anchor="t" anchorCtr="0" upright="1"/>
                          </wps:wsp>
                        </a:graphicData>
                      </a:graphic>
                    </wp:anchor>
                  </w:drawing>
                </mc:Choice>
                <mc:Fallback>
                  <w:pict>
                    <v:shape id="流程图: 接点 21" o:spid="_x0000_s1050" type="#_x0000_t120" style="width:72.5pt;height:70.3pt;margin-top:7.45pt;margin-left:12.65pt;mso-wrap-distance-bottom:0;mso-wrap-distance-left:9pt;mso-wrap-distance-right:9pt;mso-wrap-distance-top:0;position:absolute;v-text-anchor:top;z-index:251676672" fillcolor="white" stroked="t" strokecolor="black" strokeweight="1pt">
                      <v:textbox>
                        <w:txbxContent>
                          <w:p w:rsidR="00CA7143" w14:paraId="5719BB5B"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10</w:t>
                            </w:r>
                            <w:r>
                              <w:rPr>
                                <w:rFonts w:ascii="Times New Roman" w:eastAsia="宋体" w:hAnsi="Times New Roman" w:cs="Times New Roman"/>
                                <w:sz w:val="18"/>
                                <w:szCs w:val="18"/>
                                <w:vertAlign w:val="superscript"/>
                              </w:rPr>
                              <w:t>#</w:t>
                            </w:r>
                            <w:r>
                              <w:rPr>
                                <w:rFonts w:ascii="Times New Roman" w:eastAsia="宋体" w:hAnsi="Times New Roman" w:cs="Times New Roman"/>
                                <w:sz w:val="18"/>
                                <w:szCs w:val="18"/>
                              </w:rPr>
                              <w:t>轻柴</w:t>
                            </w:r>
                          </w:p>
                        </w:txbxContent>
                      </v:textbox>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160655</wp:posOffset>
                      </wp:positionH>
                      <wp:positionV relativeFrom="paragraph">
                        <wp:posOffset>1184275</wp:posOffset>
                      </wp:positionV>
                      <wp:extent cx="920750" cy="892810"/>
                      <wp:effectExtent l="0" t="0" r="12700" b="21590"/>
                      <wp:wrapNone/>
                      <wp:docPr id="15" name="流程图: 接点 1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20750" cy="892810"/>
                              </a:xfrm>
                              <a:prstGeom prst="flowChartConnector">
                                <a:avLst/>
                              </a:prstGeom>
                              <a:solidFill>
                                <a:srgbClr val="FFFFFF"/>
                              </a:solidFill>
                              <a:ln w="9525">
                                <a:solidFill>
                                  <a:srgbClr val="000000"/>
                                </a:solidFill>
                                <a:round/>
                              </a:ln>
                            </wps:spPr>
                            <wps:txbx>
                              <w:txbxContent>
                                <w:p w:rsidR="00CA7143"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10</w:t>
                                  </w:r>
                                  <w:r>
                                    <w:rPr>
                                      <w:rFonts w:ascii="Times New Roman" w:eastAsia="宋体" w:hAnsi="Times New Roman" w:cs="Times New Roman"/>
                                      <w:sz w:val="18"/>
                                      <w:szCs w:val="18"/>
                                      <w:vertAlign w:val="superscript"/>
                                    </w:rPr>
                                    <w:t>#</w:t>
                                  </w:r>
                                  <w:r>
                                    <w:rPr>
                                      <w:rFonts w:ascii="Times New Roman" w:eastAsia="宋体" w:hAnsi="Times New Roman" w:cs="Times New Roman"/>
                                      <w:sz w:val="18"/>
                                      <w:szCs w:val="18"/>
                                    </w:rPr>
                                    <w:t>轻柴</w:t>
                                  </w:r>
                                </w:p>
                                <w:p w:rsidR="00CA7143" w14:textId="77777777">
                                  <w:pPr>
                                    <w:jc w:val="center"/>
                                  </w:pPr>
                                </w:p>
                              </w:txbxContent>
                            </wps:txbx>
                            <wps:bodyPr rot="0" vert="horz" wrap="square" lIns="91440" tIns="45720" rIns="91440" bIns="45720" anchor="t" anchorCtr="0" upright="1"/>
                          </wps:wsp>
                        </a:graphicData>
                      </a:graphic>
                    </wp:anchor>
                  </w:drawing>
                </mc:Choice>
                <mc:Fallback>
                  <w:pict>
                    <v:shape id="流程图: 接点 15" o:spid="_x0000_s1051" type="#_x0000_t120" style="width:72.5pt;height:70.3pt;margin-top:93.25pt;margin-left:12.65pt;mso-wrap-distance-bottom:0;mso-wrap-distance-left:9pt;mso-wrap-distance-right:9pt;mso-wrap-distance-top:0;position:absolute;v-text-anchor:top;z-index:251678720" fillcolor="white" stroked="t" strokecolor="black" strokeweight="0.75pt">
                      <v:stroke joinstyle="round"/>
                      <v:textbox>
                        <w:txbxContent>
                          <w:p w:rsidR="00CA7143" w14:paraId="4CDA614D"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10</w:t>
                            </w:r>
                            <w:r>
                              <w:rPr>
                                <w:rFonts w:ascii="Times New Roman" w:eastAsia="宋体" w:hAnsi="Times New Roman" w:cs="Times New Roman"/>
                                <w:sz w:val="18"/>
                                <w:szCs w:val="18"/>
                                <w:vertAlign w:val="superscript"/>
                              </w:rPr>
                              <w:t>#</w:t>
                            </w:r>
                            <w:r>
                              <w:rPr>
                                <w:rFonts w:ascii="Times New Roman" w:eastAsia="宋体" w:hAnsi="Times New Roman" w:cs="Times New Roman"/>
                                <w:sz w:val="18"/>
                                <w:szCs w:val="18"/>
                              </w:rPr>
                              <w:t>轻柴</w:t>
                            </w:r>
                          </w:p>
                          <w:p w:rsidR="00CA7143" w14:paraId="70D3938C" w14:textId="77777777">
                            <w:pPr>
                              <w:jc w:val="center"/>
                            </w:pPr>
                          </w:p>
                        </w:txbxContent>
                      </v:textbox>
                    </v:shape>
                  </w:pict>
                </mc:Fallback>
              </mc:AlternateContent>
            </w:r>
          </w:p>
        </w:tc>
        <w:tc>
          <w:tcPr>
            <w:tcW w:w="2031" w:type="dxa"/>
          </w:tcPr>
          <w:p w:rsidR="00D359BE" w14:paraId="64045E33" w14:textId="77777777">
            <w:pPr>
              <w:spacing w:line="400" w:lineRule="atLeast"/>
              <w:jc w:val="left"/>
            </w:pPr>
            <w:r>
              <w:rPr>
                <w:noProof/>
              </w:rPr>
              <mc:AlternateContent>
                <mc:Choice Requires="wps">
                  <w:drawing>
                    <wp:anchor distT="0" distB="0" distL="114300" distR="114300" simplePos="0" relativeHeight="251685888" behindDoc="0" locked="0" layoutInCell="1" allowOverlap="1">
                      <wp:simplePos x="0" y="0"/>
                      <wp:positionH relativeFrom="column">
                        <wp:posOffset>226695</wp:posOffset>
                      </wp:positionH>
                      <wp:positionV relativeFrom="paragraph">
                        <wp:posOffset>1272540</wp:posOffset>
                      </wp:positionV>
                      <wp:extent cx="685800" cy="693420"/>
                      <wp:effectExtent l="0" t="0" r="19050" b="11430"/>
                      <wp:wrapNone/>
                      <wp:docPr id="26" name="流程图: 接点 2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a:solidFill>
                                <a:srgbClr val="FFFFFF"/>
                              </a:solidFill>
                              <a:ln w="9525">
                                <a:solidFill>
                                  <a:srgbClr val="000000"/>
                                </a:solidFill>
                                <a:round/>
                              </a:ln>
                            </wps:spPr>
                            <wps:txbx>
                              <w:txbxContent>
                                <w:p w:rsidR="00CA7143"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20</w:t>
                                  </w:r>
                                  <w:r>
                                    <w:rPr>
                                      <w:rFonts w:ascii="Times New Roman" w:eastAsia="宋体" w:hAnsi="Times New Roman" w:cs="Times New Roman"/>
                                      <w:sz w:val="18"/>
                                      <w:szCs w:val="18"/>
                                      <w:vertAlign w:val="superscript"/>
                                    </w:rPr>
                                    <w:t>#</w:t>
                                  </w:r>
                                  <w:r>
                                    <w:rPr>
                                      <w:rFonts w:ascii="Times New Roman" w:eastAsia="宋体" w:hAnsi="Times New Roman" w:cs="Times New Roman" w:hint="eastAsia"/>
                                      <w:sz w:val="18"/>
                                      <w:szCs w:val="18"/>
                                    </w:rPr>
                                    <w:t>重</w:t>
                                  </w:r>
                                  <w:r>
                                    <w:rPr>
                                      <w:rFonts w:ascii="Times New Roman" w:eastAsia="宋体" w:hAnsi="Times New Roman" w:cs="Times New Roman"/>
                                      <w:sz w:val="18"/>
                                      <w:szCs w:val="18"/>
                                    </w:rPr>
                                    <w:t>柴</w:t>
                                  </w:r>
                                </w:p>
                                <w:p w:rsidR="00CA7143" w14:textId="77777777">
                                  <w:pPr>
                                    <w:jc w:val="center"/>
                                  </w:pPr>
                                </w:p>
                              </w:txbxContent>
                            </wps:txbx>
                            <wps:bodyPr rot="0" vert="horz" wrap="square" lIns="91440" tIns="45720" rIns="91440" bIns="45720" anchor="t" anchorCtr="0" upright="1"/>
                          </wps:wsp>
                        </a:graphicData>
                      </a:graphic>
                    </wp:anchor>
                  </w:drawing>
                </mc:Choice>
                <mc:Fallback>
                  <w:pict>
                    <v:shape id="流程图: 接点 26" o:spid="_x0000_s1052" type="#_x0000_t120" style="width:54pt;height:54.6pt;margin-top:100.2pt;margin-left:17.85pt;mso-wrap-distance-bottom:0;mso-wrap-distance-left:9pt;mso-wrap-distance-right:9pt;mso-wrap-distance-top:0;position:absolute;v-text-anchor:top;z-index:251684864" fillcolor="white" stroked="t" strokecolor="black" strokeweight="0.75pt">
                      <v:stroke joinstyle="round"/>
                      <v:textbox>
                        <w:txbxContent>
                          <w:p w:rsidR="00CA7143" w14:paraId="7638299C"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20</w:t>
                            </w:r>
                            <w:r>
                              <w:rPr>
                                <w:rFonts w:ascii="Times New Roman" w:eastAsia="宋体" w:hAnsi="Times New Roman" w:cs="Times New Roman"/>
                                <w:sz w:val="18"/>
                                <w:szCs w:val="18"/>
                                <w:vertAlign w:val="superscript"/>
                              </w:rPr>
                              <w:t>#</w:t>
                            </w:r>
                            <w:r>
                              <w:rPr>
                                <w:rFonts w:ascii="Times New Roman" w:eastAsia="宋体" w:hAnsi="Times New Roman" w:cs="Times New Roman" w:hint="eastAsia"/>
                                <w:sz w:val="18"/>
                                <w:szCs w:val="18"/>
                              </w:rPr>
                              <w:t>重</w:t>
                            </w:r>
                            <w:r>
                              <w:rPr>
                                <w:rFonts w:ascii="Times New Roman" w:eastAsia="宋体" w:hAnsi="Times New Roman" w:cs="Times New Roman"/>
                                <w:sz w:val="18"/>
                                <w:szCs w:val="18"/>
                              </w:rPr>
                              <w:t>柴</w:t>
                            </w:r>
                          </w:p>
                          <w:p w:rsidR="00CA7143" w14:paraId="63A14BB7" w14:textId="77777777">
                            <w:pPr>
                              <w:jc w:val="center"/>
                            </w:pPr>
                          </w:p>
                        </w:txbxContent>
                      </v:textbox>
                    </v:shape>
                  </w:pict>
                </mc:Fallback>
              </mc:AlternateContent>
            </w:r>
            <w:r>
              <w:rPr>
                <w:noProof/>
              </w:rPr>
              <mc:AlternateContent>
                <mc:Choice Requires="wps">
                  <w:drawing>
                    <wp:anchor distT="0" distB="0" distL="114300" distR="114300" simplePos="0" relativeHeight="251687936" behindDoc="0" locked="0" layoutInCell="1" allowOverlap="1">
                      <wp:simplePos x="0" y="0"/>
                      <wp:positionH relativeFrom="column">
                        <wp:posOffset>230505</wp:posOffset>
                      </wp:positionH>
                      <wp:positionV relativeFrom="paragraph">
                        <wp:posOffset>196215</wp:posOffset>
                      </wp:positionV>
                      <wp:extent cx="685800" cy="693420"/>
                      <wp:effectExtent l="0" t="0" r="19050" b="11430"/>
                      <wp:wrapNone/>
                      <wp:docPr id="28" name="流程图: 接点 2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693420"/>
                              </a:xfrm>
                              <a:prstGeom prst="flowChartConnector">
                                <a:avLst/>
                              </a:prstGeom>
                              <a:solidFill>
                                <a:srgbClr val="FFFFFF"/>
                              </a:solidFill>
                              <a:ln w="9525">
                                <a:solidFill>
                                  <a:srgbClr val="000000"/>
                                </a:solidFill>
                                <a:round/>
                              </a:ln>
                            </wps:spPr>
                            <wps:txbx>
                              <w:txbxContent>
                                <w:p w:rsidR="00CA7143"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10</w:t>
                                  </w:r>
                                  <w:r>
                                    <w:rPr>
                                      <w:rFonts w:ascii="Times New Roman" w:eastAsia="宋体" w:hAnsi="Times New Roman" w:cs="Times New Roman"/>
                                      <w:sz w:val="18"/>
                                      <w:szCs w:val="18"/>
                                      <w:vertAlign w:val="superscript"/>
                                    </w:rPr>
                                    <w:t>#</w:t>
                                  </w:r>
                                  <w:r>
                                    <w:rPr>
                                      <w:rFonts w:ascii="Times New Roman" w:eastAsia="宋体" w:hAnsi="Times New Roman" w:cs="Times New Roman" w:hint="eastAsia"/>
                                      <w:sz w:val="18"/>
                                      <w:szCs w:val="18"/>
                                    </w:rPr>
                                    <w:t>重</w:t>
                                  </w:r>
                                  <w:r>
                                    <w:rPr>
                                      <w:rFonts w:ascii="Times New Roman" w:eastAsia="宋体" w:hAnsi="Times New Roman" w:cs="Times New Roman"/>
                                      <w:sz w:val="18"/>
                                      <w:szCs w:val="18"/>
                                    </w:rPr>
                                    <w:t>柴</w:t>
                                  </w:r>
                                </w:p>
                                <w:p w:rsidR="00CA7143" w14:textId="77777777">
                                  <w:pPr>
                                    <w:jc w:val="center"/>
                                  </w:pPr>
                                </w:p>
                              </w:txbxContent>
                            </wps:txbx>
                            <wps:bodyPr rot="0" vert="horz" wrap="square" lIns="91440" tIns="45720" rIns="91440" bIns="45720" anchor="t" anchorCtr="0" upright="1"/>
                          </wps:wsp>
                        </a:graphicData>
                      </a:graphic>
                    </wp:anchor>
                  </w:drawing>
                </mc:Choice>
                <mc:Fallback>
                  <w:pict>
                    <v:shape id="流程图: 接点 28" o:spid="_x0000_s1053" type="#_x0000_t120" style="width:54pt;height:54.6pt;margin-top:15.45pt;margin-left:18.15pt;mso-wrap-distance-bottom:0;mso-wrap-distance-left:9pt;mso-wrap-distance-right:9pt;mso-wrap-distance-top:0;position:absolute;v-text-anchor:top;z-index:251686912" fillcolor="white" stroked="t" strokecolor="black" strokeweight="0.75pt">
                      <v:stroke joinstyle="round"/>
                      <v:textbox>
                        <w:txbxContent>
                          <w:p w:rsidR="00CA7143" w14:paraId="3BA1ED18" w14:textId="77777777">
                            <w:pPr>
                              <w:jc w:val="center"/>
                              <w:rPr>
                                <w:rFonts w:ascii="Times New Roman" w:eastAsia="宋体" w:hAnsi="Times New Roman" w:cs="Times New Roman"/>
                                <w:sz w:val="18"/>
                                <w:szCs w:val="18"/>
                              </w:rPr>
                            </w:pPr>
                            <w:r>
                              <w:rPr>
                                <w:rFonts w:ascii="Times New Roman" w:eastAsia="宋体" w:hAnsi="Times New Roman" w:cs="Times New Roman"/>
                                <w:sz w:val="18"/>
                                <w:szCs w:val="18"/>
                              </w:rPr>
                              <w:t>10</w:t>
                            </w:r>
                            <w:r>
                              <w:rPr>
                                <w:rFonts w:ascii="Times New Roman" w:eastAsia="宋体" w:hAnsi="Times New Roman" w:cs="Times New Roman"/>
                                <w:sz w:val="18"/>
                                <w:szCs w:val="18"/>
                                <w:vertAlign w:val="superscript"/>
                              </w:rPr>
                              <w:t>#</w:t>
                            </w:r>
                            <w:r>
                              <w:rPr>
                                <w:rFonts w:ascii="Times New Roman" w:eastAsia="宋体" w:hAnsi="Times New Roman" w:cs="Times New Roman" w:hint="eastAsia"/>
                                <w:sz w:val="18"/>
                                <w:szCs w:val="18"/>
                              </w:rPr>
                              <w:t>重</w:t>
                            </w:r>
                            <w:r>
                              <w:rPr>
                                <w:rFonts w:ascii="Times New Roman" w:eastAsia="宋体" w:hAnsi="Times New Roman" w:cs="Times New Roman"/>
                                <w:sz w:val="18"/>
                                <w:szCs w:val="18"/>
                              </w:rPr>
                              <w:t>柴</w:t>
                            </w:r>
                          </w:p>
                          <w:p w:rsidR="00CA7143" w14:paraId="4E1172AE" w14:textId="77777777">
                            <w:pPr>
                              <w:jc w:val="center"/>
                            </w:pPr>
                          </w:p>
                        </w:txbxContent>
                      </v:textbox>
                    </v:shape>
                  </w:pict>
                </mc:Fallback>
              </mc:AlternateContent>
            </w:r>
          </w:p>
        </w:tc>
      </w:tr>
    </w:tbl>
    <w:p w:rsidR="00F14C2B" w:rsidP="00F14C2B" w14:paraId="0E90FFDD" w14:textId="59D7D5B5">
      <w:pPr>
        <w:snapToGrid w:val="0"/>
        <w:spacing w:line="300" w:lineRule="auto"/>
        <w:ind w:firstLine="420" w:firstLineChars="200"/>
        <w:jc w:val="center"/>
        <w:rPr>
          <w:rFonts w:ascii="宋体" w:eastAsia="宋体" w:hAnsi="宋体"/>
          <w:bCs/>
          <w:szCs w:val="21"/>
        </w:rPr>
      </w:pPr>
      <w:r>
        <w:rPr>
          <w:rFonts w:ascii="宋体" w:eastAsia="宋体" w:hAnsi="宋体" w:hint="eastAsia"/>
          <w:bCs/>
          <w:szCs w:val="21"/>
        </w:rPr>
        <w:t>图</w:t>
      </w:r>
      <w:r>
        <w:rPr>
          <w:rFonts w:ascii="Times New Roman" w:eastAsia="宋体" w:hAnsi="Times New Roman" w:cs="Times New Roman"/>
          <w:bCs/>
          <w:szCs w:val="21"/>
        </w:rPr>
        <w:t xml:space="preserve">3.2 </w:t>
      </w:r>
      <w:r>
        <w:rPr>
          <w:rFonts w:ascii="宋体" w:eastAsia="宋体" w:hAnsi="宋体" w:hint="eastAsia"/>
          <w:bCs/>
          <w:szCs w:val="21"/>
        </w:rPr>
        <w:t>柴油</w:t>
      </w:r>
      <w:r>
        <w:rPr>
          <w:rFonts w:ascii="宋体" w:eastAsia="宋体" w:hAnsi="宋体" w:hint="eastAsia"/>
          <w:bCs/>
          <w:szCs w:val="21"/>
        </w:rPr>
        <w:t>油</w:t>
      </w:r>
      <w:r>
        <w:rPr>
          <w:rFonts w:ascii="Times New Roman" w:eastAsia="宋体" w:hAnsi="Times New Roman" w:cs="Times New Roman" w:hint="eastAsia"/>
          <w:bCs/>
          <w:szCs w:val="21"/>
        </w:rPr>
        <w:t>灌区</w:t>
      </w:r>
      <w:r>
        <w:rPr>
          <w:rFonts w:ascii="宋体" w:eastAsia="宋体" w:hAnsi="宋体" w:hint="eastAsia"/>
          <w:bCs/>
          <w:szCs w:val="21"/>
        </w:rPr>
        <w:t>图</w:t>
      </w:r>
    </w:p>
    <w:p w:rsidR="00D359BE" w14:paraId="5F033C98" w14:textId="77777777">
      <w:pPr>
        <w:snapToGrid w:val="0"/>
        <w:spacing w:line="300" w:lineRule="auto"/>
        <w:ind w:firstLine="420" w:firstLineChars="200"/>
        <w:jc w:val="center"/>
        <w:rPr>
          <w:rFonts w:ascii="宋体" w:eastAsia="宋体" w:hAnsi="宋体"/>
          <w:szCs w:val="21"/>
        </w:rPr>
      </w:pPr>
    </w:p>
    <w:p w:rsidR="00D359BE" w:rsidRPr="00F14C2B" w:rsidP="00F14C2B" w14:paraId="1A388556" w14:textId="7BDDB912">
      <w:pPr>
        <w:adjustRightIn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长度：</w:t>
      </w:r>
      <w:r>
        <w:rPr>
          <w:rFonts w:ascii="Times New Roman" w:eastAsia="宋体" w:hAnsi="Times New Roman" w:cs="Times New Roman"/>
          <w:position w:val="-12"/>
          <w:sz w:val="24"/>
          <w:szCs w:val="24"/>
        </w:rPr>
        <w:object>
          <v:shape id="_x0000_i1054" type="#_x0000_t75" style="width:210.55pt;height:18.55pt" o:ole="">
            <v:imagedata r:id="rId148" o:title=""/>
          </v:shape>
          <o:OLEObject Type="Embed" ProgID="Equation.DSMT4" ShapeID="_x0000_i1054" DrawAspect="Content" ObjectID="_1771596906" r:id="rId149"/>
        </w:object>
      </w:r>
    </w:p>
    <w:p w:rsidR="00D359BE" w:rsidRPr="00F14C2B" w:rsidP="00F14C2B" w14:paraId="05600039" w14:textId="1733E949">
      <w:pPr>
        <w:adjustRightIn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宽度：</w:t>
      </w:r>
      <w:r>
        <w:rPr>
          <w:rFonts w:ascii="Times New Roman" w:eastAsia="宋体" w:hAnsi="Times New Roman" w:cs="Times New Roman"/>
          <w:position w:val="-12"/>
          <w:sz w:val="24"/>
          <w:szCs w:val="24"/>
        </w:rPr>
        <w:object>
          <v:shape id="_x0000_i1055" type="#_x0000_t75" style="width:145.1pt;height:18.55pt" o:ole="">
            <v:imagedata r:id="rId150" o:title=""/>
          </v:shape>
          <o:OLEObject Type="Embed" ProgID="Equation.DSMT4" ShapeID="_x0000_i1055" DrawAspect="Content" ObjectID="_1771596907" r:id="rId151"/>
        </w:object>
      </w:r>
    </w:p>
    <w:p w:rsidR="00D359BE" w:rsidRPr="00F14C2B" w:rsidP="00F14C2B" w14:paraId="4EF5453A" w14:textId="3C366A5C">
      <w:pPr>
        <w:adjustRightIn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罐区有效面积：</w:t>
      </w:r>
      <w:r>
        <w:rPr>
          <w:rFonts w:ascii="Times New Roman" w:eastAsia="宋体" w:hAnsi="Times New Roman" w:cs="Times New Roman"/>
          <w:position w:val="-10"/>
          <w:sz w:val="24"/>
          <w:szCs w:val="24"/>
        </w:rPr>
        <w:object>
          <v:shape id="_x0000_i1056" type="#_x0000_t75" style="width:300pt;height:18.55pt" o:ole="">
            <v:imagedata r:id="rId152" o:title=""/>
          </v:shape>
          <o:OLEObject Type="Embed" ProgID="Equation.DSMT4" ShapeID="_x0000_i1056" DrawAspect="Content" ObjectID="_1771596908" r:id="rId153"/>
        </w:object>
      </w:r>
    </w:p>
    <w:p w:rsidR="00D359BE" w:rsidRPr="00F14C2B" w:rsidP="00F14C2B" w14:paraId="326D9697" w14:textId="4AF2FFF3">
      <w:pPr>
        <w:adjustRightInd w:val="0"/>
        <w:spacing w:line="300" w:lineRule="auto"/>
        <w:ind w:firstLine="480" w:firstLineChars="200"/>
        <w:jc w:val="left"/>
        <w:rPr>
          <w:rFonts w:ascii="Times New Roman" w:eastAsia="宋体" w:hAnsi="Times New Roman" w:cs="Times New Roman"/>
          <w:sz w:val="24"/>
          <w:szCs w:val="24"/>
        </w:rPr>
      </w:pPr>
      <w:r w:rsidRPr="00F14C2B">
        <w:rPr>
          <w:rFonts w:ascii="Times New Roman" w:eastAsia="宋体" w:hAnsi="Times New Roman" w:cs="Times New Roman"/>
          <w:sz w:val="24"/>
          <w:szCs w:val="24"/>
        </w:rPr>
        <w:t>防火堤高度：</w:t>
      </w:r>
      <w:r>
        <w:rPr>
          <w:rFonts w:ascii="Times New Roman" w:eastAsia="宋体" w:hAnsi="Times New Roman" w:cs="Times New Roman"/>
          <w:position w:val="-24"/>
          <w:sz w:val="24"/>
          <w:szCs w:val="24"/>
        </w:rPr>
        <w:object>
          <v:shape id="_x0000_i1057" type="#_x0000_t75" style="width:176.75pt;height:31.65pt" o:ole="">
            <v:imagedata r:id="rId154" o:title=""/>
          </v:shape>
          <o:OLEObject Type="Embed" ProgID="Equation.DSMT4" ShapeID="_x0000_i1057" DrawAspect="Content" ObjectID="_1771596909" r:id="rId155"/>
        </w:object>
      </w:r>
    </w:p>
    <w:p w:rsidR="00D359BE" w:rsidRPr="00F14C2B" w:rsidP="00F14C2B" w14:paraId="3136F480" w14:textId="27CD696F">
      <w:pPr>
        <w:adjustRightInd w:val="0"/>
        <w:spacing w:line="300" w:lineRule="auto"/>
        <w:ind w:firstLine="480" w:firstLineChars="200"/>
        <w:jc w:val="left"/>
        <w:rPr>
          <w:rFonts w:ascii="Times New Roman" w:eastAsia="宋体" w:hAnsi="Times New Roman" w:cs="Times New Roman"/>
          <w:sz w:val="24"/>
          <w:szCs w:val="24"/>
        </w:rPr>
      </w:pPr>
      <w:r>
        <w:rPr>
          <w:rFonts w:ascii="Times New Roman" w:eastAsia="宋体" w:hAnsi="Times New Roman" w:cs="Times New Roman"/>
          <w:position w:val="-14"/>
          <w:sz w:val="24"/>
          <w:szCs w:val="24"/>
        </w:rPr>
        <w:object>
          <v:shape id="_x0000_i1058" type="#_x0000_t75" style="width:171.25pt;height:19.65pt" o:ole="">
            <v:imagedata r:id="rId156" o:title=""/>
          </v:shape>
          <o:OLEObject Type="Embed" ProgID="Equation.DSMT4" ShapeID="_x0000_i1058" DrawAspect="Content" ObjectID="_1771596910" r:id="rId157"/>
        </w:object>
      </w:r>
    </w:p>
    <w:p w:rsidR="00D359BE" w:rsidRPr="00F14C2B" w:rsidP="00F14C2B" w14:paraId="244E9D95" w14:textId="77777777">
      <w:pPr>
        <w:adjustRightInd w:val="0"/>
        <w:spacing w:line="300" w:lineRule="auto"/>
        <w:ind w:firstLine="480" w:firstLineChars="200"/>
        <w:jc w:val="left"/>
        <w:rPr>
          <w:rFonts w:ascii="Times New Roman" w:eastAsia="宋体" w:hAnsi="Times New Roman" w:cs="Times New Roman"/>
          <w:sz w:val="24"/>
          <w:szCs w:val="24"/>
        </w:rPr>
      </w:pPr>
      <w:r w:rsidRPr="00F14C2B">
        <w:rPr>
          <w:rFonts w:ascii="Times New Roman" w:eastAsia="宋体" w:hAnsi="Times New Roman" w:cs="Times New Roman"/>
          <w:sz w:val="24"/>
          <w:szCs w:val="24"/>
        </w:rPr>
        <w:t>防火堤高度为</w:t>
      </w:r>
      <w:r w:rsidRPr="00F14C2B">
        <w:rPr>
          <w:rFonts w:ascii="Times New Roman" w:eastAsia="宋体" w:hAnsi="Times New Roman" w:cs="Times New Roman"/>
          <w:sz w:val="24"/>
          <w:szCs w:val="24"/>
        </w:rPr>
        <w:t>1m</w:t>
      </w:r>
      <w:r w:rsidRPr="00F14C2B">
        <w:rPr>
          <w:rFonts w:ascii="Times New Roman" w:eastAsia="宋体" w:hAnsi="Times New Roman" w:cs="Times New Roman"/>
          <w:sz w:val="24"/>
          <w:szCs w:val="24"/>
        </w:rPr>
        <w:t>。</w:t>
      </w:r>
    </w:p>
    <w:p w:rsidR="00D359BE" w:rsidRPr="001C2293" w:rsidP="001C2293" w14:paraId="770010C0" w14:textId="786DA30C">
      <w:pPr>
        <w:pStyle w:val="Heading2"/>
        <w:adjustRightInd w:val="0"/>
        <w:snapToGrid w:val="0"/>
        <w:spacing w:before="120" w:beforeLines="50" w:after="0" w:line="360" w:lineRule="auto"/>
        <w:rPr>
          <w:rFonts w:ascii="Times New Roman" w:hAnsi="Times New Roman" w:cs="Times New Roman"/>
          <w:b w:val="0"/>
        </w:rPr>
      </w:pPr>
      <w:bookmarkStart w:id="54" w:name="_Toc135660730"/>
      <w:r w:rsidRPr="001C2293">
        <w:rPr>
          <w:rFonts w:ascii="Times New Roman" w:hAnsi="Times New Roman" w:cs="Times New Roman"/>
          <w:b w:val="0"/>
        </w:rPr>
        <w:t>3.4</w:t>
      </w:r>
      <w:r w:rsidRPr="001C2293" w:rsidR="007C777D">
        <w:rPr>
          <w:rFonts w:ascii="Times New Roman" w:hAnsi="Times New Roman" w:cs="Times New Roman" w:hint="eastAsia"/>
          <w:b w:val="0"/>
        </w:rPr>
        <w:t xml:space="preserve"> </w:t>
      </w:r>
      <w:r w:rsidRPr="001C2293">
        <w:rPr>
          <w:rFonts w:ascii="Times New Roman" w:hAnsi="Times New Roman" w:cs="Times New Roman" w:hint="eastAsia"/>
          <w:b w:val="0"/>
        </w:rPr>
        <w:t>本章小结</w:t>
      </w:r>
      <w:bookmarkEnd w:id="54"/>
    </w:p>
    <w:p w:rsidR="00D359BE" w:rsidP="00F14C2B" w14:paraId="588F9BB8" w14:textId="77777777">
      <w:pPr>
        <w:adjustRightInd w:val="0"/>
        <w:snapToGrid w:val="0"/>
        <w:spacing w:line="300" w:lineRule="auto"/>
        <w:ind w:firstLine="480" w:firstLineChars="200"/>
        <w:rPr>
          <w:rFonts w:ascii="Times New Roman" w:eastAsia="宋体" w:hAnsi="Times New Roman" w:cs="Times New Roman"/>
          <w:sz w:val="24"/>
          <w:szCs w:val="24"/>
          <w:lang w:val="zh-CN"/>
        </w:rPr>
        <w:sectPr>
          <w:headerReference w:type="even" r:id="rId158"/>
          <w:headerReference w:type="default" r:id="rId159"/>
          <w:footerReference w:type="even" r:id="rId160"/>
          <w:footerReference w:type="default" r:id="rId161"/>
          <w:headerReference w:type="first" r:id="rId162"/>
          <w:footerReference w:type="first" r:id="rId163"/>
          <w:type w:val="nextPage"/>
          <w:pgSz w:w="11906" w:h="16838"/>
          <w:pgMar w:top="1985" w:right="1418" w:bottom="1418" w:left="1418" w:header="1417" w:footer="1134" w:gutter="0"/>
          <w:pgNumType w:start="14"/>
          <w:cols w:space="425"/>
          <w:titlePg w:val="0"/>
          <w:docGrid w:linePitch="312"/>
        </w:sectPr>
      </w:pPr>
      <w:r>
        <w:rPr>
          <w:rFonts w:ascii="Times New Roman" w:eastAsia="宋体" w:hAnsi="Times New Roman" w:cs="Times New Roman"/>
          <w:sz w:val="24"/>
          <w:szCs w:val="24"/>
          <w:lang w:val="zh-CN"/>
        </w:rPr>
        <w:t>本</w:t>
      </w:r>
      <w:r>
        <w:rPr>
          <w:rFonts w:ascii="Times New Roman" w:eastAsia="宋体" w:hAnsi="Times New Roman" w:cs="Times New Roman" w:hint="eastAsia"/>
          <w:sz w:val="24"/>
          <w:szCs w:val="24"/>
          <w:lang w:val="zh-CN"/>
        </w:rPr>
        <w:t>章根据</w:t>
      </w:r>
      <w:r>
        <w:rPr>
          <w:rFonts w:ascii="Times New Roman" w:eastAsia="宋体" w:hAnsi="Times New Roman" w:cs="Times New Roman"/>
          <w:sz w:val="24"/>
          <w:szCs w:val="24"/>
          <w:lang w:val="zh-CN"/>
        </w:rPr>
        <w:t>周转系数法确认本油库是库容为</w:t>
      </w:r>
      <w:r>
        <w:rPr>
          <w:rFonts w:ascii="Times New Roman" w:eastAsia="宋体" w:hAnsi="Times New Roman" w:cs="Times New Roman"/>
          <w:sz w:val="24"/>
          <w:szCs w:val="24"/>
          <w:lang w:val="zh-CN"/>
        </w:rPr>
        <w:t>1200</w:t>
      </w:r>
      <w:r>
        <w:rPr>
          <w:rFonts w:ascii="Times New Roman" w:eastAsia="宋体" w:hAnsi="Times New Roman" w:cs="Times New Roman" w:hint="eastAsia"/>
          <w:sz w:val="24"/>
          <w:szCs w:val="24"/>
        </w:rPr>
        <w:t>00</w:t>
      </w:r>
      <w:r>
        <w:rPr>
          <w:rFonts w:ascii="Times New Roman" w:eastAsia="宋体" w:hAnsi="Times New Roman" w:cs="Times New Roman"/>
          <w:sz w:val="24"/>
          <w:szCs w:val="24"/>
          <w:lang w:val="zh-CN"/>
        </w:rPr>
        <w:t>m</w:t>
      </w:r>
      <w:r>
        <w:rPr>
          <w:rFonts w:ascii="Times New Roman" w:eastAsia="宋体" w:hAnsi="Times New Roman" w:cs="Times New Roman"/>
          <w:sz w:val="24"/>
          <w:szCs w:val="24"/>
          <w:vertAlign w:val="superscript"/>
          <w:lang w:val="zh-CN"/>
        </w:rPr>
        <w:t>3</w:t>
      </w:r>
      <w:r>
        <w:rPr>
          <w:rFonts w:ascii="Times New Roman" w:eastAsia="宋体" w:hAnsi="Times New Roman" w:cs="Times New Roman"/>
          <w:sz w:val="24"/>
          <w:szCs w:val="24"/>
          <w:lang w:val="zh-CN"/>
        </w:rPr>
        <w:t>的一级成品油油库，</w:t>
      </w:r>
      <w:r>
        <w:rPr>
          <w:rFonts w:ascii="Times New Roman" w:eastAsia="宋体" w:hAnsi="Times New Roman" w:cs="Times New Roman" w:hint="eastAsia"/>
          <w:sz w:val="24"/>
          <w:szCs w:val="24"/>
          <w:lang w:val="zh-CN"/>
        </w:rPr>
        <w:t>9</w:t>
      </w:r>
      <w:r>
        <w:rPr>
          <w:rFonts w:ascii="Times New Roman" w:eastAsia="宋体" w:hAnsi="Times New Roman" w:cs="Times New Roman"/>
          <w:sz w:val="24"/>
          <w:szCs w:val="24"/>
          <w:lang w:val="zh-CN"/>
        </w:rPr>
        <w:t>2</w:t>
      </w:r>
      <w:r>
        <w:rPr>
          <w:rFonts w:ascii="Times New Roman" w:eastAsia="宋体" w:hAnsi="Times New Roman" w:cs="Times New Roman"/>
          <w:sz w:val="24"/>
          <w:szCs w:val="24"/>
          <w:vertAlign w:val="superscript"/>
          <w:lang w:val="zh-CN"/>
        </w:rPr>
        <w:t>#</w:t>
      </w:r>
      <w:r>
        <w:rPr>
          <w:rFonts w:ascii="Times New Roman" w:eastAsia="宋体" w:hAnsi="Times New Roman" w:cs="Times New Roman" w:hint="eastAsia"/>
          <w:sz w:val="24"/>
          <w:szCs w:val="24"/>
          <w:lang w:val="zh-CN"/>
        </w:rPr>
        <w:t>汽油、</w:t>
      </w:r>
      <w:r>
        <w:rPr>
          <w:rFonts w:ascii="Times New Roman" w:eastAsia="宋体" w:hAnsi="Times New Roman" w:cs="Times New Roman" w:hint="eastAsia"/>
          <w:sz w:val="24"/>
          <w:szCs w:val="24"/>
          <w:lang w:val="zh-CN"/>
        </w:rPr>
        <w:t>9</w:t>
      </w:r>
      <w:r>
        <w:rPr>
          <w:rFonts w:ascii="Times New Roman" w:eastAsia="宋体" w:hAnsi="Times New Roman" w:cs="Times New Roman"/>
          <w:sz w:val="24"/>
          <w:szCs w:val="24"/>
          <w:lang w:val="zh-CN"/>
        </w:rPr>
        <w:t>5</w:t>
      </w:r>
      <w:r>
        <w:rPr>
          <w:rFonts w:ascii="Times New Roman" w:eastAsia="宋体" w:hAnsi="Times New Roman" w:cs="Times New Roman"/>
          <w:sz w:val="24"/>
          <w:szCs w:val="24"/>
          <w:vertAlign w:val="superscript"/>
          <w:lang w:val="zh-CN"/>
        </w:rPr>
        <w:t>#</w:t>
      </w:r>
      <w:r>
        <w:rPr>
          <w:rFonts w:ascii="Times New Roman" w:eastAsia="宋体" w:hAnsi="Times New Roman" w:cs="Times New Roman" w:hint="eastAsia"/>
          <w:sz w:val="24"/>
          <w:szCs w:val="24"/>
          <w:lang w:val="zh-CN"/>
        </w:rPr>
        <w:t>汽油、</w:t>
      </w:r>
      <w:r>
        <w:rPr>
          <w:rFonts w:ascii="Times New Roman" w:eastAsia="宋体" w:hAnsi="Times New Roman" w:cs="Times New Roman" w:hint="eastAsia"/>
          <w:sz w:val="24"/>
          <w:szCs w:val="24"/>
          <w:lang w:val="zh-CN"/>
        </w:rPr>
        <w:t>9</w:t>
      </w:r>
      <w:r>
        <w:rPr>
          <w:rFonts w:ascii="Times New Roman" w:eastAsia="宋体" w:hAnsi="Times New Roman" w:cs="Times New Roman"/>
          <w:sz w:val="24"/>
          <w:szCs w:val="24"/>
          <w:lang w:val="zh-CN"/>
        </w:rPr>
        <w:t>8</w:t>
      </w:r>
      <w:r>
        <w:rPr>
          <w:rFonts w:ascii="Times New Roman" w:eastAsia="宋体" w:hAnsi="Times New Roman" w:cs="Times New Roman"/>
          <w:sz w:val="24"/>
          <w:szCs w:val="24"/>
          <w:vertAlign w:val="superscript"/>
          <w:lang w:val="zh-CN"/>
        </w:rPr>
        <w:t>#</w:t>
      </w:r>
      <w:r>
        <w:rPr>
          <w:rFonts w:ascii="Times New Roman" w:eastAsia="宋体" w:hAnsi="Times New Roman" w:cs="Times New Roman" w:hint="eastAsia"/>
          <w:sz w:val="24"/>
          <w:szCs w:val="24"/>
          <w:lang w:val="zh-CN"/>
        </w:rPr>
        <w:t>汽油、航空汽油及轻柴油</w:t>
      </w:r>
      <w:r>
        <w:rPr>
          <w:rFonts w:ascii="Times New Roman" w:eastAsia="宋体" w:hAnsi="Times New Roman" w:cs="Times New Roman"/>
          <w:sz w:val="24"/>
          <w:szCs w:val="24"/>
          <w:lang w:val="zh-CN"/>
        </w:rPr>
        <w:t>选用</w:t>
      </w:r>
      <w:r>
        <w:rPr>
          <w:rFonts w:ascii="Times New Roman" w:eastAsia="宋体" w:hAnsi="Times New Roman" w:cs="Times New Roman"/>
          <w:sz w:val="24"/>
          <w:szCs w:val="24"/>
          <w:lang w:val="zh-CN"/>
        </w:rPr>
        <w:t>13</w:t>
      </w:r>
      <w:r>
        <w:rPr>
          <w:rFonts w:ascii="Times New Roman" w:eastAsia="宋体" w:hAnsi="Times New Roman" w:cs="Times New Roman"/>
          <w:sz w:val="24"/>
          <w:szCs w:val="24"/>
          <w:lang w:val="zh-CN"/>
        </w:rPr>
        <w:t>个内浮顶罐</w:t>
      </w:r>
      <w:r>
        <w:rPr>
          <w:rFonts w:ascii="Times New Roman" w:eastAsia="宋体" w:hAnsi="Times New Roman" w:cs="Times New Roman" w:hint="eastAsia"/>
          <w:sz w:val="24"/>
          <w:szCs w:val="24"/>
          <w:lang w:val="zh-CN"/>
        </w:rPr>
        <w:t>、重柴油选用</w:t>
      </w:r>
      <w:r>
        <w:rPr>
          <w:rFonts w:ascii="Times New Roman" w:eastAsia="宋体" w:hAnsi="Times New Roman" w:cs="Times New Roman"/>
          <w:sz w:val="24"/>
          <w:szCs w:val="24"/>
          <w:lang w:val="zh-CN"/>
        </w:rPr>
        <w:t>2</w:t>
      </w:r>
      <w:r>
        <w:rPr>
          <w:rFonts w:ascii="Times New Roman" w:eastAsia="宋体" w:hAnsi="Times New Roman" w:cs="Times New Roman"/>
          <w:sz w:val="24"/>
          <w:szCs w:val="24"/>
          <w:lang w:val="zh-CN"/>
        </w:rPr>
        <w:t>个拱顶罐。</w:t>
      </w:r>
      <w:r>
        <w:rPr>
          <w:rFonts w:ascii="Times New Roman" w:eastAsia="宋体" w:hAnsi="Times New Roman" w:cs="Times New Roman" w:hint="eastAsia"/>
          <w:sz w:val="24"/>
          <w:szCs w:val="24"/>
          <w:lang w:val="zh-CN"/>
        </w:rPr>
        <w:t>按照设计规范计算得出汽油罐区面积为</w:t>
      </w:r>
      <w:r>
        <w:rPr>
          <w:rFonts w:ascii="Times New Roman" w:eastAsia="宋体" w:hAnsi="Times New Roman" w:cs="Times New Roman" w:hint="eastAsia"/>
          <w:sz w:val="24"/>
          <w:szCs w:val="24"/>
          <w:lang w:val="zh-CN"/>
        </w:rPr>
        <w:t>1</w:t>
      </w:r>
      <w:r>
        <w:rPr>
          <w:rFonts w:ascii="Times New Roman" w:eastAsia="宋体" w:hAnsi="Times New Roman" w:cs="Times New Roman"/>
          <w:sz w:val="24"/>
          <w:szCs w:val="24"/>
          <w:lang w:val="zh-CN"/>
        </w:rPr>
        <w:t>4547.39</w:t>
      </w:r>
      <w:r>
        <w:rPr>
          <w:rFonts w:ascii="Times New Roman" w:eastAsia="宋体" w:hAnsi="Times New Roman" w:cs="Times New Roman" w:hint="eastAsia"/>
          <w:sz w:val="24"/>
          <w:szCs w:val="24"/>
          <w:lang w:val="zh-CN"/>
        </w:rPr>
        <w:t>m</w:t>
      </w:r>
      <w:r>
        <w:rPr>
          <w:rFonts w:ascii="Times New Roman" w:eastAsia="宋体" w:hAnsi="Times New Roman" w:cs="Times New Roman"/>
          <w:sz w:val="24"/>
          <w:szCs w:val="24"/>
          <w:vertAlign w:val="superscript"/>
          <w:lang w:val="zh-CN"/>
        </w:rPr>
        <w:t>2</w:t>
      </w:r>
      <w:r>
        <w:rPr>
          <w:rFonts w:ascii="Times New Roman" w:eastAsia="宋体" w:hAnsi="Times New Roman" w:cs="Times New Roman" w:hint="eastAsia"/>
          <w:sz w:val="24"/>
          <w:szCs w:val="24"/>
          <w:lang w:val="zh-CN"/>
        </w:rPr>
        <w:t>、柴油罐区面积为</w:t>
      </w:r>
      <w:r>
        <w:rPr>
          <w:rFonts w:ascii="Times New Roman" w:eastAsia="宋体" w:hAnsi="Times New Roman" w:cs="Times New Roman" w:hint="eastAsia"/>
          <w:sz w:val="24"/>
          <w:szCs w:val="24"/>
          <w:lang w:val="zh-CN"/>
        </w:rPr>
        <w:t>7</w:t>
      </w:r>
      <w:r>
        <w:rPr>
          <w:rFonts w:ascii="Times New Roman" w:eastAsia="宋体" w:hAnsi="Times New Roman" w:cs="Times New Roman"/>
          <w:sz w:val="24"/>
          <w:szCs w:val="24"/>
          <w:lang w:val="zh-CN"/>
        </w:rPr>
        <w:t>446</w:t>
      </w:r>
      <w:r>
        <w:rPr>
          <w:rFonts w:ascii="Times New Roman" w:eastAsia="宋体" w:hAnsi="Times New Roman" w:cs="Times New Roman" w:hint="eastAsia"/>
          <w:sz w:val="24"/>
          <w:szCs w:val="24"/>
          <w:lang w:val="zh-CN"/>
        </w:rPr>
        <w:t>.</w:t>
      </w:r>
      <w:r>
        <w:rPr>
          <w:rFonts w:ascii="Times New Roman" w:eastAsia="宋体" w:hAnsi="Times New Roman" w:cs="Times New Roman"/>
          <w:sz w:val="24"/>
          <w:szCs w:val="24"/>
          <w:lang w:val="zh-CN"/>
        </w:rPr>
        <w:t>82</w:t>
      </w:r>
      <w:r>
        <w:rPr>
          <w:rFonts w:ascii="Times New Roman" w:eastAsia="宋体" w:hAnsi="Times New Roman" w:cs="Times New Roman" w:hint="eastAsia"/>
          <w:sz w:val="24"/>
          <w:szCs w:val="24"/>
          <w:lang w:val="zh-CN"/>
        </w:rPr>
        <w:t>m</w:t>
      </w:r>
      <w:r>
        <w:rPr>
          <w:rFonts w:ascii="Times New Roman" w:eastAsia="宋体" w:hAnsi="Times New Roman" w:cs="Times New Roman"/>
          <w:sz w:val="24"/>
          <w:szCs w:val="24"/>
          <w:vertAlign w:val="superscript"/>
          <w:lang w:val="zh-CN"/>
        </w:rPr>
        <w:t>2</w:t>
      </w:r>
      <w:r>
        <w:rPr>
          <w:rFonts w:ascii="Times New Roman" w:eastAsia="宋体" w:hAnsi="Times New Roman" w:cs="Times New Roman" w:hint="eastAsia"/>
          <w:sz w:val="24"/>
          <w:szCs w:val="24"/>
          <w:lang w:val="zh-CN"/>
        </w:rPr>
        <w:t>以及两区的防火堤高度都为</w:t>
      </w:r>
      <w:r>
        <w:rPr>
          <w:rFonts w:ascii="Times New Roman" w:eastAsia="宋体" w:hAnsi="Times New Roman" w:cs="Times New Roman" w:hint="eastAsia"/>
          <w:sz w:val="24"/>
          <w:szCs w:val="24"/>
          <w:lang w:val="zh-CN"/>
        </w:rPr>
        <w:t>1m</w:t>
      </w:r>
      <w:r>
        <w:rPr>
          <w:rFonts w:ascii="Times New Roman" w:eastAsia="宋体" w:hAnsi="Times New Roman" w:cs="Times New Roman" w:hint="eastAsia"/>
          <w:sz w:val="24"/>
          <w:szCs w:val="24"/>
          <w:lang w:val="zh-CN"/>
        </w:rPr>
        <w:t>。</w:t>
      </w:r>
    </w:p>
    <w:p w:rsidR="00D359BE" w:rsidRPr="001C2293" w:rsidP="001C2293" w14:paraId="30804709" w14:textId="77777777">
      <w:pPr>
        <w:pStyle w:val="Heading1"/>
        <w:adjustRightInd w:val="0"/>
        <w:snapToGrid w:val="0"/>
        <w:spacing w:before="0" w:beforeLines="0" w:after="220"/>
        <w:rPr>
          <w:rFonts w:ascii="Times New Roman" w:hAnsi="Times New Roman" w:cs="Times New Roman"/>
          <w:b w:val="0"/>
          <w:sz w:val="30"/>
          <w:szCs w:val="30"/>
        </w:rPr>
      </w:pPr>
      <w:bookmarkStart w:id="55" w:name="_Toc135660731"/>
      <w:r w:rsidRPr="001C2293">
        <w:rPr>
          <w:rFonts w:ascii="Times New Roman" w:hAnsi="Times New Roman" w:cs="Times New Roman" w:hint="eastAsia"/>
          <w:b w:val="0"/>
          <w:sz w:val="30"/>
          <w:szCs w:val="30"/>
        </w:rPr>
        <w:t xml:space="preserve">4 </w:t>
      </w:r>
      <w:r w:rsidRPr="001C2293">
        <w:rPr>
          <w:rFonts w:ascii="Times New Roman" w:hAnsi="Times New Roman" w:cs="Times New Roman" w:hint="eastAsia"/>
          <w:b w:val="0"/>
          <w:sz w:val="30"/>
          <w:szCs w:val="30"/>
        </w:rPr>
        <w:t>装卸区设计</w:t>
      </w:r>
      <w:bookmarkEnd w:id="47"/>
      <w:bookmarkEnd w:id="55"/>
    </w:p>
    <w:p w:rsidR="00D359BE" w:rsidRPr="001C2293" w:rsidP="001C2293" w14:paraId="4431E8FB" w14:textId="77777777">
      <w:pPr>
        <w:pStyle w:val="Heading2"/>
        <w:adjustRightInd w:val="0"/>
        <w:snapToGrid w:val="0"/>
        <w:spacing w:before="120" w:beforeLines="50" w:after="0" w:line="360" w:lineRule="auto"/>
        <w:rPr>
          <w:rFonts w:ascii="Times New Roman" w:hAnsi="Times New Roman" w:cs="Times New Roman"/>
          <w:b w:val="0"/>
        </w:rPr>
      </w:pPr>
      <w:bookmarkStart w:id="56" w:name="_Toc168967592"/>
      <w:bookmarkStart w:id="57" w:name="_Toc262902807"/>
      <w:bookmarkStart w:id="58" w:name="_Toc169958504"/>
      <w:bookmarkStart w:id="59" w:name="_Toc168967683"/>
      <w:bookmarkStart w:id="60" w:name="_Toc294692594"/>
      <w:bookmarkStart w:id="61" w:name="_Toc168490325"/>
      <w:bookmarkStart w:id="62" w:name="_Toc135660732"/>
      <w:r w:rsidRPr="001C2293">
        <w:rPr>
          <w:rFonts w:ascii="Times New Roman" w:hAnsi="Times New Roman" w:cs="Times New Roman"/>
          <w:b w:val="0"/>
        </w:rPr>
        <w:t>4.1</w:t>
      </w:r>
      <w:r w:rsidRPr="001C2293">
        <w:rPr>
          <w:rFonts w:ascii="Times New Roman" w:hAnsi="Times New Roman" w:cs="Times New Roman" w:hint="eastAsia"/>
          <w:b w:val="0"/>
        </w:rPr>
        <w:t xml:space="preserve"> </w:t>
      </w:r>
      <w:r w:rsidRPr="001C2293">
        <w:rPr>
          <w:rFonts w:ascii="Times New Roman" w:hAnsi="Times New Roman" w:cs="Times New Roman"/>
          <w:b w:val="0"/>
        </w:rPr>
        <w:t>根据作业情况确定每天到库的车位数</w:t>
      </w:r>
      <w:bookmarkEnd w:id="56"/>
      <w:bookmarkEnd w:id="57"/>
      <w:bookmarkEnd w:id="58"/>
      <w:bookmarkEnd w:id="59"/>
      <w:bookmarkEnd w:id="60"/>
      <w:bookmarkEnd w:id="61"/>
      <w:bookmarkEnd w:id="62"/>
    </w:p>
    <w:p w:rsidR="00D359BE" w:rsidP="00F14C2B" w14:paraId="49C3AE50" w14:textId="77777777">
      <w:pPr>
        <w:adjustRightInd w:val="0"/>
        <w:snapToGrid w:val="0"/>
        <w:spacing w:line="30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GB50074</w:t>
      </w:r>
      <w:r>
        <w:rPr>
          <w:rFonts w:ascii="Times New Roman" w:eastAsia="宋体" w:hAnsi="Times New Roman" w:cs="Times New Roman" w:hint="eastAsia"/>
          <w:sz w:val="24"/>
          <w:szCs w:val="24"/>
        </w:rPr>
        <w:t>-2014</w:t>
      </w:r>
      <w:r>
        <w:rPr>
          <w:rFonts w:ascii="Times New Roman" w:eastAsia="宋体" w:hAnsi="Times New Roman" w:cs="Times New Roman"/>
          <w:sz w:val="24"/>
          <w:szCs w:val="24"/>
        </w:rPr>
        <w:t>《石油库设计规范》中对一次到库的最多油罐车数的计算进行了规定：</w:t>
      </w:r>
    </w:p>
    <w:tbl>
      <w:tblPr>
        <w:tblStyle w:val="TableNormal"/>
        <w:tblW w:w="0" w:type="auto"/>
        <w:jc w:val="center"/>
        <w:tblLook w:val="04A0"/>
      </w:tblPr>
      <w:tblGrid>
        <w:gridCol w:w="3002"/>
        <w:gridCol w:w="3040"/>
        <w:gridCol w:w="3028"/>
      </w:tblGrid>
      <w:tr w14:paraId="48A8D10D" w14:textId="77777777">
        <w:tblPrEx>
          <w:tblW w:w="0" w:type="auto"/>
          <w:jc w:val="center"/>
          <w:tblLook w:val="04A0"/>
        </w:tblPrEx>
        <w:trPr>
          <w:jc w:val="center"/>
        </w:trPr>
        <w:tc>
          <w:tcPr>
            <w:tcW w:w="3095" w:type="dxa"/>
            <w:shd w:val="clear" w:color="auto" w:fill="auto"/>
            <w:vAlign w:val="center"/>
          </w:tcPr>
          <w:p w:rsidR="00D359BE" w14:paraId="730317B0" w14:textId="77777777">
            <w:pPr>
              <w:rPr>
                <w:rFonts w:ascii="Times New Roman" w:eastAsia="宋体" w:hAnsi="Times New Roman" w:cs="Times New Roman"/>
                <w:sz w:val="24"/>
                <w:szCs w:val="24"/>
              </w:rPr>
            </w:pPr>
          </w:p>
        </w:tc>
        <w:tc>
          <w:tcPr>
            <w:tcW w:w="3096" w:type="dxa"/>
            <w:shd w:val="clear" w:color="auto" w:fill="auto"/>
            <w:vAlign w:val="center"/>
          </w:tcPr>
          <w:p w:rsidR="00D359BE" w:rsidP="00F14C2B" w14:paraId="58B0B8F7" w14:textId="7777777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59" type="#_x0000_t75" style="width:57.8pt;height:32.75pt" o:ole="">
                  <v:imagedata r:id="rId164" o:title=""/>
                </v:shape>
                <o:OLEObject Type="Embed" ProgID="Equation.DSMT4" ShapeID="_x0000_i1059" DrawAspect="Content" ObjectID="_1771596911" r:id="rId165"/>
              </w:object>
            </w:r>
          </w:p>
        </w:tc>
        <w:tc>
          <w:tcPr>
            <w:tcW w:w="3096" w:type="dxa"/>
            <w:shd w:val="clear" w:color="auto" w:fill="auto"/>
            <w:vAlign w:val="center"/>
          </w:tcPr>
          <w:p w:rsidR="00D359BE" w:rsidP="00F14C2B" w14:paraId="0EB4C9A7" w14:textId="3BCFFA93">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4"/>
                <w:sz w:val="24"/>
                <w:szCs w:val="24"/>
              </w:rPr>
              <w:object>
                <v:shape id="_x0000_i1060" type="#_x0000_t75" style="width:8.75pt;height:14.2pt" o:ole="">
                  <v:imagedata r:id="rId166" o:title=""/>
                </v:shape>
                <o:OLEObject Type="Embed" ProgID="Equation.DSMT4" ShapeID="_x0000_i1060" DrawAspect="Content" ObjectID="_1771596912" r:id="rId167"/>
              </w:object>
            </w:r>
            <w:r>
              <w:rPr>
                <w:rFonts w:ascii="Times New Roman" w:eastAsia="宋体" w:hAnsi="Times New Roman" w:cs="Times New Roman"/>
                <w:sz w:val="24"/>
                <w:szCs w:val="24"/>
              </w:rPr>
              <w:t xml:space="preserve">  </w:t>
            </w:r>
            <w:r w:rsidR="00F14C2B">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4.1</w:t>
            </w:r>
            <w:r>
              <w:rPr>
                <w:rFonts w:ascii="Times New Roman" w:eastAsia="宋体" w:hAnsi="Times New Roman" w:cs="Times New Roman"/>
                <w:sz w:val="24"/>
                <w:szCs w:val="24"/>
              </w:rPr>
              <w:t>）</w:t>
            </w:r>
          </w:p>
        </w:tc>
      </w:tr>
    </w:tbl>
    <w:p w:rsidR="00D359BE" w:rsidRPr="00F14C2B" w:rsidP="00F14C2B" w14:paraId="40C8CDCB" w14:textId="1184CF27">
      <w:pPr>
        <w:adjustRightInd w:val="0"/>
        <w:snapToGrid w:val="0"/>
        <w:spacing w:line="300" w:lineRule="auto"/>
        <w:rPr>
          <w:rFonts w:ascii="Times New Roman" w:eastAsia="宋体" w:hAnsi="Times New Roman" w:cs="Times New Roman"/>
          <w:sz w:val="24"/>
          <w:szCs w:val="24"/>
        </w:rPr>
      </w:pPr>
      <w:r>
        <w:rPr>
          <w:rFonts w:ascii="Times New Roman" w:eastAsia="宋体" w:hAnsi="Times New Roman" w:cs="Times New Roman"/>
          <w:sz w:val="24"/>
          <w:szCs w:val="24"/>
        </w:rPr>
        <w:t>式中：</w:t>
      </w:r>
      <w:r>
        <w:rPr>
          <w:rFonts w:ascii="Times New Roman" w:eastAsia="宋体" w:hAnsi="Times New Roman"/>
          <w:position w:val="-6"/>
          <w:sz w:val="24"/>
          <w:szCs w:val="24"/>
        </w:rPr>
        <w:object>
          <v:shape id="_x0000_i1061" type="#_x0000_t75" style="width:13.1pt;height:14.2pt" o:ole="">
            <v:imagedata r:id="rId168" o:title=""/>
          </v:shape>
          <o:OLEObject Type="Embed" ProgID="Equation.DSMT4" ShapeID="_x0000_i1061" DrawAspect="Content" ObjectID="_1771596913" r:id="rId169"/>
        </w:object>
      </w:r>
      <w:r>
        <w:rPr>
          <w:rFonts w:ascii="Times New Roman" w:eastAsia="宋体" w:hAnsi="Times New Roman" w:cs="Times New Roman"/>
          <w:sz w:val="24"/>
          <w:szCs w:val="24"/>
        </w:rPr>
        <w:t>—</w:t>
      </w:r>
      <w:r>
        <w:rPr>
          <w:rFonts w:ascii="Times New Roman" w:eastAsia="宋体" w:hAnsi="Times New Roman" w:cs="Times New Roman"/>
          <w:sz w:val="24"/>
          <w:szCs w:val="24"/>
        </w:rPr>
        <w:t>该种油品散装铁路收发的计划年周转量，</w:t>
      </w:r>
      <w:r>
        <w:rPr>
          <w:rFonts w:ascii="Times New Roman" w:eastAsia="宋体" w:hAnsi="Times New Roman" w:cs="Times New Roman"/>
          <w:sz w:val="24"/>
          <w:szCs w:val="24"/>
        </w:rPr>
        <w:t>t/a</w:t>
      </w:r>
      <w:r>
        <w:rPr>
          <w:rFonts w:ascii="Times New Roman" w:eastAsia="宋体" w:hAnsi="Times New Roman" w:cs="Times New Roman"/>
          <w:sz w:val="24"/>
          <w:szCs w:val="24"/>
        </w:rPr>
        <w:t>；</w:t>
      </w:r>
    </w:p>
    <w:p w:rsidR="00D359BE" w:rsidP="00F14C2B" w14:paraId="728BBFC8" w14:textId="77777777">
      <w:pPr>
        <w:adjustRightInd w:val="0"/>
        <w:snapToGrid w:val="0"/>
        <w:spacing w:line="30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K′—</w:t>
      </w:r>
      <w:r>
        <w:rPr>
          <w:rFonts w:ascii="Times New Roman" w:eastAsia="宋体" w:hAnsi="Times New Roman" w:cs="Times New Roman"/>
          <w:sz w:val="24"/>
          <w:szCs w:val="24"/>
        </w:rPr>
        <w:t>收发波动系数，一般取</w:t>
      </w:r>
      <w:r>
        <w:rPr>
          <w:rFonts w:ascii="Times New Roman" w:eastAsia="宋体" w:hAnsi="Times New Roman" w:cs="Times New Roman"/>
          <w:sz w:val="24"/>
          <w:szCs w:val="24"/>
        </w:rPr>
        <w:t>K′=2</w:t>
      </w: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p>
    <w:p w:rsidR="00D359BE" w:rsidP="00F14C2B" w14:paraId="76495018" w14:textId="77777777">
      <w:pPr>
        <w:adjustRightInd w:val="0"/>
        <w:snapToGrid w:val="0"/>
        <w:spacing w:line="300" w:lineRule="auto"/>
        <w:ind w:firstLine="720" w:firstLineChars="300"/>
        <w:rPr>
          <w:rFonts w:ascii="Times New Roman" w:eastAsia="宋体" w:hAnsi="Times New Roman" w:cs="Times New Roman"/>
          <w:sz w:val="24"/>
          <w:szCs w:val="24"/>
        </w:rPr>
      </w:pPr>
      <w:r>
        <w:rPr>
          <w:rFonts w:ascii="Times New Roman" w:eastAsia="宋体" w:hAnsi="Times New Roman"/>
          <w:position w:val="-6"/>
          <w:sz w:val="24"/>
          <w:szCs w:val="24"/>
        </w:rPr>
        <w:object>
          <v:shape id="_x0000_i1062" type="#_x0000_t75" style="width:12pt;height:14.2pt" o:ole="">
            <v:imagedata r:id="rId170" o:title=""/>
          </v:shape>
          <o:OLEObject Type="Embed" ProgID="Equation.DSMT4" ShapeID="_x0000_i1062" DrawAspect="Content" ObjectID="_1771596914" r:id="rId171"/>
        </w:object>
      </w:r>
      <w:r>
        <w:rPr>
          <w:rFonts w:ascii="Times New Roman" w:eastAsia="宋体" w:hAnsi="Times New Roman" w:cs="Times New Roman"/>
          <w:sz w:val="24"/>
          <w:szCs w:val="24"/>
        </w:rPr>
        <w:t>—</w:t>
      </w:r>
      <w:r>
        <w:rPr>
          <w:rFonts w:ascii="Times New Roman" w:eastAsia="宋体" w:hAnsi="Times New Roman" w:cs="Times New Roman"/>
          <w:sz w:val="24"/>
          <w:szCs w:val="24"/>
        </w:rPr>
        <w:t>一辆油罐车的容积，</w:t>
      </w:r>
      <w:r>
        <w:rPr>
          <w:rFonts w:ascii="Times New Roman" w:eastAsia="宋体" w:hAnsi="Times New Roman" w:cs="Times New Roman"/>
          <w:sz w:val="24"/>
          <w:szCs w:val="24"/>
        </w:rPr>
        <w:t>m</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w:t>
      </w:r>
    </w:p>
    <w:p w:rsidR="00D359BE" w:rsidP="00F14C2B" w14:paraId="75928D0B" w14:textId="77777777">
      <w:pPr>
        <w:adjustRightInd w:val="0"/>
        <w:snapToGrid w:val="0"/>
        <w:spacing w:line="30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360—</w:t>
      </w:r>
      <w:r>
        <w:rPr>
          <w:rFonts w:ascii="Times New Roman" w:eastAsia="宋体" w:hAnsi="Times New Roman" w:cs="Times New Roman"/>
          <w:sz w:val="24"/>
          <w:szCs w:val="24"/>
        </w:rPr>
        <w:t>一年的工作日。</w:t>
      </w:r>
    </w:p>
    <w:p w:rsidR="00D359BE" w:rsidRPr="00F14C2B" w:rsidP="00F14C2B" w14:paraId="1239E798"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计算如下：</w:t>
      </w:r>
    </w:p>
    <w:p w:rsidR="00D359BE" w:rsidRPr="00F14C2B" w:rsidP="00F14C2B" w14:paraId="52766ACA"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92</w:t>
      </w:r>
      <w:r w:rsidRPr="00F14C2B">
        <w:rPr>
          <w:rFonts w:ascii="Times New Roman" w:eastAsia="宋体" w:hAnsi="Times New Roman" w:cs="Times New Roman"/>
          <w:sz w:val="24"/>
          <w:szCs w:val="24"/>
          <w:vertAlign w:val="superscript"/>
        </w:rPr>
        <w:t>#</w:t>
      </w:r>
      <w:r w:rsidRPr="00F14C2B">
        <w:rPr>
          <w:rFonts w:ascii="Times New Roman" w:eastAsia="宋体" w:hAnsi="Times New Roman" w:cs="Times New Roman"/>
          <w:sz w:val="24"/>
          <w:szCs w:val="24"/>
        </w:rPr>
        <w:t>汽油的一次到库的最多油罐车数：</w:t>
      </w:r>
    </w:p>
    <w:p w:rsidR="00D359BE" w:rsidRPr="00F14C2B" w:rsidP="00F14C2B" w14:paraId="23EBA68B" w14:textId="7777777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63" type="#_x0000_t75" style="width:182.2pt;height:32.75pt" o:ole="">
            <v:imagedata r:id="rId172" o:title=""/>
          </v:shape>
          <o:OLEObject Type="Embed" ProgID="Equation.DSMT4" ShapeID="_x0000_i1063" DrawAspect="Content" ObjectID="_1771596915" r:id="rId173"/>
        </w:object>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t xml:space="preserve">    </w:t>
      </w:r>
      <w:r w:rsidRPr="00F14C2B">
        <w:rPr>
          <w:rFonts w:ascii="Times New Roman" w:eastAsia="宋体" w:hAnsi="Times New Roman" w:cs="Times New Roman"/>
          <w:sz w:val="24"/>
          <w:szCs w:val="24"/>
        </w:rPr>
        <w:t>向上取整为</w:t>
      </w:r>
      <w:r>
        <w:rPr>
          <w:rFonts w:ascii="Times New Roman" w:eastAsia="宋体" w:hAnsi="Times New Roman" w:cs="Times New Roman"/>
          <w:position w:val="-12"/>
          <w:sz w:val="24"/>
          <w:szCs w:val="24"/>
        </w:rPr>
        <w:object>
          <v:shape id="_x0000_i1064" type="#_x0000_t75" style="width:34.9pt;height:18.55pt" o:ole="">
            <v:imagedata r:id="rId174" o:title=""/>
          </v:shape>
          <o:OLEObject Type="Embed" ProgID="Equation.DSMT4" ShapeID="_x0000_i1064" DrawAspect="Content" ObjectID="_1771596916" r:id="rId175"/>
        </w:object>
      </w:r>
    </w:p>
    <w:p w:rsidR="00D359BE" w:rsidRPr="00F14C2B" w:rsidP="00F14C2B" w14:paraId="2260F033"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95</w:t>
      </w:r>
      <w:r w:rsidRPr="00F14C2B">
        <w:rPr>
          <w:rFonts w:ascii="Times New Roman" w:eastAsia="宋体" w:hAnsi="Times New Roman" w:cs="Times New Roman"/>
          <w:sz w:val="24"/>
          <w:szCs w:val="24"/>
          <w:vertAlign w:val="superscript"/>
        </w:rPr>
        <w:t>#</w:t>
      </w:r>
      <w:r w:rsidRPr="00F14C2B">
        <w:rPr>
          <w:rFonts w:ascii="Times New Roman" w:eastAsia="宋体" w:hAnsi="Times New Roman" w:cs="Times New Roman"/>
          <w:sz w:val="24"/>
          <w:szCs w:val="24"/>
        </w:rPr>
        <w:t>汽油的一次到库的最多油罐车数：</w:t>
      </w:r>
    </w:p>
    <w:p w:rsidR="00D359BE" w:rsidRPr="00F14C2B" w:rsidP="00F14C2B" w14:paraId="7BEB95DD" w14:textId="7777777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65" type="#_x0000_t75" style="width:181.1pt;height:32.75pt" o:ole="">
            <v:imagedata r:id="rId176" o:title=""/>
          </v:shape>
          <o:OLEObject Type="Embed" ProgID="Equation.DSMT4" ShapeID="_x0000_i1065" DrawAspect="Content" ObjectID="_1771596917" r:id="rId177"/>
        </w:object>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向上取整为</w:t>
      </w:r>
      <w:r>
        <w:rPr>
          <w:rFonts w:ascii="Times New Roman" w:eastAsia="宋体" w:hAnsi="Times New Roman" w:cs="Times New Roman"/>
          <w:position w:val="-12"/>
          <w:sz w:val="24"/>
          <w:szCs w:val="24"/>
        </w:rPr>
        <w:object>
          <v:shape id="_x0000_i1066" type="#_x0000_t75" style="width:37.1pt;height:18.55pt" o:ole="">
            <v:imagedata r:id="rId178" o:title=""/>
          </v:shape>
          <o:OLEObject Type="Embed" ProgID="Equation.DSMT4" ShapeID="_x0000_i1066" DrawAspect="Content" ObjectID="_1771596918" r:id="rId179"/>
        </w:object>
      </w:r>
    </w:p>
    <w:p w:rsidR="00D359BE" w:rsidRPr="00F14C2B" w:rsidP="00F14C2B" w14:paraId="17E1281D"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98</w:t>
      </w:r>
      <w:r w:rsidRPr="00F14C2B">
        <w:rPr>
          <w:rFonts w:ascii="Times New Roman" w:eastAsia="宋体" w:hAnsi="Times New Roman" w:cs="Times New Roman"/>
          <w:sz w:val="24"/>
          <w:szCs w:val="24"/>
          <w:vertAlign w:val="superscript"/>
        </w:rPr>
        <w:t>#</w:t>
      </w:r>
      <w:r w:rsidRPr="00F14C2B">
        <w:rPr>
          <w:rFonts w:ascii="Times New Roman" w:eastAsia="宋体" w:hAnsi="Times New Roman" w:cs="Times New Roman"/>
          <w:sz w:val="24"/>
          <w:szCs w:val="24"/>
        </w:rPr>
        <w:t>汽油的一次到库的最多油罐车数：</w:t>
      </w:r>
    </w:p>
    <w:p w:rsidR="00D359BE" w:rsidRPr="00F14C2B" w:rsidP="00F14C2B" w14:paraId="33CC9882" w14:textId="7777777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67" type="#_x0000_t75" style="width:181.1pt;height:32.75pt" o:ole="">
            <v:imagedata r:id="rId180" o:title=""/>
          </v:shape>
          <o:OLEObject Type="Embed" ProgID="Equation.DSMT4" ShapeID="_x0000_i1067" DrawAspect="Content" ObjectID="_1771596919" r:id="rId181"/>
        </w:object>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t xml:space="preserve">    </w:t>
      </w:r>
      <w:r w:rsidRPr="00F14C2B">
        <w:rPr>
          <w:rFonts w:ascii="Times New Roman" w:eastAsia="宋体" w:hAnsi="Times New Roman" w:cs="Times New Roman"/>
          <w:sz w:val="24"/>
          <w:szCs w:val="24"/>
        </w:rPr>
        <w:t>向上取整为</w:t>
      </w:r>
      <w:r>
        <w:rPr>
          <w:rFonts w:ascii="Times New Roman" w:eastAsia="宋体" w:hAnsi="Times New Roman" w:cs="Times New Roman"/>
          <w:position w:val="-12"/>
          <w:sz w:val="24"/>
          <w:szCs w:val="24"/>
        </w:rPr>
        <w:object>
          <v:shape id="_x0000_i1068" type="#_x0000_t75" style="width:36pt;height:18.55pt" o:ole="">
            <v:imagedata r:id="rId182" o:title=""/>
          </v:shape>
          <o:OLEObject Type="Embed" ProgID="Equation.DSMT4" ShapeID="_x0000_i1068" DrawAspect="Content" ObjectID="_1771596920" r:id="rId183"/>
        </w:object>
      </w:r>
    </w:p>
    <w:p w:rsidR="00D359BE" w:rsidRPr="00F14C2B" w:rsidP="00F14C2B" w14:paraId="4B038100"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航空汽油的一次到库的最多油罐车数：</w:t>
      </w:r>
    </w:p>
    <w:p w:rsidR="00D359BE" w:rsidRPr="00F14C2B" w:rsidP="00F14C2B" w14:paraId="6078CBAB" w14:textId="73E7BCF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69" type="#_x0000_t75" style="width:176.75pt;height:32.75pt" o:ole="">
            <v:imagedata r:id="rId184" o:title=""/>
          </v:shape>
          <o:OLEObject Type="Embed" ProgID="Equation.DSMT4" ShapeID="_x0000_i1069" DrawAspect="Content" ObjectID="_1771596921" r:id="rId185"/>
        </w:object>
      </w:r>
      <w:r w:rsidRPr="00F14C2B">
        <w:rPr>
          <w:rFonts w:ascii="Times New Roman" w:eastAsia="宋体" w:hAnsi="Times New Roman" w:cs="Times New Roman"/>
          <w:sz w:val="24"/>
          <w:szCs w:val="24"/>
        </w:rPr>
        <w:t xml:space="preserve">              </w:t>
      </w:r>
      <w:r w:rsidR="005661B2">
        <w:rPr>
          <w:rFonts w:ascii="Times New Roman" w:eastAsia="宋体" w:hAnsi="Times New Roman" w:cs="Times New Roman"/>
          <w:sz w:val="24"/>
          <w:szCs w:val="24"/>
        </w:rPr>
        <w:t xml:space="preserve"> </w:t>
      </w:r>
      <w:r w:rsidRPr="00F14C2B">
        <w:rPr>
          <w:rFonts w:ascii="Times New Roman" w:eastAsia="宋体" w:hAnsi="Times New Roman" w:cs="Times New Roman"/>
          <w:sz w:val="24"/>
          <w:szCs w:val="24"/>
        </w:rPr>
        <w:t xml:space="preserve"> </w:t>
      </w:r>
      <w:r w:rsidRPr="00F14C2B">
        <w:rPr>
          <w:rFonts w:ascii="Times New Roman" w:eastAsia="宋体" w:hAnsi="Times New Roman" w:cs="Times New Roman"/>
          <w:sz w:val="24"/>
          <w:szCs w:val="24"/>
        </w:rPr>
        <w:t>向上取整为</w:t>
      </w:r>
      <w:r>
        <w:rPr>
          <w:rFonts w:ascii="Times New Roman" w:eastAsia="宋体" w:hAnsi="Times New Roman" w:cs="Times New Roman"/>
          <w:position w:val="-12"/>
          <w:sz w:val="24"/>
          <w:szCs w:val="24"/>
        </w:rPr>
        <w:object>
          <v:shape id="_x0000_i1070" type="#_x0000_t75" style="width:31.65pt;height:18.55pt" o:ole="">
            <v:imagedata r:id="rId186" o:title=""/>
          </v:shape>
          <o:OLEObject Type="Embed" ProgID="Equation.DSMT4" ShapeID="_x0000_i1070" DrawAspect="Content" ObjectID="_1771596922" r:id="rId187"/>
        </w:object>
      </w:r>
    </w:p>
    <w:p w:rsidR="00D359BE" w:rsidRPr="00F14C2B" w:rsidP="00F14C2B" w14:paraId="152A43D4"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10</w:t>
      </w:r>
      <w:r w:rsidRPr="00F14C2B">
        <w:rPr>
          <w:rFonts w:ascii="Times New Roman" w:eastAsia="宋体" w:hAnsi="Times New Roman" w:cs="Times New Roman"/>
          <w:sz w:val="24"/>
          <w:szCs w:val="24"/>
          <w:vertAlign w:val="superscript"/>
        </w:rPr>
        <w:t>#</w:t>
      </w:r>
      <w:r w:rsidRPr="00F14C2B">
        <w:rPr>
          <w:rFonts w:ascii="Times New Roman" w:eastAsia="宋体" w:hAnsi="Times New Roman" w:cs="Times New Roman"/>
          <w:sz w:val="24"/>
          <w:szCs w:val="24"/>
        </w:rPr>
        <w:t>轻柴油的一次到库的最多油罐车数：</w:t>
      </w:r>
    </w:p>
    <w:p w:rsidR="00D359BE" w:rsidRPr="00F14C2B" w:rsidP="00F14C2B" w14:paraId="1178D44A" w14:textId="7777777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71" type="#_x0000_t75" style="width:182.2pt;height:32.75pt" o:ole="">
            <v:imagedata r:id="rId188" o:title=""/>
          </v:shape>
          <o:OLEObject Type="Embed" ProgID="Equation.DSMT4" ShapeID="_x0000_i1071" DrawAspect="Content" ObjectID="_1771596923" r:id="rId189"/>
        </w:object>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bookmarkStart w:id="63" w:name="_Hlk132661987"/>
      <w:r w:rsidRPr="00F14C2B">
        <w:rPr>
          <w:rFonts w:ascii="Times New Roman" w:eastAsia="宋体" w:hAnsi="Times New Roman" w:cs="Times New Roman"/>
          <w:sz w:val="24"/>
          <w:szCs w:val="24"/>
        </w:rPr>
        <w:t xml:space="preserve">    </w:t>
      </w:r>
      <w:r w:rsidRPr="00F14C2B">
        <w:rPr>
          <w:rFonts w:ascii="Times New Roman" w:eastAsia="宋体" w:hAnsi="Times New Roman" w:cs="Times New Roman"/>
          <w:sz w:val="24"/>
          <w:szCs w:val="24"/>
        </w:rPr>
        <w:t>向上取整为</w:t>
      </w:r>
      <w:r>
        <w:rPr>
          <w:rFonts w:ascii="Times New Roman" w:eastAsia="宋体" w:hAnsi="Times New Roman" w:cs="Times New Roman"/>
          <w:position w:val="-12"/>
          <w:sz w:val="24"/>
          <w:szCs w:val="24"/>
        </w:rPr>
        <w:object>
          <v:shape id="_x0000_i1072" type="#_x0000_t75" style="width:37.1pt;height:18.55pt" o:ole="">
            <v:imagedata r:id="rId190" o:title=""/>
          </v:shape>
          <o:OLEObject Type="Embed" ProgID="Equation.DSMT4" ShapeID="_x0000_i1072" DrawAspect="Content" ObjectID="_1771596924" r:id="rId191"/>
        </w:object>
      </w:r>
    </w:p>
    <w:bookmarkEnd w:id="63"/>
    <w:p w:rsidR="00D359BE" w:rsidRPr="00F14C2B" w:rsidP="00F14C2B" w14:paraId="6374DE2B"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-10</w:t>
      </w:r>
      <w:r w:rsidRPr="00F14C2B">
        <w:rPr>
          <w:rFonts w:ascii="Times New Roman" w:eastAsia="宋体" w:hAnsi="Times New Roman" w:cs="Times New Roman"/>
          <w:sz w:val="24"/>
          <w:szCs w:val="24"/>
          <w:vertAlign w:val="superscript"/>
        </w:rPr>
        <w:t>#</w:t>
      </w:r>
      <w:r w:rsidRPr="00F14C2B">
        <w:rPr>
          <w:rFonts w:ascii="Times New Roman" w:eastAsia="宋体" w:hAnsi="Times New Roman" w:cs="Times New Roman"/>
          <w:sz w:val="24"/>
          <w:szCs w:val="24"/>
        </w:rPr>
        <w:t>柴油的一次到库的最多油罐车数：</w:t>
      </w:r>
    </w:p>
    <w:p w:rsidR="00D359BE" w:rsidRPr="00F14C2B" w:rsidP="00F14C2B" w14:paraId="157BF5CF" w14:textId="7777777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73" type="#_x0000_t75" style="width:187.65pt;height:32.75pt" o:ole="">
            <v:imagedata r:id="rId192" o:title=""/>
          </v:shape>
          <o:OLEObject Type="Embed" ProgID="Equation.DSMT4" ShapeID="_x0000_i1073" DrawAspect="Content" ObjectID="_1771596925" r:id="rId193"/>
        </w:object>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t xml:space="preserve">    </w:t>
      </w:r>
      <w:r w:rsidRPr="00F14C2B">
        <w:rPr>
          <w:rFonts w:ascii="Times New Roman" w:eastAsia="宋体" w:hAnsi="Times New Roman" w:cs="Times New Roman"/>
          <w:sz w:val="24"/>
          <w:szCs w:val="24"/>
        </w:rPr>
        <w:t>向上取整为</w:t>
      </w:r>
      <w:r>
        <w:rPr>
          <w:rFonts w:ascii="Times New Roman" w:eastAsia="宋体" w:hAnsi="Times New Roman" w:cs="Times New Roman"/>
          <w:position w:val="-12"/>
          <w:sz w:val="24"/>
          <w:szCs w:val="24"/>
        </w:rPr>
        <w:object>
          <v:shape id="_x0000_i1074" type="#_x0000_t75" style="width:37.1pt;height:18.55pt" o:ole="">
            <v:imagedata r:id="rId194" o:title=""/>
          </v:shape>
          <o:OLEObject Type="Embed" ProgID="Equation.DSMT4" ShapeID="_x0000_i1074" DrawAspect="Content" ObjectID="_1771596926" r:id="rId195"/>
        </w:object>
      </w:r>
    </w:p>
    <w:p w:rsidR="00D359BE" w:rsidRPr="00F14C2B" w:rsidP="00F14C2B" w14:paraId="4F91C60A"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10</w:t>
      </w:r>
      <w:r w:rsidRPr="00F14C2B">
        <w:rPr>
          <w:rFonts w:ascii="Times New Roman" w:eastAsia="宋体" w:hAnsi="Times New Roman" w:cs="Times New Roman"/>
          <w:sz w:val="24"/>
          <w:szCs w:val="24"/>
          <w:vertAlign w:val="superscript"/>
        </w:rPr>
        <w:t>#</w:t>
      </w:r>
      <w:r w:rsidRPr="00F14C2B">
        <w:rPr>
          <w:rFonts w:ascii="Times New Roman" w:eastAsia="宋体" w:hAnsi="Times New Roman" w:cs="Times New Roman"/>
          <w:sz w:val="24"/>
          <w:szCs w:val="24"/>
        </w:rPr>
        <w:t>重柴油的一次到库的最多油罐车数：</w:t>
      </w:r>
    </w:p>
    <w:p w:rsidR="00D359BE" w:rsidRPr="00F14C2B" w:rsidP="00F14C2B" w14:paraId="26673E2F" w14:textId="7777777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75" type="#_x0000_t75" style="width:182.2pt;height:32.75pt" o:ole="">
            <v:imagedata r:id="rId196" o:title=""/>
          </v:shape>
          <o:OLEObject Type="Embed" ProgID="Equation.DSMT4" ShapeID="_x0000_i1075" DrawAspect="Content" ObjectID="_1771596927" r:id="rId197"/>
        </w:object>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t xml:space="preserve">    </w:t>
      </w:r>
      <w:r w:rsidRPr="00F14C2B">
        <w:rPr>
          <w:rFonts w:ascii="Times New Roman" w:eastAsia="宋体" w:hAnsi="Times New Roman" w:cs="Times New Roman"/>
          <w:sz w:val="24"/>
          <w:szCs w:val="24"/>
        </w:rPr>
        <w:t>向上取整为</w:t>
      </w:r>
      <w:r>
        <w:rPr>
          <w:rFonts w:ascii="Times New Roman" w:eastAsia="宋体" w:hAnsi="Times New Roman" w:cs="Times New Roman"/>
          <w:position w:val="-12"/>
          <w:sz w:val="24"/>
          <w:szCs w:val="24"/>
        </w:rPr>
        <w:object>
          <v:shape id="_x0000_i1076" type="#_x0000_t75" style="width:31.65pt;height:18.55pt" o:ole="">
            <v:imagedata r:id="rId198" o:title=""/>
          </v:shape>
          <o:OLEObject Type="Embed" ProgID="Equation.DSMT4" ShapeID="_x0000_i1076" DrawAspect="Content" ObjectID="_1771596928" r:id="rId199"/>
        </w:object>
      </w:r>
    </w:p>
    <w:p w:rsidR="00D359BE" w:rsidRPr="00F14C2B" w:rsidP="00F14C2B" w14:paraId="61C94EAA" w14:textId="77777777">
      <w:pPr>
        <w:adjustRightInd w:val="0"/>
        <w:snapToGrid w:val="0"/>
        <w:spacing w:line="300" w:lineRule="auto"/>
        <w:ind w:firstLine="480" w:firstLineChars="200"/>
        <w:rPr>
          <w:rFonts w:ascii="Times New Roman" w:eastAsia="宋体" w:hAnsi="Times New Roman" w:cs="Times New Roman"/>
          <w:sz w:val="24"/>
          <w:szCs w:val="24"/>
        </w:rPr>
      </w:pPr>
      <w:r w:rsidRPr="00F14C2B">
        <w:rPr>
          <w:rFonts w:ascii="Times New Roman" w:eastAsia="宋体" w:hAnsi="Times New Roman" w:cs="Times New Roman"/>
          <w:sz w:val="24"/>
          <w:szCs w:val="24"/>
        </w:rPr>
        <w:t>20</w:t>
      </w:r>
      <w:r w:rsidRPr="00F14C2B">
        <w:rPr>
          <w:rFonts w:ascii="Times New Roman" w:eastAsia="宋体" w:hAnsi="Times New Roman" w:cs="Times New Roman"/>
          <w:sz w:val="24"/>
          <w:szCs w:val="24"/>
          <w:vertAlign w:val="superscript"/>
        </w:rPr>
        <w:t>#</w:t>
      </w:r>
      <w:r w:rsidRPr="00F14C2B">
        <w:rPr>
          <w:rFonts w:ascii="Times New Roman" w:eastAsia="宋体" w:hAnsi="Times New Roman" w:cs="Times New Roman"/>
          <w:sz w:val="24"/>
          <w:szCs w:val="24"/>
        </w:rPr>
        <w:t>重柴油的一次到库的最多油罐车数：</w:t>
      </w:r>
    </w:p>
    <w:p w:rsidR="00D359BE" w:rsidRPr="00F14C2B" w:rsidP="00F14C2B" w14:paraId="02DBB571" w14:textId="77777777">
      <w:pPr>
        <w:adjustRightInd w:val="0"/>
        <w:snapToGrid w:val="0"/>
        <w:spacing w:line="300" w:lineRule="auto"/>
        <w:jc w:val="center"/>
        <w:rPr>
          <w:rFonts w:ascii="Times New Roman" w:eastAsia="宋体" w:hAnsi="Times New Roman" w:cs="Times New Roman"/>
          <w:sz w:val="24"/>
          <w:szCs w:val="24"/>
        </w:rPr>
      </w:pPr>
      <w:r>
        <w:rPr>
          <w:rFonts w:ascii="Times New Roman" w:eastAsia="宋体" w:hAnsi="Times New Roman" w:cs="Times New Roman"/>
          <w:position w:val="-28"/>
          <w:sz w:val="24"/>
          <w:szCs w:val="24"/>
        </w:rPr>
        <w:object>
          <v:shape id="_x0000_i1077" type="#_x0000_t75" style="width:181.1pt;height:32.75pt" o:ole="">
            <v:imagedata r:id="rId200" o:title=""/>
          </v:shape>
          <o:OLEObject Type="Embed" ProgID="Equation.DSMT4" ShapeID="_x0000_i1077" DrawAspect="Content" ObjectID="_1771596929" r:id="rId201"/>
        </w:object>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ab/>
      </w:r>
      <w:r w:rsidRPr="00F14C2B">
        <w:rPr>
          <w:rFonts w:ascii="Times New Roman" w:eastAsia="宋体" w:hAnsi="Times New Roman" w:cs="Times New Roman"/>
          <w:sz w:val="24"/>
          <w:szCs w:val="24"/>
        </w:rPr>
        <w:t>向上取整为</w:t>
      </w:r>
      <w:r>
        <w:rPr>
          <w:rFonts w:ascii="Times New Roman" w:eastAsia="宋体" w:hAnsi="Times New Roman" w:cs="Times New Roman"/>
          <w:position w:val="-12"/>
          <w:sz w:val="24"/>
          <w:szCs w:val="24"/>
        </w:rPr>
        <w:object>
          <v:shape id="_x0000_i1078" type="#_x0000_t75" style="width:31.65pt;height:18.55pt" o:ole="">
            <v:imagedata r:id="rId202" o:title=""/>
          </v:shape>
          <o:OLEObject Type="Embed" ProgID="Equation.DSMT4" ShapeID="_x0000_i1078" DrawAspect="Content" ObjectID="_1771596930" r:id="rId203"/>
        </w:object>
      </w:r>
      <w:r w:rsidRPr="00F14C2B">
        <w:rPr>
          <w:rFonts w:ascii="Times New Roman" w:eastAsia="宋体" w:hAnsi="Times New Roman" w:cs="Times New Roman"/>
          <w:sz w:val="24"/>
          <w:szCs w:val="24"/>
        </w:rPr>
        <w:br/>
      </w:r>
      <w:r w:rsidRPr="00F14C2B">
        <w:rPr>
          <w:rFonts w:ascii="Times New Roman" w:eastAsia="宋体" w:hAnsi="Times New Roman" w:cs="Times New Roman"/>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4" w:history="1">
        <w:r>
          <w:rPr>
            <w:rFonts w:ascii="SimSun" w:eastAsia="SimSun" w:hAnsi="SimSun" w:cs="SimSun"/>
            <w:b/>
            <w:bCs/>
            <w:color w:val="0000EE"/>
            <w:kern w:val="0"/>
            <w:sz w:val="30"/>
            <w:szCs w:val="30"/>
            <w:u w:val="single" w:color="0000EE"/>
          </w:rPr>
          <w:t>https://d.book118.com/486152044054010100</w:t>
        </w:r>
      </w:hyperlink>
    </w:p>
    <w:p w:rsidR="00D359BE" w:rsidRPr="00F14C2B" w:rsidP="00F14C2B">
      <w:pPr>
        <w:adjustRightInd w:val="0"/>
        <w:snapToGrid w:val="0"/>
        <w:spacing w:line="300" w:lineRule="auto"/>
        <w:jc w:val="center"/>
        <w:rPr>
          <w:rFonts w:ascii="Times New Roman" w:eastAsia="宋体" w:hAnsi="Times New Roman" w:cs="Times New Roman"/>
          <w:sz w:val="24"/>
          <w:szCs w:val="24"/>
        </w:rPr>
      </w:pPr>
    </w:p>
    <w:sectPr>
      <w:headerReference w:type="even" r:id="rId205"/>
      <w:headerReference w:type="default" r:id="rId206"/>
      <w:footerReference w:type="even" r:id="rId207"/>
      <w:footerReference w:type="default" r:id="rId208"/>
      <w:headerReference w:type="first" r:id="rId209"/>
      <w:footerReference w:type="first" r:id="rId210"/>
      <w:type w:val="nextPage"/>
      <w:pgSz w:w="11906" w:h="16838"/>
      <w:pgMar w:top="1985" w:right="1418" w:bottom="1418" w:left="1418" w:header="1417" w:footer="1134" w:gutter="0"/>
      <w:pgNumType w:start="15"/>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RomanC">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6524159"/>
      <w:docPartObj>
        <w:docPartGallery w:val="AutoText"/>
      </w:docPartObj>
    </w:sdtPr>
    <w:sdtEndPr>
      <w:rPr>
        <w:rFonts w:ascii="Times New Roman" w:hAnsi="Times New Roman" w:cs="Times New Roman"/>
        <w:sz w:val="21"/>
        <w:szCs w:val="21"/>
      </w:rPr>
    </w:sdtEndPr>
    <w:sdtContent>
      <w:p w:rsidR="00CA7143" w14:paraId="5528FB04"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II</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paraId="20329D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paraId="1E350BFB" w14:textId="77777777">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A7143" w14:textId="77777777">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CA7143" w14:paraId="0571AA14" w14:textId="77777777">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9816261"/>
      <w:docPartObj>
        <w:docPartGallery w:val="AutoText"/>
      </w:docPartObj>
    </w:sdtPr>
    <w:sdtEndPr>
      <w:rPr>
        <w:rFonts w:ascii="Times New Roman" w:hAnsi="Times New Roman" w:cs="Times New Roman"/>
        <w:sz w:val="21"/>
        <w:szCs w:val="21"/>
      </w:rPr>
    </w:sdtEndPr>
    <w:sdtContent>
      <w:p w:rsidR="00CA7143" w14:paraId="4E42273F" w14:textId="77777777">
        <w:pPr>
          <w:pStyle w:val="Footer"/>
          <w:jc w:val="center"/>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I</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paraId="5AE87786" w14:textId="77777777">
    <w:pPr>
      <w:pStyle w:val="Footer"/>
      <w:jc w:val="center"/>
      <w:rPr>
        <w:rFonts w:ascii="宋体" w:eastAsia="宋体" w:hAnsi="宋体"/>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0822503"/>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II</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0821766"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A7143" w14:textId="77777777">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CA7143" w14:textId="77777777">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6688726"/>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I</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jc w:val="center"/>
      <w:rPr>
        <w:rFonts w:ascii="宋体" w:eastAsia="宋体" w:hAnsi="宋体"/>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778281"/>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II</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03445604"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A7143" w14:textId="77777777">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CA7143" w14:textId="77777777">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1497882"/>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I</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jc w:val="center"/>
      <w:rPr>
        <w:rFonts w:ascii="宋体" w:eastAsia="宋体" w:hAnsi="宋体"/>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7652890"/>
      <w:docPartObj>
        <w:docPartGallery w:val="AutoText"/>
      </w:docPartObj>
    </w:sdtPr>
    <w:sdtEndPr>
      <w:rPr>
        <w:rFonts w:ascii="Times New Roman" w:hAnsi="Times New Roman" w:cs="Times New Roman"/>
        <w:sz w:val="21"/>
        <w:szCs w:val="21"/>
      </w:rPr>
    </w:sdtEndPr>
    <w:sdtContent>
      <w:p w:rsidR="00CA7143" w14:paraId="23A33B4A"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paraId="48265D19" w14:textId="7777777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paraId="4507CFF4" w14:textId="77777777">
    <w:pPr>
      <w:pStyle w:val="Footer"/>
      <w:jc w:val="center"/>
      <w:rPr>
        <w:rFonts w:ascii="宋体" w:eastAsia="宋体" w:hAnsi="宋体"/>
      </w:rPr>
    </w:pPr>
    <w:r>
      <w:rPr>
        <w:rFonts w:ascii="宋体" w:eastAsia="宋体" w:hAnsi="宋体"/>
      </w:rPr>
      <w:t>17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paraId="3BCE88D2" w14:textId="77777777">
    <w:pPr>
      <w:pStyle w:val="Footer"/>
      <w:jc w:val="center"/>
      <w:rPr>
        <w:rFonts w:ascii="Times New Roman" w:hAnsi="Times New Roman" w:cs="Times New Roman"/>
        <w:sz w:val="21"/>
        <w:szCs w:val="21"/>
      </w:rPr>
    </w:pPr>
    <w:sdt>
      <w:sdtPr>
        <w:rPr>
          <w:rFonts w:ascii="Times New Roman" w:hAnsi="Times New Roman" w:cs="Times New Roman"/>
          <w:noProof/>
          <w:sz w:val="21"/>
          <w:szCs w:val="21"/>
          <w:lang w:val="zh-CN"/>
        </w:rPr>
        <w:id w:val="-1286812525"/>
        <w:docPartObj>
          <w:docPartGallery w:val="AutoText"/>
        </w:docPartObj>
      </w:sdtPr>
      <w:sdtEndPr>
        <w:rPr>
          <w:rFonts w:ascii="Times New Roman" w:hAnsi="Times New Roman" w:cs="Times New Roman"/>
          <w:sz w:val="21"/>
          <w:szCs w:val="21"/>
        </w:rPr>
      </w:sdtEndPr>
      <w:sdtContent>
        <w:r>
          <w:t xml:space="preserve"> -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III</w:t>
        </w:r>
        <w:r>
          <w:rPr>
            <w:rFonts w:ascii="Times New Roman" w:hAnsi="Times New Roman" w:cs="Times New Roman"/>
            <w:sz w:val="21"/>
            <w:szCs w:val="21"/>
          </w:rPr>
          <w:fldChar w:fldCharType="end"/>
        </w:r>
      </w:sdtContent>
    </w:sdt>
    <w:r>
      <w:rPr>
        <w:rFonts w:ascii="Times New Roman" w:hAnsi="Times New Roman" w:cs="Times New Roman"/>
        <w:sz w:val="21"/>
        <w:szCs w:val="21"/>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6754656"/>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IV</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Footer"/>
      <w:jc w:val="center"/>
      <w:rPr>
        <w:rFonts w:ascii="宋体" w:eastAsia="宋体" w:hAnsi="宋体"/>
      </w:rPr>
    </w:pPr>
    <w:r>
      <w:rPr>
        <w:rFonts w:ascii="宋体" w:eastAsia="宋体" w:hAnsi="宋体"/>
      </w:rPr>
      <w:t>17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Footer"/>
      <w:jc w:val="center"/>
      <w:rPr>
        <w:rFonts w:ascii="Times New Roman" w:hAnsi="Times New Roman" w:cs="Times New Roman"/>
        <w:sz w:val="21"/>
        <w:szCs w:val="21"/>
      </w:rPr>
    </w:pPr>
    <w:sdt>
      <w:sdtPr>
        <w:rPr>
          <w:rFonts w:ascii="Times New Roman" w:hAnsi="Times New Roman" w:cs="Times New Roman"/>
          <w:noProof/>
          <w:sz w:val="21"/>
          <w:szCs w:val="21"/>
          <w:lang w:val="zh-CN"/>
        </w:rPr>
        <w:id w:val="904197158"/>
        <w:docPartObj>
          <w:docPartGallery w:val="AutoText"/>
        </w:docPartObj>
      </w:sdtPr>
      <w:sdtEndPr>
        <w:rPr>
          <w:rFonts w:ascii="Times New Roman" w:hAnsi="Times New Roman" w:cs="Times New Roman"/>
          <w:sz w:val="21"/>
          <w:szCs w:val="21"/>
        </w:rPr>
      </w:sdtEndPr>
      <w:sdtContent>
        <w:r>
          <w:t xml:space="preserve"> -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III</w:t>
        </w:r>
        <w:r>
          <w:rPr>
            <w:rFonts w:ascii="Times New Roman" w:hAnsi="Times New Roman" w:cs="Times New Roman"/>
            <w:sz w:val="21"/>
            <w:szCs w:val="21"/>
          </w:rPr>
          <w:fldChar w:fldCharType="end"/>
        </w:r>
      </w:sdtContent>
    </w:sdt>
    <w:r>
      <w:rPr>
        <w:rFonts w:ascii="Times New Roman" w:hAnsi="Times New Roman" w:cs="Times New Roman"/>
        <w:sz w:val="21"/>
        <w:szCs w:val="21"/>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0075386"/>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9336809"/>
      <w:docPartObj>
        <w:docPartGallery w:val="AutoText"/>
      </w:docPartObj>
    </w:sdtPr>
    <w:sdtEndPr>
      <w:rPr>
        <w:rFonts w:ascii="Times New Roman" w:hAnsi="Times New Roman" w:cs="Times New Roman"/>
        <w:sz w:val="21"/>
        <w:szCs w:val="21"/>
      </w:rPr>
    </w:sdtEndPr>
    <w:sdtContent>
      <w:p w:rsidR="00CA7143" w14:paraId="25852704"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9444736"/>
      <w:docPartObj>
        <w:docPartGallery w:val="AutoText"/>
      </w:docPartObj>
    </w:sdtPr>
    <w:sdtEndPr>
      <w:rPr>
        <w:rFonts w:ascii="Times New Roman" w:hAnsi="Times New Roman" w:cs="Times New Roman"/>
        <w:sz w:val="21"/>
        <w:szCs w:val="21"/>
      </w:rPr>
    </w:sdtEndPr>
    <w:sdtContent>
      <w:p w:rsidR="00CA7143" w14:paraId="45644E78"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paraId="3423236B" w14:textId="77777777">
    <w:pPr>
      <w:pStyle w:val="Footer"/>
      <w:ind w:left="360"/>
      <w:rPr>
        <w:rFonts w:ascii="楷体" w:eastAsia="楷体" w:hAnsi="楷体" w:cs="楷体"/>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9632332"/>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9212213"/>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9633131"/>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859917"/>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8598962"/>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3</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1195846"/>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3489756"/>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0796510"/>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1851460"/>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1854722"/>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5249975"/>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5</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891009"/>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0649014"/>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6</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5990801"/>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9645928"/>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9073978"/>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7604864"/>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7</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297857"/>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0830308"/>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8</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6493209"/>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7878180"/>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9048027"/>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0708525"/>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9</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3933495"/>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7673688"/>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10</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7824667"/>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0500616"/>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9536731"/>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0440359"/>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11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0241165"/>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2496770"/>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12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6737887"/>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6946995"/>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569866"/>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7377502"/>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13</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9053800"/>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1650380"/>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14</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9064085"/>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3725994"/>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8874529"/>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42</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8777600"/>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B410BD" w:rsidR="00B410BD">
          <w:rPr>
            <w:rFonts w:ascii="Times New Roman" w:hAnsi="Times New Roman" w:cs="Times New Roman"/>
            <w:noProof/>
            <w:sz w:val="21"/>
            <w:szCs w:val="21"/>
            <w:lang w:val="zh-CN"/>
          </w:rPr>
          <w:t>15</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3193179"/>
      <w:docPartObj>
        <w:docPartGallery w:val="AutoText"/>
      </w:docPartObj>
    </w:sdtPr>
    <w:sdtEndPr>
      <w:rPr>
        <w:rFonts w:ascii="Times New Roman" w:hAnsi="Times New Roman" w:cs="Times New Roman"/>
        <w:sz w:val="21"/>
        <w:szCs w:val="21"/>
      </w:rPr>
    </w:sdtEndPr>
    <w:sdtContent>
      <w:p w:rsidR="00CA7143" w14:textId="77777777">
        <w:pPr>
          <w:pStyle w:val="Footer"/>
          <w:jc w:val="center"/>
          <w:rPr>
            <w:rFonts w:ascii="Times New Roman" w:hAnsi="Times New Roman" w:cs="Times New Roman"/>
            <w:sz w:val="21"/>
            <w:szCs w:val="21"/>
          </w:rPr>
        </w:pPr>
        <w: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Pr="00CA7143">
          <w:rPr>
            <w:rFonts w:ascii="Times New Roman" w:hAnsi="Times New Roman" w:cs="Times New Roman"/>
            <w:noProof/>
            <w:sz w:val="21"/>
            <w:szCs w:val="21"/>
            <w:lang w:val="zh-CN"/>
          </w:rPr>
          <w:t>1</w:t>
        </w:r>
        <w:r>
          <w:rPr>
            <w:rFonts w:ascii="Times New Roman" w:hAnsi="Times New Roman" w:cs="Times New Roman"/>
            <w:sz w:val="21"/>
            <w:szCs w:val="21"/>
          </w:rPr>
          <w:fldChar w:fldCharType="end"/>
        </w:r>
        <w:r>
          <w:rPr>
            <w:rFonts w:ascii="Times New Roman" w:hAnsi="Times New Roman" w:cs="Times New Roman"/>
            <w:sz w:val="21"/>
            <w:szCs w:val="21"/>
          </w:rPr>
          <w:t xml:space="preserve"> -</w:t>
        </w:r>
      </w:p>
    </w:sdtContent>
  </w:sdt>
  <w:p w:rsidR="00CA7143" w14:textId="77777777">
    <w:pPr>
      <w:pStyle w:val="Footer"/>
      <w:ind w:left="360"/>
      <w:rPr>
        <w:rFonts w:ascii="楷体" w:eastAsia="楷体" w:hAnsi="楷体" w:cs="楷体"/>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paraId="0106C8C0" w14:textId="77777777">
    <w:pPr>
      <w:pStyle w:val="Header"/>
      <w:rPr>
        <w:rFonts w:ascii="Times New Roman" w:eastAsia="宋体" w:hAnsi="Times New Roman"/>
        <w:sz w:val="21"/>
        <w:szCs w:val="21"/>
      </w:rPr>
    </w:pPr>
    <w:r>
      <w:rPr>
        <w:rFonts w:ascii="Times New Roman" w:eastAsia="宋体" w:hAnsi="Times New Roman" w:cs="宋体" w:hint="eastAsia"/>
        <w:sz w:val="21"/>
        <w:szCs w:val="21"/>
      </w:rPr>
      <w:t>重庆</w:t>
    </w:r>
    <w:r>
      <w:rPr>
        <w:rFonts w:ascii="Times New Roman" w:eastAsia="宋体" w:hAnsi="Times New Roman" w:cs="宋体" w:hint="eastAsia"/>
        <w:sz w:val="21"/>
        <w:szCs w:val="21"/>
      </w:rPr>
      <w:t>SX</w:t>
    </w:r>
    <w:r>
      <w:rPr>
        <w:rFonts w:ascii="Times New Roman" w:eastAsia="宋体" w:hAnsi="Times New Roman" w:cs="宋体" w:hint="eastAsia"/>
        <w:sz w:val="21"/>
        <w:szCs w:val="21"/>
      </w:rPr>
      <w:t>油库设计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paraId="2AB56D1F" w14:textId="77777777">
    <w:pPr>
      <w:pStyle w:val="Header"/>
    </w:pPr>
    <w:r>
      <w:rPr>
        <w:rFonts w:hint="eastAsia"/>
      </w:rPr>
      <w:t>重庆SX油库设计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paraId="0A5F7494" w14:textId="2235270F">
    <w:pPr>
      <w:pStyle w:val="Header"/>
      <w:rPr>
        <w:rFonts w:ascii="宋体" w:eastAsia="宋体" w:hAnsi="宋体"/>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Header"/>
      <w:rPr>
        <w:rFonts w:ascii="Times New Roman" w:eastAsia="宋体" w:hAnsi="Times New Roman"/>
        <w:sz w:val="21"/>
        <w:szCs w:val="21"/>
      </w:rPr>
    </w:pPr>
    <w:r>
      <w:rPr>
        <w:rFonts w:ascii="Times New Roman" w:eastAsia="宋体" w:hAnsi="Times New Roman" w:cs="宋体" w:hint="eastAsia"/>
        <w:sz w:val="21"/>
        <w:szCs w:val="21"/>
      </w:rPr>
      <w:t>重庆</w:t>
    </w:r>
    <w:r>
      <w:rPr>
        <w:rFonts w:ascii="Times New Roman" w:eastAsia="宋体" w:hAnsi="Times New Roman" w:cs="宋体" w:hint="eastAsia"/>
        <w:sz w:val="21"/>
        <w:szCs w:val="21"/>
      </w:rPr>
      <w:t>SX</w:t>
    </w:r>
    <w:r>
      <w:rPr>
        <w:rFonts w:ascii="Times New Roman" w:eastAsia="宋体" w:hAnsi="Times New Roman" w:cs="宋体" w:hint="eastAsia"/>
        <w:sz w:val="21"/>
        <w:szCs w:val="21"/>
      </w:rPr>
      <w:t>油库设计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Header"/>
    </w:pPr>
    <w:r>
      <w:rPr>
        <w:rFonts w:hint="eastAsia"/>
      </w:rPr>
      <w:t>重庆SX油库设计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Header"/>
      <w:rPr>
        <w:rFonts w:ascii="Times New Roman" w:eastAsia="宋体" w:hAnsi="Times New Roman"/>
        <w:sz w:val="21"/>
        <w:szCs w:val="21"/>
      </w:rPr>
    </w:pPr>
    <w:r>
      <w:rPr>
        <w:rFonts w:ascii="Times New Roman" w:eastAsia="宋体" w:hAnsi="Times New Roman" w:cs="宋体" w:hint="eastAsia"/>
        <w:sz w:val="21"/>
        <w:szCs w:val="21"/>
      </w:rPr>
      <w:t>重庆</w:t>
    </w:r>
    <w:r>
      <w:rPr>
        <w:rFonts w:ascii="Times New Roman" w:eastAsia="宋体" w:hAnsi="Times New Roman" w:cs="宋体" w:hint="eastAsia"/>
        <w:sz w:val="21"/>
        <w:szCs w:val="21"/>
      </w:rPr>
      <w:t>SX</w:t>
    </w:r>
    <w:r>
      <w:rPr>
        <w:rFonts w:ascii="Times New Roman" w:eastAsia="宋体" w:hAnsi="Times New Roman" w:cs="宋体" w:hint="eastAsia"/>
        <w:sz w:val="21"/>
        <w:szCs w:val="21"/>
      </w:rPr>
      <w:t>油库设计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Header"/>
    </w:pPr>
    <w:r>
      <w:rPr>
        <w:rFonts w:hint="eastAsia"/>
      </w:rPr>
      <w:t>重庆SX油库设计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Header"/>
      <w:rPr>
        <w:rFonts w:ascii="Times New Roman" w:eastAsia="宋体" w:hAnsi="Times New Roman"/>
        <w:sz w:val="21"/>
        <w:szCs w:val="21"/>
      </w:rPr>
    </w:pPr>
    <w:r>
      <w:rPr>
        <w:rFonts w:ascii="Times New Roman" w:eastAsia="宋体" w:hAnsi="Times New Roman" w:cs="宋体" w:hint="eastAsia"/>
        <w:sz w:val="21"/>
        <w:szCs w:val="21"/>
      </w:rPr>
      <w:t>重庆</w:t>
    </w:r>
    <w:r>
      <w:rPr>
        <w:rFonts w:ascii="Times New Roman" w:eastAsia="宋体" w:hAnsi="Times New Roman" w:cs="宋体" w:hint="eastAsia"/>
        <w:sz w:val="21"/>
        <w:szCs w:val="21"/>
      </w:rPr>
      <w:t>SX</w:t>
    </w:r>
    <w:r>
      <w:rPr>
        <w:rFonts w:ascii="Times New Roman" w:eastAsia="宋体" w:hAnsi="Times New Roman" w:cs="宋体" w:hint="eastAsia"/>
        <w:sz w:val="21"/>
        <w:szCs w:val="21"/>
      </w:rPr>
      <w:t>油库设计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Header"/>
    </w:pPr>
    <w:r>
      <w:rPr>
        <w:rFonts w:hint="eastAsia"/>
      </w:rPr>
      <w:t>重庆SX油库设计</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Header"/>
      <w:rPr>
        <w:rFonts w:ascii="Times New Roman" w:eastAsia="宋体" w:hAnsi="Times New Roman"/>
        <w:sz w:val="21"/>
        <w:szCs w:val="21"/>
      </w:rPr>
    </w:pPr>
    <w:r>
      <w:rPr>
        <w:rFonts w:ascii="Times New Roman" w:eastAsia="宋体" w:hAnsi="Times New Roman" w:cs="宋体" w:hint="eastAsia"/>
        <w:sz w:val="21"/>
        <w:szCs w:val="21"/>
      </w:rPr>
      <w:t>重庆</w:t>
    </w:r>
    <w:r>
      <w:rPr>
        <w:rFonts w:ascii="Times New Roman" w:eastAsia="宋体" w:hAnsi="Times New Roman" w:cs="宋体" w:hint="eastAsia"/>
        <w:sz w:val="21"/>
        <w:szCs w:val="21"/>
      </w:rPr>
      <w:t>SX</w:t>
    </w:r>
    <w:r>
      <w:rPr>
        <w:rFonts w:ascii="Times New Roman" w:eastAsia="宋体" w:hAnsi="Times New Roman" w:cs="宋体" w:hint="eastAsia"/>
        <w:sz w:val="21"/>
        <w:szCs w:val="21"/>
      </w:rPr>
      <w:t>油库设计</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77777777">
    <w:pPr>
      <w:pStyle w:val="Header"/>
    </w:pPr>
    <w:r>
      <w:rPr>
        <w:rFonts w:hint="eastAsia"/>
      </w:rPr>
      <w:t>重庆SX油库设计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paraId="77106856"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paraId="7B73CB12" w14:textId="6C282BB6">
    <w:pPr>
      <w:pStyle w:val="Header"/>
      <w:rPr>
        <w:rFonts w:ascii="宋体" w:eastAsia="宋体" w:hAnsi="宋体"/>
        <w:sz w:val="21"/>
        <w:szCs w:val="21"/>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77777777">
    <w:pPr>
      <w:pStyle w:val="Header"/>
      <w:rPr>
        <w:rFonts w:ascii="Times New Roman" w:eastAsia="宋体" w:hAnsi="Times New Roman"/>
        <w:sz w:val="21"/>
      </w:rPr>
    </w:pPr>
    <w:r w:rsidRPr="00F648FF">
      <w:rPr>
        <w:rFonts w:ascii="Times New Roman" w:eastAsia="宋体" w:hAnsi="Times New Roman" w:hint="eastAsia"/>
        <w:sz w:val="21"/>
      </w:rPr>
      <w:t>重庆</w:t>
    </w:r>
    <w:r w:rsidRPr="00F648FF">
      <w:rPr>
        <w:rFonts w:ascii="Times New Roman" w:eastAsia="宋体" w:hAnsi="Times New Roman" w:hint="eastAsia"/>
        <w:sz w:val="21"/>
      </w:rPr>
      <w:t>SX</w:t>
    </w:r>
    <w:r w:rsidRPr="00F648FF">
      <w:rPr>
        <w:rFonts w:ascii="Times New Roman" w:eastAsia="宋体" w:hAnsi="Times New Roman" w:hint="eastAsia"/>
        <w:sz w:val="21"/>
      </w:rPr>
      <w:t>油库设计</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rsidRPr="00F648FF" w14:textId="6C282BB6">
    <w:pPr>
      <w:pStyle w:val="Header"/>
      <w:rPr>
        <w:rFonts w:ascii="宋体" w:eastAsia="宋体" w:hAnsi="宋体"/>
        <w:sz w:val="21"/>
        <w:szCs w:val="21"/>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143" w14:textId="2235270F">
    <w:pPr>
      <w:pStyle w:val="Header"/>
      <w:rPr>
        <w:rFonts w:ascii="宋体" w:eastAsia="宋体" w:hAnsi="宋体"/>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9D835DE6"/>
    <w:multiLevelType w:val="singleLevel"/>
    <w:tmpl w:val="9D835DE6"/>
    <w:lvl w:ilvl="0">
      <w:start w:val="1"/>
      <w:numFmt w:val="decimal"/>
      <w:lvlText w:val="%1."/>
      <w:lvlJc w:val="left"/>
      <w:pPr>
        <w:ind w:left="425" w:hanging="425"/>
      </w:pPr>
      <w:rPr>
        <w:rFonts w:hint="default"/>
      </w:rPr>
    </w:lvl>
  </w:abstractNum>
  <w:abstractNum w:abstractNumId="1">
    <w:nsid w:val="06047F07"/>
    <w:multiLevelType w:val="hybridMultilevel"/>
    <w:tmpl w:val="5456F1E4"/>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0E6561DE"/>
    <w:multiLevelType w:val="multilevel"/>
    <w:tmpl w:val="0E6561DE"/>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nsid w:val="0F9871F9"/>
    <w:multiLevelType w:val="hybridMultilevel"/>
    <w:tmpl w:val="3D1A7762"/>
    <w:lvl w:ilvl="0">
      <w:start w:val="1"/>
      <w:numFmt w:val="decimalEnclosedCircle"/>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137827B5"/>
    <w:multiLevelType w:val="hybridMultilevel"/>
    <w:tmpl w:val="17F0C212"/>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1ADD4014"/>
    <w:multiLevelType w:val="multilevel"/>
    <w:tmpl w:val="1ADD401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nsid w:val="206E59DA"/>
    <w:multiLevelType w:val="multilevel"/>
    <w:tmpl w:val="206E59DA"/>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nsid w:val="23761A17"/>
    <w:multiLevelType w:val="hybridMultilevel"/>
    <w:tmpl w:val="2428624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278A6ACE"/>
    <w:multiLevelType w:val="singleLevel"/>
    <w:tmpl w:val="278A6ACE"/>
    <w:lvl w:ilvl="0">
      <w:start w:val="1"/>
      <w:numFmt w:val="decimal"/>
      <w:lvlText w:val="%1."/>
      <w:lvlJc w:val="left"/>
      <w:pPr>
        <w:ind w:left="425" w:hanging="425"/>
      </w:pPr>
      <w:rPr>
        <w:rFonts w:hint="default"/>
      </w:rPr>
    </w:lvl>
  </w:abstractNum>
  <w:abstractNum w:abstractNumId="9">
    <w:nsid w:val="2B0069E5"/>
    <w:multiLevelType w:val="hybridMultilevel"/>
    <w:tmpl w:val="98F8E31E"/>
    <w:lvl w:ilvl="0">
      <w:start w:val="1"/>
      <w:numFmt w:val="decimalEnclosedParen"/>
      <w:lvlText w:val="%1"/>
      <w:lvlJc w:val="left"/>
      <w:pPr>
        <w:ind w:left="420" w:hanging="420"/>
      </w:pPr>
      <w:rPr>
        <w:rFonts w:hint="default"/>
        <w:sz w:val="24"/>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36BE48B0"/>
    <w:multiLevelType w:val="hybridMultilevel"/>
    <w:tmpl w:val="95068410"/>
    <w:lvl w:ilvl="0">
      <w:start w:val="1"/>
      <w:numFmt w:val="decimalEnclosedParen"/>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3BA90C7E"/>
    <w:multiLevelType w:val="hybridMultilevel"/>
    <w:tmpl w:val="9CE6B932"/>
    <w:lvl w:ilvl="0">
      <w:start w:val="1"/>
      <w:numFmt w:val="decimalEnclosedParen"/>
      <w:lvlText w:val="%1"/>
      <w:lvlJc w:val="left"/>
      <w:pPr>
        <w:ind w:left="420" w:hanging="420"/>
      </w:pPr>
      <w:rPr>
        <w:rFonts w:hint="default"/>
        <w:sz w:val="24"/>
        <w:szCs w:val="24"/>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4690349D"/>
    <w:multiLevelType w:val="multilevel"/>
    <w:tmpl w:val="4690349D"/>
    <w:lvl w:ilvl="0">
      <w:start w:val="1"/>
      <w:numFmt w:val="decimal"/>
      <w:lvlText w:val="%1."/>
      <w:lvlJc w:val="left"/>
      <w:pPr>
        <w:tabs>
          <w:tab w:val="left" w:pos="360"/>
        </w:tabs>
        <w:ind w:left="360" w:hanging="360"/>
      </w:pPr>
    </w:lvl>
    <w:lvl w:ilvl="1">
      <w:start w:val="1"/>
      <w:numFmt w:val="decimal"/>
      <w:lvlText w:val="%2."/>
      <w:lvlJc w:val="left"/>
      <w:pPr>
        <w:tabs>
          <w:tab w:val="left" w:pos="1320"/>
        </w:tabs>
        <w:ind w:left="1320" w:hanging="360"/>
      </w:pPr>
    </w:lvl>
    <w:lvl w:ilvl="2">
      <w:start w:val="1"/>
      <w:numFmt w:val="decimal"/>
      <w:lvlText w:val="%3."/>
      <w:lvlJc w:val="left"/>
      <w:pPr>
        <w:tabs>
          <w:tab w:val="left" w:pos="2040"/>
        </w:tabs>
        <w:ind w:left="2040" w:hanging="360"/>
      </w:pPr>
    </w:lvl>
    <w:lvl w:ilvl="3">
      <w:start w:val="1"/>
      <w:numFmt w:val="decimal"/>
      <w:lvlText w:val="%4."/>
      <w:lvlJc w:val="left"/>
      <w:pPr>
        <w:tabs>
          <w:tab w:val="left" w:pos="2760"/>
        </w:tabs>
        <w:ind w:left="2760" w:hanging="360"/>
      </w:pPr>
    </w:lvl>
    <w:lvl w:ilvl="4">
      <w:start w:val="1"/>
      <w:numFmt w:val="decimal"/>
      <w:lvlText w:val="%5."/>
      <w:lvlJc w:val="left"/>
      <w:pPr>
        <w:tabs>
          <w:tab w:val="left" w:pos="3480"/>
        </w:tabs>
        <w:ind w:left="3480" w:hanging="360"/>
      </w:pPr>
    </w:lvl>
    <w:lvl w:ilvl="5">
      <w:start w:val="1"/>
      <w:numFmt w:val="decimal"/>
      <w:lvlText w:val="%6."/>
      <w:lvlJc w:val="left"/>
      <w:pPr>
        <w:tabs>
          <w:tab w:val="left" w:pos="4200"/>
        </w:tabs>
        <w:ind w:left="4200" w:hanging="360"/>
      </w:pPr>
    </w:lvl>
    <w:lvl w:ilvl="6">
      <w:start w:val="1"/>
      <w:numFmt w:val="decimal"/>
      <w:lvlText w:val="%7."/>
      <w:lvlJc w:val="left"/>
      <w:pPr>
        <w:tabs>
          <w:tab w:val="left" w:pos="4920"/>
        </w:tabs>
        <w:ind w:left="4920" w:hanging="360"/>
      </w:pPr>
    </w:lvl>
    <w:lvl w:ilvl="7">
      <w:start w:val="1"/>
      <w:numFmt w:val="decimal"/>
      <w:lvlText w:val="%8."/>
      <w:lvlJc w:val="left"/>
      <w:pPr>
        <w:tabs>
          <w:tab w:val="left" w:pos="5640"/>
        </w:tabs>
        <w:ind w:left="5640" w:hanging="360"/>
      </w:pPr>
    </w:lvl>
    <w:lvl w:ilvl="8">
      <w:start w:val="1"/>
      <w:numFmt w:val="decimal"/>
      <w:lvlText w:val="%9."/>
      <w:lvlJc w:val="left"/>
      <w:pPr>
        <w:tabs>
          <w:tab w:val="left" w:pos="6360"/>
        </w:tabs>
        <w:ind w:left="6360" w:hanging="360"/>
      </w:pPr>
    </w:lvl>
  </w:abstractNum>
  <w:abstractNum w:abstractNumId="13">
    <w:nsid w:val="47BB21DC"/>
    <w:multiLevelType w:val="hybridMultilevel"/>
    <w:tmpl w:val="6A8293D6"/>
    <w:lvl w:ilvl="0">
      <w:start w:val="1"/>
      <w:numFmt w:val="decimalEnclosedParen"/>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49AF0961"/>
    <w:multiLevelType w:val="hybridMultilevel"/>
    <w:tmpl w:val="6D18B4DC"/>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4F5F2BA1"/>
    <w:multiLevelType w:val="multilevel"/>
    <w:tmpl w:val="4F5F2BA1"/>
    <w:lvl w:ilvl="0">
      <w:start w:val="1"/>
      <w:numFmt w:val="decimal"/>
      <w:lvlText w:val="%1)"/>
      <w:lvlJc w:val="left"/>
      <w:pPr>
        <w:ind w:left="199" w:hanging="57"/>
      </w:pPr>
      <w:rPr>
        <w:rFonts w:hint="eastAsia"/>
      </w:rPr>
    </w:lvl>
    <w:lvl w:ilvl="1">
      <w:start w:val="1"/>
      <w:numFmt w:val="lowerLetter"/>
      <w:lvlText w:val="%2)"/>
      <w:lvlJc w:val="left"/>
      <w:pPr>
        <w:ind w:left="1476" w:hanging="440"/>
      </w:pPr>
    </w:lvl>
    <w:lvl w:ilvl="2">
      <w:start w:val="1"/>
      <w:numFmt w:val="lowerRoman"/>
      <w:lvlText w:val="%3."/>
      <w:lvlJc w:val="right"/>
      <w:pPr>
        <w:ind w:left="1916" w:hanging="440"/>
      </w:pPr>
    </w:lvl>
    <w:lvl w:ilvl="3">
      <w:start w:val="1"/>
      <w:numFmt w:val="decimal"/>
      <w:lvlText w:val="%4."/>
      <w:lvlJc w:val="left"/>
      <w:pPr>
        <w:ind w:left="2356" w:hanging="440"/>
      </w:pPr>
    </w:lvl>
    <w:lvl w:ilvl="4">
      <w:start w:val="1"/>
      <w:numFmt w:val="lowerLetter"/>
      <w:lvlText w:val="%5)"/>
      <w:lvlJc w:val="left"/>
      <w:pPr>
        <w:ind w:left="2796" w:hanging="440"/>
      </w:pPr>
    </w:lvl>
    <w:lvl w:ilvl="5">
      <w:start w:val="1"/>
      <w:numFmt w:val="lowerRoman"/>
      <w:lvlText w:val="%6."/>
      <w:lvlJc w:val="right"/>
      <w:pPr>
        <w:ind w:left="3236" w:hanging="440"/>
      </w:pPr>
    </w:lvl>
    <w:lvl w:ilvl="6">
      <w:start w:val="1"/>
      <w:numFmt w:val="decimal"/>
      <w:lvlText w:val="%7."/>
      <w:lvlJc w:val="left"/>
      <w:pPr>
        <w:ind w:left="3676" w:hanging="440"/>
      </w:pPr>
    </w:lvl>
    <w:lvl w:ilvl="7">
      <w:start w:val="1"/>
      <w:numFmt w:val="lowerLetter"/>
      <w:lvlText w:val="%8)"/>
      <w:lvlJc w:val="left"/>
      <w:pPr>
        <w:ind w:left="4116" w:hanging="440"/>
      </w:pPr>
    </w:lvl>
    <w:lvl w:ilvl="8">
      <w:start w:val="1"/>
      <w:numFmt w:val="lowerRoman"/>
      <w:lvlText w:val="%9."/>
      <w:lvlJc w:val="right"/>
      <w:pPr>
        <w:ind w:left="4556" w:hanging="440"/>
      </w:pPr>
    </w:lvl>
  </w:abstractNum>
  <w:abstractNum w:abstractNumId="16">
    <w:nsid w:val="4F8F59A4"/>
    <w:multiLevelType w:val="multilevel"/>
    <w:tmpl w:val="4F8F59A4"/>
    <w:lvl w:ilvl="0">
      <w:start w:val="1"/>
      <w:numFmt w:val="decimal"/>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7">
    <w:nsid w:val="51364F41"/>
    <w:multiLevelType w:val="hybridMultilevel"/>
    <w:tmpl w:val="7E2268DA"/>
    <w:lvl w:ilvl="0">
      <w:start w:val="1"/>
      <w:numFmt w:val="decimalEnclosedParen"/>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BAB01C7"/>
    <w:multiLevelType w:val="multilevel"/>
    <w:tmpl w:val="5BAB01C7"/>
    <w:lvl w:ilvl="0">
      <w:start w:val="1"/>
      <w:numFmt w:val="decimal"/>
      <w:lvlText w:val="%1."/>
      <w:lvlJc w:val="left"/>
      <w:pPr>
        <w:ind w:left="440" w:hanging="440"/>
      </w:pPr>
    </w:lvl>
    <w:lvl w:ilvl="1">
      <w:start w:val="1"/>
      <w:numFmt w:val="decimal"/>
      <w:lvlText w:val="%2."/>
      <w:lvlJc w:val="left"/>
      <w:pPr>
        <w:ind w:left="920" w:hanging="440"/>
      </w:pPr>
      <w:rPr>
        <w:rFonts w:hint="eastAsia"/>
      </w:rPr>
    </w:lvl>
    <w:lvl w:ilvl="2">
      <w:start w:val="1"/>
      <w:numFmt w:val="decimal"/>
      <w:lvlText w:val="（%3）"/>
      <w:lvlJc w:val="left"/>
      <w:pPr>
        <w:ind w:left="1600" w:hanging="720"/>
      </w:pPr>
      <w:rPr>
        <w:rFonts w:hint="default"/>
      </w:r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nsid w:val="5CE63A0A"/>
    <w:multiLevelType w:val="hybridMultilevel"/>
    <w:tmpl w:val="9C7E0D74"/>
    <w:lvl w:ilvl="0">
      <w:start w:val="1"/>
      <w:numFmt w:val="decimal"/>
      <w:lvlText w:val="（%1）"/>
      <w:lvlJc w:val="left"/>
      <w:pPr>
        <w:ind w:left="420" w:hanging="420"/>
      </w:pPr>
      <w:rPr>
        <w:rFonts w:ascii="Times New Roman" w:hAnsi="Times New Roman" w:hint="default"/>
        <w:sz w:val="24"/>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nsid w:val="6070652F"/>
    <w:multiLevelType w:val="multilevel"/>
    <w:tmpl w:val="6070652F"/>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nsid w:val="61874C3F"/>
    <w:multiLevelType w:val="multilevel"/>
    <w:tmpl w:val="61874C3F"/>
    <w:lvl w:ilvl="0">
      <w:start w:val="1"/>
      <w:numFmt w:val="decimal"/>
      <w:lvlText w:val="%1."/>
      <w:lvlJc w:val="left"/>
      <w:pPr>
        <w:ind w:left="1000" w:hanging="440"/>
      </w:p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2">
    <w:nsid w:val="63F56F64"/>
    <w:multiLevelType w:val="multilevel"/>
    <w:tmpl w:val="63F56F64"/>
    <w:lvl w:ilvl="0">
      <w:start w:val="1"/>
      <w:numFmt w:val="decimal"/>
      <w:lvlText w:val="%1."/>
      <w:lvlJc w:val="left"/>
      <w:pPr>
        <w:ind w:left="920" w:hanging="440"/>
      </w:pPr>
      <w:rPr>
        <w:rFonts w:hint="eastAsia"/>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23">
    <w:nsid w:val="69E96DD3"/>
    <w:multiLevelType w:val="multilevel"/>
    <w:tmpl w:val="69E96DD3"/>
    <w:lvl w:ilvl="0">
      <w:start w:val="1"/>
      <w:numFmt w:val="decimal"/>
      <w:lvlText w:val="[%1]"/>
      <w:lvlJc w:val="left"/>
      <w:pPr>
        <w:ind w:left="440" w:hanging="440"/>
      </w:pPr>
      <w:rPr>
        <w:rFonts w:ascii="Times New Roman" w:hAnsi="Times New Roman" w:cs="Times New Roman" w:hint="default"/>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4">
    <w:nsid w:val="6ADA09E3"/>
    <w:multiLevelType w:val="multilevel"/>
    <w:tmpl w:val="6ADA09E3"/>
    <w:lvl w:ilvl="0">
      <w:start w:val="2"/>
      <w:numFmt w:val="decimal"/>
      <w:lvlText w:val="%1."/>
      <w:lvlJc w:val="left"/>
      <w:pPr>
        <w:ind w:left="92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nsid w:val="6ED11274"/>
    <w:multiLevelType w:val="multilevel"/>
    <w:tmpl w:val="6ED11274"/>
    <w:lvl w:ilvl="0">
      <w:start w:val="1"/>
      <w:numFmt w:val="decimal"/>
      <w:lvlText w:val="%1."/>
      <w:lvlJc w:val="left"/>
      <w:pPr>
        <w:ind w:left="92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nsid w:val="74B87529"/>
    <w:multiLevelType w:val="multilevel"/>
    <w:tmpl w:val="74B87529"/>
    <w:lvl w:ilvl="0">
      <w:start w:val="1"/>
      <w:numFmt w:val="decimal"/>
      <w:lvlText w:val="%1)"/>
      <w:lvlJc w:val="left"/>
      <w:pPr>
        <w:ind w:left="582"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nsid w:val="796A2620"/>
    <w:multiLevelType w:val="hybridMultilevel"/>
    <w:tmpl w:val="AADC51DC"/>
    <w:lvl w:ilvl="0">
      <w:start w:val="1"/>
      <w:numFmt w:val="decimal"/>
      <w:lvlText w:val="（%1）"/>
      <w:lvlJc w:val="left"/>
      <w:pPr>
        <w:ind w:left="420" w:hanging="420"/>
      </w:pPr>
      <w:rPr>
        <w:rFonts w:hint="eastAsia"/>
        <w:sz w:val="24"/>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16cid:durableId="1571305360">
    <w:abstractNumId w:val="21"/>
  </w:num>
  <w:num w:numId="2" w16cid:durableId="1823157178">
    <w:abstractNumId w:val="6"/>
  </w:num>
  <w:num w:numId="3" w16cid:durableId="1143347951">
    <w:abstractNumId w:val="2"/>
  </w:num>
  <w:num w:numId="4" w16cid:durableId="338778578">
    <w:abstractNumId w:val="5"/>
  </w:num>
  <w:num w:numId="5" w16cid:durableId="451218101">
    <w:abstractNumId w:val="15"/>
  </w:num>
  <w:num w:numId="6" w16cid:durableId="991299598">
    <w:abstractNumId w:val="26"/>
  </w:num>
  <w:num w:numId="7" w16cid:durableId="52853983">
    <w:abstractNumId w:val="12"/>
  </w:num>
  <w:num w:numId="8" w16cid:durableId="6762707">
    <w:abstractNumId w:val="8"/>
  </w:num>
  <w:num w:numId="9" w16cid:durableId="6448437">
    <w:abstractNumId w:val="0"/>
  </w:num>
  <w:num w:numId="10" w16cid:durableId="1344089428">
    <w:abstractNumId w:val="20"/>
  </w:num>
  <w:num w:numId="11" w16cid:durableId="926154826">
    <w:abstractNumId w:val="16"/>
  </w:num>
  <w:num w:numId="12" w16cid:durableId="1260219609">
    <w:abstractNumId w:val="18"/>
  </w:num>
  <w:num w:numId="13" w16cid:durableId="647828911">
    <w:abstractNumId w:val="24"/>
  </w:num>
  <w:num w:numId="14" w16cid:durableId="1385836501">
    <w:abstractNumId w:val="25"/>
  </w:num>
  <w:num w:numId="15" w16cid:durableId="137652694">
    <w:abstractNumId w:val="22"/>
  </w:num>
  <w:num w:numId="16" w16cid:durableId="295644777">
    <w:abstractNumId w:val="23"/>
  </w:num>
  <w:num w:numId="17" w16cid:durableId="1613170320">
    <w:abstractNumId w:val="17"/>
  </w:num>
  <w:num w:numId="18" w16cid:durableId="1052730196">
    <w:abstractNumId w:val="11"/>
  </w:num>
  <w:num w:numId="19" w16cid:durableId="1802188979">
    <w:abstractNumId w:val="14"/>
  </w:num>
  <w:num w:numId="20" w16cid:durableId="129057685">
    <w:abstractNumId w:val="27"/>
  </w:num>
  <w:num w:numId="21" w16cid:durableId="2057775109">
    <w:abstractNumId w:val="9"/>
  </w:num>
  <w:num w:numId="22" w16cid:durableId="1083720656">
    <w:abstractNumId w:val="7"/>
  </w:num>
  <w:num w:numId="23" w16cid:durableId="1973124875">
    <w:abstractNumId w:val="1"/>
  </w:num>
  <w:num w:numId="24" w16cid:durableId="1777216820">
    <w:abstractNumId w:val="4"/>
  </w:num>
  <w:num w:numId="25" w16cid:durableId="667292666">
    <w:abstractNumId w:val="10"/>
  </w:num>
  <w:num w:numId="26" w16cid:durableId="1677683690">
    <w:abstractNumId w:val="3"/>
  </w:num>
  <w:num w:numId="27" w16cid:durableId="1710956782">
    <w:abstractNumId w:val="13"/>
  </w:num>
  <w:num w:numId="28" w16cid:durableId="241833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5"/>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E21"/>
    <w:rsid w:val="00001F32"/>
    <w:rsid w:val="00011007"/>
    <w:rsid w:val="00011C48"/>
    <w:rsid w:val="0002694A"/>
    <w:rsid w:val="000351F0"/>
    <w:rsid w:val="000356F0"/>
    <w:rsid w:val="00047D57"/>
    <w:rsid w:val="00061838"/>
    <w:rsid w:val="00072F8B"/>
    <w:rsid w:val="00086C02"/>
    <w:rsid w:val="00087AE3"/>
    <w:rsid w:val="00092AA8"/>
    <w:rsid w:val="000A4F1B"/>
    <w:rsid w:val="000B2106"/>
    <w:rsid w:val="000B46F5"/>
    <w:rsid w:val="000C0C31"/>
    <w:rsid w:val="000C12CA"/>
    <w:rsid w:val="000C41E1"/>
    <w:rsid w:val="000D15CF"/>
    <w:rsid w:val="000E6507"/>
    <w:rsid w:val="000F0905"/>
    <w:rsid w:val="000F0D0D"/>
    <w:rsid w:val="000F0DDA"/>
    <w:rsid w:val="000F23C6"/>
    <w:rsid w:val="000F3F1A"/>
    <w:rsid w:val="0010162E"/>
    <w:rsid w:val="00102B48"/>
    <w:rsid w:val="001051CA"/>
    <w:rsid w:val="0011336D"/>
    <w:rsid w:val="00120F30"/>
    <w:rsid w:val="00124D0A"/>
    <w:rsid w:val="00140B8B"/>
    <w:rsid w:val="00144E30"/>
    <w:rsid w:val="001543CA"/>
    <w:rsid w:val="001611C4"/>
    <w:rsid w:val="001700DA"/>
    <w:rsid w:val="0017085B"/>
    <w:rsid w:val="001754B6"/>
    <w:rsid w:val="00182930"/>
    <w:rsid w:val="00183210"/>
    <w:rsid w:val="001846D7"/>
    <w:rsid w:val="00194A46"/>
    <w:rsid w:val="001951BE"/>
    <w:rsid w:val="001A328D"/>
    <w:rsid w:val="001A68BD"/>
    <w:rsid w:val="001A6D89"/>
    <w:rsid w:val="001B043D"/>
    <w:rsid w:val="001B3813"/>
    <w:rsid w:val="001C2293"/>
    <w:rsid w:val="001C3162"/>
    <w:rsid w:val="001C53AA"/>
    <w:rsid w:val="001D1FD4"/>
    <w:rsid w:val="001D6A36"/>
    <w:rsid w:val="001E5D4B"/>
    <w:rsid w:val="001F4AEB"/>
    <w:rsid w:val="00214EE4"/>
    <w:rsid w:val="00216790"/>
    <w:rsid w:val="00220060"/>
    <w:rsid w:val="00221513"/>
    <w:rsid w:val="0022583E"/>
    <w:rsid w:val="0022602F"/>
    <w:rsid w:val="00226E0B"/>
    <w:rsid w:val="002279BE"/>
    <w:rsid w:val="0023697D"/>
    <w:rsid w:val="00243D11"/>
    <w:rsid w:val="00244272"/>
    <w:rsid w:val="00254DA6"/>
    <w:rsid w:val="00255816"/>
    <w:rsid w:val="00260301"/>
    <w:rsid w:val="00261D72"/>
    <w:rsid w:val="002665B8"/>
    <w:rsid w:val="002717CA"/>
    <w:rsid w:val="0028088D"/>
    <w:rsid w:val="00290B90"/>
    <w:rsid w:val="002A41AE"/>
    <w:rsid w:val="002A4300"/>
    <w:rsid w:val="002A772F"/>
    <w:rsid w:val="002A7B67"/>
    <w:rsid w:val="002C0981"/>
    <w:rsid w:val="002C2930"/>
    <w:rsid w:val="002C6B9F"/>
    <w:rsid w:val="002D3561"/>
    <w:rsid w:val="002D3A68"/>
    <w:rsid w:val="002D5670"/>
    <w:rsid w:val="002D5B1F"/>
    <w:rsid w:val="002D72C0"/>
    <w:rsid w:val="002D75C9"/>
    <w:rsid w:val="002D7BE0"/>
    <w:rsid w:val="002E36F5"/>
    <w:rsid w:val="002E5D77"/>
    <w:rsid w:val="002F209F"/>
    <w:rsid w:val="003006C9"/>
    <w:rsid w:val="00303640"/>
    <w:rsid w:val="003058EF"/>
    <w:rsid w:val="00310B64"/>
    <w:rsid w:val="0031235F"/>
    <w:rsid w:val="0031524D"/>
    <w:rsid w:val="00331B4F"/>
    <w:rsid w:val="00331CDA"/>
    <w:rsid w:val="0033249E"/>
    <w:rsid w:val="003335C4"/>
    <w:rsid w:val="0033767B"/>
    <w:rsid w:val="00340CBC"/>
    <w:rsid w:val="003471BE"/>
    <w:rsid w:val="00352FC8"/>
    <w:rsid w:val="00357DE5"/>
    <w:rsid w:val="00363EF7"/>
    <w:rsid w:val="00366443"/>
    <w:rsid w:val="00373490"/>
    <w:rsid w:val="003761A5"/>
    <w:rsid w:val="00381201"/>
    <w:rsid w:val="003819B2"/>
    <w:rsid w:val="00397F8D"/>
    <w:rsid w:val="003A0EE0"/>
    <w:rsid w:val="003A4567"/>
    <w:rsid w:val="003A58C6"/>
    <w:rsid w:val="003A6BE9"/>
    <w:rsid w:val="003A7DCE"/>
    <w:rsid w:val="003B00FC"/>
    <w:rsid w:val="003C0C68"/>
    <w:rsid w:val="003C678C"/>
    <w:rsid w:val="003D516C"/>
    <w:rsid w:val="003E6B32"/>
    <w:rsid w:val="003F3953"/>
    <w:rsid w:val="003F677D"/>
    <w:rsid w:val="004044B6"/>
    <w:rsid w:val="004065F6"/>
    <w:rsid w:val="00410EC3"/>
    <w:rsid w:val="00423413"/>
    <w:rsid w:val="0042794B"/>
    <w:rsid w:val="00427E3F"/>
    <w:rsid w:val="00430FBA"/>
    <w:rsid w:val="00431260"/>
    <w:rsid w:val="0043227E"/>
    <w:rsid w:val="00443AF0"/>
    <w:rsid w:val="00443FC0"/>
    <w:rsid w:val="0044561D"/>
    <w:rsid w:val="00451307"/>
    <w:rsid w:val="004526C0"/>
    <w:rsid w:val="00453259"/>
    <w:rsid w:val="00457975"/>
    <w:rsid w:val="0048007C"/>
    <w:rsid w:val="0048269A"/>
    <w:rsid w:val="004A66D5"/>
    <w:rsid w:val="004A7795"/>
    <w:rsid w:val="004B275B"/>
    <w:rsid w:val="004C082E"/>
    <w:rsid w:val="004C22F9"/>
    <w:rsid w:val="004D128C"/>
    <w:rsid w:val="004E4564"/>
    <w:rsid w:val="004E681D"/>
    <w:rsid w:val="004F5681"/>
    <w:rsid w:val="005024E0"/>
    <w:rsid w:val="005032DA"/>
    <w:rsid w:val="005106C2"/>
    <w:rsid w:val="00510AE7"/>
    <w:rsid w:val="0051339E"/>
    <w:rsid w:val="0052137C"/>
    <w:rsid w:val="00521E9D"/>
    <w:rsid w:val="00523CA3"/>
    <w:rsid w:val="005270E5"/>
    <w:rsid w:val="0052784A"/>
    <w:rsid w:val="00530198"/>
    <w:rsid w:val="00530F66"/>
    <w:rsid w:val="00531BD4"/>
    <w:rsid w:val="00536069"/>
    <w:rsid w:val="00536C58"/>
    <w:rsid w:val="005379AA"/>
    <w:rsid w:val="0054144F"/>
    <w:rsid w:val="0054737D"/>
    <w:rsid w:val="00555019"/>
    <w:rsid w:val="0055675D"/>
    <w:rsid w:val="0056357A"/>
    <w:rsid w:val="00564B01"/>
    <w:rsid w:val="0056603F"/>
    <w:rsid w:val="005661B2"/>
    <w:rsid w:val="00567CAA"/>
    <w:rsid w:val="0058105C"/>
    <w:rsid w:val="00583C2C"/>
    <w:rsid w:val="0059427A"/>
    <w:rsid w:val="00597A4E"/>
    <w:rsid w:val="005A23DF"/>
    <w:rsid w:val="005C02E9"/>
    <w:rsid w:val="005C09D2"/>
    <w:rsid w:val="005C1CFF"/>
    <w:rsid w:val="005D3152"/>
    <w:rsid w:val="005D4801"/>
    <w:rsid w:val="005D5204"/>
    <w:rsid w:val="005D7D82"/>
    <w:rsid w:val="005E0A15"/>
    <w:rsid w:val="005E0C1A"/>
    <w:rsid w:val="005E0CEA"/>
    <w:rsid w:val="005E3781"/>
    <w:rsid w:val="005E6623"/>
    <w:rsid w:val="005E66A3"/>
    <w:rsid w:val="005F1B4C"/>
    <w:rsid w:val="005F3458"/>
    <w:rsid w:val="005F6059"/>
    <w:rsid w:val="006003F4"/>
    <w:rsid w:val="00604E1E"/>
    <w:rsid w:val="006113AF"/>
    <w:rsid w:val="00616901"/>
    <w:rsid w:val="006213A8"/>
    <w:rsid w:val="00623734"/>
    <w:rsid w:val="0063216C"/>
    <w:rsid w:val="00636D9C"/>
    <w:rsid w:val="00642E1B"/>
    <w:rsid w:val="00652AAE"/>
    <w:rsid w:val="006541AD"/>
    <w:rsid w:val="00662B9A"/>
    <w:rsid w:val="0067252F"/>
    <w:rsid w:val="006874B2"/>
    <w:rsid w:val="0069124E"/>
    <w:rsid w:val="006922B2"/>
    <w:rsid w:val="006A0A37"/>
    <w:rsid w:val="006A248C"/>
    <w:rsid w:val="006A3728"/>
    <w:rsid w:val="006A4A46"/>
    <w:rsid w:val="006A61D3"/>
    <w:rsid w:val="006A7113"/>
    <w:rsid w:val="006B1AEB"/>
    <w:rsid w:val="006B1DB1"/>
    <w:rsid w:val="006B6606"/>
    <w:rsid w:val="006C0089"/>
    <w:rsid w:val="006C1C2A"/>
    <w:rsid w:val="006C2D37"/>
    <w:rsid w:val="006E47D2"/>
    <w:rsid w:val="006E603A"/>
    <w:rsid w:val="006E7421"/>
    <w:rsid w:val="006F4B1E"/>
    <w:rsid w:val="006F6FF9"/>
    <w:rsid w:val="006F7470"/>
    <w:rsid w:val="00700AB9"/>
    <w:rsid w:val="0070554A"/>
    <w:rsid w:val="00717951"/>
    <w:rsid w:val="00720FC9"/>
    <w:rsid w:val="00727539"/>
    <w:rsid w:val="00730631"/>
    <w:rsid w:val="00731692"/>
    <w:rsid w:val="00732675"/>
    <w:rsid w:val="00732D2C"/>
    <w:rsid w:val="007339EC"/>
    <w:rsid w:val="007406F0"/>
    <w:rsid w:val="0074253F"/>
    <w:rsid w:val="007431C6"/>
    <w:rsid w:val="00745FAB"/>
    <w:rsid w:val="0074764A"/>
    <w:rsid w:val="007539B0"/>
    <w:rsid w:val="007600AC"/>
    <w:rsid w:val="00761EEA"/>
    <w:rsid w:val="007625EB"/>
    <w:rsid w:val="00773C43"/>
    <w:rsid w:val="0078100B"/>
    <w:rsid w:val="0079291B"/>
    <w:rsid w:val="0079404A"/>
    <w:rsid w:val="00795DC2"/>
    <w:rsid w:val="007A7649"/>
    <w:rsid w:val="007B223F"/>
    <w:rsid w:val="007C15F2"/>
    <w:rsid w:val="007C1B7F"/>
    <w:rsid w:val="007C3662"/>
    <w:rsid w:val="007C75AC"/>
    <w:rsid w:val="007C777D"/>
    <w:rsid w:val="007D0751"/>
    <w:rsid w:val="007E38DA"/>
    <w:rsid w:val="007E3C0B"/>
    <w:rsid w:val="007E610D"/>
    <w:rsid w:val="007E73F5"/>
    <w:rsid w:val="007E771E"/>
    <w:rsid w:val="007F32A9"/>
    <w:rsid w:val="007F36EC"/>
    <w:rsid w:val="007F6335"/>
    <w:rsid w:val="007F745C"/>
    <w:rsid w:val="00800135"/>
    <w:rsid w:val="0080564D"/>
    <w:rsid w:val="008076C7"/>
    <w:rsid w:val="0081249A"/>
    <w:rsid w:val="00812919"/>
    <w:rsid w:val="00812990"/>
    <w:rsid w:val="00814C23"/>
    <w:rsid w:val="008166B9"/>
    <w:rsid w:val="00816B4A"/>
    <w:rsid w:val="00817693"/>
    <w:rsid w:val="00827F4C"/>
    <w:rsid w:val="00835DF9"/>
    <w:rsid w:val="00837B22"/>
    <w:rsid w:val="0084319D"/>
    <w:rsid w:val="00843FFC"/>
    <w:rsid w:val="008518A3"/>
    <w:rsid w:val="0086168D"/>
    <w:rsid w:val="0086438D"/>
    <w:rsid w:val="00867FE4"/>
    <w:rsid w:val="008741FB"/>
    <w:rsid w:val="008746A3"/>
    <w:rsid w:val="00875A94"/>
    <w:rsid w:val="008919A6"/>
    <w:rsid w:val="00895317"/>
    <w:rsid w:val="008977EE"/>
    <w:rsid w:val="008A7C9F"/>
    <w:rsid w:val="008B620F"/>
    <w:rsid w:val="008B6E90"/>
    <w:rsid w:val="008C282D"/>
    <w:rsid w:val="008C2E64"/>
    <w:rsid w:val="008C506C"/>
    <w:rsid w:val="008C6990"/>
    <w:rsid w:val="008D0D40"/>
    <w:rsid w:val="008D1B44"/>
    <w:rsid w:val="008D2E93"/>
    <w:rsid w:val="008D7EAA"/>
    <w:rsid w:val="008E077E"/>
    <w:rsid w:val="008E2749"/>
    <w:rsid w:val="008E36F0"/>
    <w:rsid w:val="008E76A7"/>
    <w:rsid w:val="008F03A0"/>
    <w:rsid w:val="008F42EA"/>
    <w:rsid w:val="008F45AE"/>
    <w:rsid w:val="008F474B"/>
    <w:rsid w:val="008F654D"/>
    <w:rsid w:val="00904C52"/>
    <w:rsid w:val="009245F7"/>
    <w:rsid w:val="009329D2"/>
    <w:rsid w:val="00934FEE"/>
    <w:rsid w:val="00937267"/>
    <w:rsid w:val="00944202"/>
    <w:rsid w:val="009507FB"/>
    <w:rsid w:val="009535B7"/>
    <w:rsid w:val="00955913"/>
    <w:rsid w:val="00964382"/>
    <w:rsid w:val="00964A11"/>
    <w:rsid w:val="00966182"/>
    <w:rsid w:val="009705C5"/>
    <w:rsid w:val="00972212"/>
    <w:rsid w:val="00972C1C"/>
    <w:rsid w:val="009763B2"/>
    <w:rsid w:val="00976D9C"/>
    <w:rsid w:val="00983DC5"/>
    <w:rsid w:val="00986862"/>
    <w:rsid w:val="00987694"/>
    <w:rsid w:val="009968BB"/>
    <w:rsid w:val="00997D55"/>
    <w:rsid w:val="009A5BDF"/>
    <w:rsid w:val="009B3587"/>
    <w:rsid w:val="009C1A58"/>
    <w:rsid w:val="009C2117"/>
    <w:rsid w:val="009C4E32"/>
    <w:rsid w:val="009D2049"/>
    <w:rsid w:val="009D410E"/>
    <w:rsid w:val="009D42CD"/>
    <w:rsid w:val="009E3BDD"/>
    <w:rsid w:val="009F653C"/>
    <w:rsid w:val="00A03883"/>
    <w:rsid w:val="00A2260A"/>
    <w:rsid w:val="00A23515"/>
    <w:rsid w:val="00A3730F"/>
    <w:rsid w:val="00A416D4"/>
    <w:rsid w:val="00A4541C"/>
    <w:rsid w:val="00A46769"/>
    <w:rsid w:val="00A4690B"/>
    <w:rsid w:val="00A50C6F"/>
    <w:rsid w:val="00A5112E"/>
    <w:rsid w:val="00A51A7F"/>
    <w:rsid w:val="00A527FA"/>
    <w:rsid w:val="00A567D4"/>
    <w:rsid w:val="00A57933"/>
    <w:rsid w:val="00A65DE9"/>
    <w:rsid w:val="00A81C78"/>
    <w:rsid w:val="00A9037F"/>
    <w:rsid w:val="00A9118A"/>
    <w:rsid w:val="00A9131A"/>
    <w:rsid w:val="00A935CF"/>
    <w:rsid w:val="00A96BFB"/>
    <w:rsid w:val="00AA05FB"/>
    <w:rsid w:val="00AB37DF"/>
    <w:rsid w:val="00AC2662"/>
    <w:rsid w:val="00AC3E2A"/>
    <w:rsid w:val="00AC65C4"/>
    <w:rsid w:val="00AC7801"/>
    <w:rsid w:val="00AC7B6F"/>
    <w:rsid w:val="00AD0567"/>
    <w:rsid w:val="00AD4CC5"/>
    <w:rsid w:val="00AD619E"/>
    <w:rsid w:val="00AD6429"/>
    <w:rsid w:val="00AF0BEF"/>
    <w:rsid w:val="00AF236E"/>
    <w:rsid w:val="00AF3B5A"/>
    <w:rsid w:val="00AF710E"/>
    <w:rsid w:val="00AF7CBF"/>
    <w:rsid w:val="00B00287"/>
    <w:rsid w:val="00B00ABA"/>
    <w:rsid w:val="00B03137"/>
    <w:rsid w:val="00B06BFA"/>
    <w:rsid w:val="00B20362"/>
    <w:rsid w:val="00B33D2C"/>
    <w:rsid w:val="00B410BD"/>
    <w:rsid w:val="00B5277C"/>
    <w:rsid w:val="00B546B9"/>
    <w:rsid w:val="00B5504F"/>
    <w:rsid w:val="00B603E9"/>
    <w:rsid w:val="00B74E34"/>
    <w:rsid w:val="00B74E35"/>
    <w:rsid w:val="00B812C7"/>
    <w:rsid w:val="00B824F7"/>
    <w:rsid w:val="00B84831"/>
    <w:rsid w:val="00B9514E"/>
    <w:rsid w:val="00B9700F"/>
    <w:rsid w:val="00BA2DAA"/>
    <w:rsid w:val="00BA3064"/>
    <w:rsid w:val="00BA4143"/>
    <w:rsid w:val="00BA5EDC"/>
    <w:rsid w:val="00BB3AB2"/>
    <w:rsid w:val="00BB7A03"/>
    <w:rsid w:val="00BC0812"/>
    <w:rsid w:val="00BC3F49"/>
    <w:rsid w:val="00BD221C"/>
    <w:rsid w:val="00BD2F9F"/>
    <w:rsid w:val="00BD4528"/>
    <w:rsid w:val="00BD6F07"/>
    <w:rsid w:val="00BE39AB"/>
    <w:rsid w:val="00BE5B50"/>
    <w:rsid w:val="00BF5A76"/>
    <w:rsid w:val="00C00942"/>
    <w:rsid w:val="00C013E6"/>
    <w:rsid w:val="00C01797"/>
    <w:rsid w:val="00C02F1A"/>
    <w:rsid w:val="00C0330D"/>
    <w:rsid w:val="00C13F79"/>
    <w:rsid w:val="00C16B02"/>
    <w:rsid w:val="00C25736"/>
    <w:rsid w:val="00C26049"/>
    <w:rsid w:val="00C277F0"/>
    <w:rsid w:val="00C30E28"/>
    <w:rsid w:val="00C37E24"/>
    <w:rsid w:val="00C403E1"/>
    <w:rsid w:val="00C41824"/>
    <w:rsid w:val="00C42278"/>
    <w:rsid w:val="00C5199C"/>
    <w:rsid w:val="00C54BC8"/>
    <w:rsid w:val="00C6059B"/>
    <w:rsid w:val="00C63F79"/>
    <w:rsid w:val="00C64829"/>
    <w:rsid w:val="00C65621"/>
    <w:rsid w:val="00C65B5E"/>
    <w:rsid w:val="00C65BC8"/>
    <w:rsid w:val="00C66CA1"/>
    <w:rsid w:val="00C74ABD"/>
    <w:rsid w:val="00C7609F"/>
    <w:rsid w:val="00C77B0A"/>
    <w:rsid w:val="00C80FF4"/>
    <w:rsid w:val="00C868EA"/>
    <w:rsid w:val="00C86DA5"/>
    <w:rsid w:val="00C86F59"/>
    <w:rsid w:val="00C9300F"/>
    <w:rsid w:val="00C9340F"/>
    <w:rsid w:val="00C94065"/>
    <w:rsid w:val="00C9748A"/>
    <w:rsid w:val="00CA5CA6"/>
    <w:rsid w:val="00CA7143"/>
    <w:rsid w:val="00CB2C8E"/>
    <w:rsid w:val="00CC1D38"/>
    <w:rsid w:val="00CC2090"/>
    <w:rsid w:val="00CD009D"/>
    <w:rsid w:val="00CD0F43"/>
    <w:rsid w:val="00CD1C29"/>
    <w:rsid w:val="00CD4CD8"/>
    <w:rsid w:val="00CD61EE"/>
    <w:rsid w:val="00CD6CD8"/>
    <w:rsid w:val="00CE0C94"/>
    <w:rsid w:val="00CE1DB0"/>
    <w:rsid w:val="00CE28A1"/>
    <w:rsid w:val="00CE3E3A"/>
    <w:rsid w:val="00CF0C83"/>
    <w:rsid w:val="00CF1640"/>
    <w:rsid w:val="00CF6FC3"/>
    <w:rsid w:val="00D10104"/>
    <w:rsid w:val="00D10496"/>
    <w:rsid w:val="00D10CB5"/>
    <w:rsid w:val="00D15E05"/>
    <w:rsid w:val="00D25E77"/>
    <w:rsid w:val="00D2627A"/>
    <w:rsid w:val="00D359BE"/>
    <w:rsid w:val="00D4019E"/>
    <w:rsid w:val="00D421B0"/>
    <w:rsid w:val="00D46282"/>
    <w:rsid w:val="00D46CCE"/>
    <w:rsid w:val="00D522EE"/>
    <w:rsid w:val="00D611A5"/>
    <w:rsid w:val="00D61609"/>
    <w:rsid w:val="00D665E4"/>
    <w:rsid w:val="00D85BF0"/>
    <w:rsid w:val="00D8691A"/>
    <w:rsid w:val="00D918B2"/>
    <w:rsid w:val="00D918E6"/>
    <w:rsid w:val="00DA6054"/>
    <w:rsid w:val="00DB6ACD"/>
    <w:rsid w:val="00DC7602"/>
    <w:rsid w:val="00DD42A0"/>
    <w:rsid w:val="00DD7508"/>
    <w:rsid w:val="00DE2A68"/>
    <w:rsid w:val="00DE42FE"/>
    <w:rsid w:val="00DF0F64"/>
    <w:rsid w:val="00DF1014"/>
    <w:rsid w:val="00DF6555"/>
    <w:rsid w:val="00E02F58"/>
    <w:rsid w:val="00E07153"/>
    <w:rsid w:val="00E11EC0"/>
    <w:rsid w:val="00E33A53"/>
    <w:rsid w:val="00E51759"/>
    <w:rsid w:val="00E5186F"/>
    <w:rsid w:val="00E530C6"/>
    <w:rsid w:val="00E53BF4"/>
    <w:rsid w:val="00E62A93"/>
    <w:rsid w:val="00E70785"/>
    <w:rsid w:val="00E70DBD"/>
    <w:rsid w:val="00E727A9"/>
    <w:rsid w:val="00E84461"/>
    <w:rsid w:val="00E86D3D"/>
    <w:rsid w:val="00EA49A0"/>
    <w:rsid w:val="00EA7FE6"/>
    <w:rsid w:val="00EB051C"/>
    <w:rsid w:val="00EB0D72"/>
    <w:rsid w:val="00EB7B92"/>
    <w:rsid w:val="00EC13AF"/>
    <w:rsid w:val="00EC5E06"/>
    <w:rsid w:val="00ED1676"/>
    <w:rsid w:val="00ED48F2"/>
    <w:rsid w:val="00EE3297"/>
    <w:rsid w:val="00EE75A3"/>
    <w:rsid w:val="00EE7BBD"/>
    <w:rsid w:val="00EF18A3"/>
    <w:rsid w:val="00EF2040"/>
    <w:rsid w:val="00EF4A3E"/>
    <w:rsid w:val="00EF7CEE"/>
    <w:rsid w:val="00F0485B"/>
    <w:rsid w:val="00F14C2B"/>
    <w:rsid w:val="00F158A9"/>
    <w:rsid w:val="00F170E2"/>
    <w:rsid w:val="00F31915"/>
    <w:rsid w:val="00F324C0"/>
    <w:rsid w:val="00F34270"/>
    <w:rsid w:val="00F424DE"/>
    <w:rsid w:val="00F42EA7"/>
    <w:rsid w:val="00F51B03"/>
    <w:rsid w:val="00F63F89"/>
    <w:rsid w:val="00F648FF"/>
    <w:rsid w:val="00F649EE"/>
    <w:rsid w:val="00F72601"/>
    <w:rsid w:val="00F77B2D"/>
    <w:rsid w:val="00F80CE0"/>
    <w:rsid w:val="00F85E83"/>
    <w:rsid w:val="00F91E21"/>
    <w:rsid w:val="00F93586"/>
    <w:rsid w:val="00FA34C8"/>
    <w:rsid w:val="00FA7C14"/>
    <w:rsid w:val="00FB691A"/>
    <w:rsid w:val="00FB7D3D"/>
    <w:rsid w:val="00FC073B"/>
    <w:rsid w:val="00FC3A4B"/>
    <w:rsid w:val="00FC3B34"/>
    <w:rsid w:val="00FC60DF"/>
    <w:rsid w:val="00FC7110"/>
    <w:rsid w:val="00FD11D2"/>
    <w:rsid w:val="00FD139C"/>
    <w:rsid w:val="00FF11F3"/>
    <w:rsid w:val="00FF153F"/>
    <w:rsid w:val="00FF2A08"/>
    <w:rsid w:val="00FF7A0B"/>
    <w:rsid w:val="038B3898"/>
    <w:rsid w:val="05523090"/>
    <w:rsid w:val="0A5B078E"/>
    <w:rsid w:val="0C065F88"/>
    <w:rsid w:val="0C5B233E"/>
    <w:rsid w:val="1EA87FB1"/>
    <w:rsid w:val="2E04418C"/>
    <w:rsid w:val="2F104A36"/>
    <w:rsid w:val="2F3F52BC"/>
    <w:rsid w:val="32543E43"/>
    <w:rsid w:val="35EB3E83"/>
    <w:rsid w:val="38235B44"/>
    <w:rsid w:val="45674BB4"/>
    <w:rsid w:val="462D6F07"/>
    <w:rsid w:val="49ED1B20"/>
    <w:rsid w:val="4B093B3F"/>
    <w:rsid w:val="60417F47"/>
    <w:rsid w:val="6EE669BA"/>
    <w:rsid w:val="7A9C7611"/>
  </w:rsids>
  <w:docVars>
    <w:docVar w:name="commondata" w:val="eyJoZGlkIjoiOWMzODBhZmYwODI3MzYzMDdiNjQ0Yjc5MjE1N2VhYz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A33E69"/>
  <w15:docId w15:val="{1653ED3B-ADD1-456E-84D6-D94B80059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qFormat="1"/>
    <w:lsdException w:name="toc 5" w:semiHidden="1" w:uiPriority="0" w:unhideWhenUsed="1"/>
    <w:lsdException w:name="toc 6" w:semiHidden="1" w:uiPriority="0" w:unhideWhenUsed="1" w:qFormat="1"/>
    <w:lsdException w:name="toc 7" w:semiHidden="1" w:uiPriority="0" w:unhideWhenUsed="1"/>
    <w:lsdException w:name="toc 8" w:semiHidden="1" w:uiPriority="0" w:unhideWhenUsed="1" w:qFormat="1"/>
    <w:lsdException w:name="toc 9" w:semiHidden="1" w:uiPriority="0"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link w:val="10"/>
    <w:qFormat/>
    <w:pPr>
      <w:keepNext/>
      <w:keepLines/>
      <w:spacing w:before="50" w:beforeLines="50" w:line="360" w:lineRule="auto"/>
      <w:jc w:val="left"/>
      <w:outlineLvl w:val="0"/>
    </w:pPr>
    <w:rPr>
      <w:rFonts w:eastAsia="黑体"/>
      <w:b/>
      <w:bCs/>
      <w:kern w:val="44"/>
      <w:sz w:val="24"/>
      <w:szCs w:val="44"/>
    </w:rPr>
  </w:style>
  <w:style w:type="paragraph" w:styleId="Heading2">
    <w:name w:val="heading 2"/>
    <w:basedOn w:val="Normal"/>
    <w:next w:val="Normal"/>
    <w:link w:val="2"/>
    <w:unhideWhenUsed/>
    <w:qFormat/>
    <w:pPr>
      <w:keepNext/>
      <w:keepLines/>
      <w:spacing w:before="260" w:after="260" w:line="416" w:lineRule="auto"/>
      <w:jc w:val="left"/>
      <w:outlineLvl w:val="1"/>
    </w:pPr>
    <w:rPr>
      <w:rFonts w:eastAsia="黑体" w:asciiTheme="majorHAnsi" w:hAnsiTheme="majorHAnsi" w:cstheme="majorBidi"/>
      <w:b/>
      <w:bCs/>
      <w:sz w:val="28"/>
      <w:szCs w:val="32"/>
    </w:rPr>
  </w:style>
  <w:style w:type="paragraph" w:styleId="Heading3">
    <w:name w:val="heading 3"/>
    <w:basedOn w:val="Normal"/>
    <w:next w:val="Normal"/>
    <w:link w:val="3"/>
    <w:unhideWhenUsed/>
    <w:qFormat/>
    <w:pPr>
      <w:keepNext/>
      <w:keepLines/>
      <w:spacing w:before="260" w:after="260" w:line="416" w:lineRule="auto"/>
      <w:jc w:val="left"/>
      <w:outlineLvl w:val="2"/>
    </w:pPr>
    <w:rPr>
      <w:rFonts w:eastAsia="黑体"/>
      <w:b/>
      <w:bCs/>
      <w:sz w:val="24"/>
      <w:szCs w:val="32"/>
    </w:rPr>
  </w:style>
  <w:style w:type="paragraph" w:styleId="Heading4">
    <w:name w:val="heading 4"/>
    <w:basedOn w:val="Normal"/>
    <w:next w:val="Normal"/>
    <w:link w:val="4"/>
    <w:qFormat/>
    <w:pPr>
      <w:keepNext/>
      <w:keepLines/>
      <w:spacing w:before="280" w:after="290" w:line="376" w:lineRule="auto"/>
      <w:outlineLvl w:val="3"/>
    </w:pPr>
    <w:rPr>
      <w:rFonts w:ascii="Cambria" w:eastAsia="宋体" w:hAnsi="Cambria"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semiHidden/>
    <w:pPr>
      <w:ind w:left="1440"/>
      <w:jc w:val="left"/>
    </w:pPr>
    <w:rPr>
      <w:rFonts w:ascii="Times New Roman" w:eastAsia="宋体" w:hAnsi="Times New Roman" w:cs="Times New Roman"/>
      <w:sz w:val="18"/>
      <w:szCs w:val="18"/>
    </w:rPr>
  </w:style>
  <w:style w:type="paragraph" w:styleId="NormalIndent">
    <w:name w:val="Normal Indent"/>
    <w:basedOn w:val="Normal"/>
    <w:pPr>
      <w:ind w:firstLine="420"/>
    </w:pPr>
    <w:rPr>
      <w:rFonts w:ascii="Times New Roman" w:eastAsia="宋体" w:hAnsi="Times New Roman" w:cs="Times New Roman"/>
      <w:szCs w:val="20"/>
    </w:rPr>
  </w:style>
  <w:style w:type="paragraph" w:styleId="DocumentMap">
    <w:name w:val="Document Map"/>
    <w:basedOn w:val="Normal"/>
    <w:link w:val="a3"/>
    <w:semiHidden/>
    <w:qFormat/>
    <w:pPr>
      <w:shd w:val="clear" w:color="auto" w:fill="000080"/>
    </w:pPr>
    <w:rPr>
      <w:rFonts w:ascii="Times New Roman" w:eastAsia="宋体" w:hAnsi="Times New Roman" w:cs="Times New Roman"/>
      <w:sz w:val="24"/>
      <w:szCs w:val="24"/>
    </w:rPr>
  </w:style>
  <w:style w:type="paragraph" w:styleId="CommentText">
    <w:name w:val="annotation text"/>
    <w:basedOn w:val="Normal"/>
    <w:link w:val="a9"/>
    <w:uiPriority w:val="99"/>
    <w:semiHidden/>
    <w:unhideWhenUsed/>
    <w:pPr>
      <w:jc w:val="left"/>
    </w:pPr>
  </w:style>
  <w:style w:type="paragraph" w:styleId="BodyText">
    <w:name w:val="Body Text"/>
    <w:basedOn w:val="Normal"/>
    <w:link w:val="a4"/>
    <w:qFormat/>
    <w:rPr>
      <w:rFonts w:ascii="Times New Roman" w:eastAsia="宋体" w:hAnsi="Times New Roman" w:cs="Times New Roman"/>
      <w:sz w:val="24"/>
      <w:szCs w:val="21"/>
    </w:rPr>
  </w:style>
  <w:style w:type="paragraph" w:styleId="BodyTextIndent">
    <w:name w:val="Body Text Indent"/>
    <w:basedOn w:val="Normal"/>
    <w:link w:val="a2"/>
    <w:qFormat/>
    <w:pPr>
      <w:ind w:firstLine="480"/>
    </w:pPr>
    <w:rPr>
      <w:rFonts w:ascii="Times New Roman" w:eastAsia="宋体" w:hAnsi="Times New Roman" w:cs="Times New Roman"/>
      <w:sz w:val="28"/>
      <w:szCs w:val="28"/>
    </w:rPr>
  </w:style>
  <w:style w:type="paragraph" w:styleId="List2">
    <w:name w:val="List 2"/>
    <w:basedOn w:val="Normal"/>
    <w:pPr>
      <w:ind w:left="100" w:hanging="200"/>
    </w:pPr>
    <w:rPr>
      <w:rFonts w:ascii="Times New Roman" w:eastAsia="宋体" w:hAnsi="Times New Roman" w:cs="Times New Roman"/>
      <w:szCs w:val="20"/>
    </w:rPr>
  </w:style>
  <w:style w:type="paragraph" w:styleId="TOC5">
    <w:name w:val="toc 5"/>
    <w:basedOn w:val="Normal"/>
    <w:next w:val="Normal"/>
    <w:semiHidden/>
    <w:pPr>
      <w:ind w:left="960"/>
      <w:jc w:val="left"/>
    </w:pPr>
    <w:rPr>
      <w:rFonts w:ascii="Times New Roman" w:eastAsia="宋体" w:hAnsi="Times New Roman" w:cs="Times New Roman"/>
      <w:sz w:val="18"/>
      <w:szCs w:val="18"/>
    </w:rPr>
  </w:style>
  <w:style w:type="paragraph" w:styleId="TOC3">
    <w:name w:val="toc 3"/>
    <w:basedOn w:val="Normal"/>
    <w:next w:val="Normal"/>
    <w:uiPriority w:val="39"/>
    <w:unhideWhenUsed/>
    <w:qFormat/>
    <w:pPr>
      <w:ind w:left="840" w:leftChars="400"/>
    </w:pPr>
  </w:style>
  <w:style w:type="paragraph" w:styleId="PlainText">
    <w:name w:val="Plain Text"/>
    <w:basedOn w:val="Normal"/>
    <w:qFormat/>
    <w:pPr>
      <w:spacing w:line="540" w:lineRule="exact"/>
      <w:jc w:val="left"/>
    </w:pPr>
    <w:rPr>
      <w:rFonts w:ascii="宋体" w:hAnsi="Courier New"/>
      <w:sz w:val="24"/>
      <w:szCs w:val="20"/>
    </w:rPr>
  </w:style>
  <w:style w:type="paragraph" w:styleId="TOC8">
    <w:name w:val="toc 8"/>
    <w:basedOn w:val="Normal"/>
    <w:next w:val="Normal"/>
    <w:semiHidden/>
    <w:qFormat/>
    <w:pPr>
      <w:ind w:left="1680"/>
      <w:jc w:val="left"/>
    </w:pPr>
    <w:rPr>
      <w:rFonts w:ascii="Times New Roman" w:eastAsia="宋体" w:hAnsi="Times New Roman" w:cs="Times New Roman"/>
      <w:sz w:val="18"/>
      <w:szCs w:val="18"/>
    </w:rPr>
  </w:style>
  <w:style w:type="paragraph" w:styleId="Date">
    <w:name w:val="Date"/>
    <w:basedOn w:val="Normal"/>
    <w:next w:val="Normal"/>
    <w:link w:val="a5"/>
    <w:rPr>
      <w:rFonts w:ascii="黑体" w:eastAsia="黑体" w:hAnsi="宋体" w:cs="Times New Roman" w:hint="eastAsia"/>
      <w:sz w:val="24"/>
      <w:szCs w:val="24"/>
    </w:rPr>
  </w:style>
  <w:style w:type="paragraph" w:styleId="BodyTextIndent2">
    <w:name w:val="Body Text Indent 2"/>
    <w:basedOn w:val="Normal"/>
    <w:link w:val="21"/>
    <w:pPr>
      <w:spacing w:after="120" w:line="480" w:lineRule="auto"/>
      <w:ind w:left="420"/>
    </w:pPr>
    <w:rPr>
      <w:rFonts w:ascii="Times New Roman" w:eastAsia="宋体" w:hAnsi="Times New Roman" w:cs="Times New Roman"/>
      <w:szCs w:val="24"/>
    </w:rPr>
  </w:style>
  <w:style w:type="paragraph" w:styleId="BalloonText">
    <w:name w:val="Balloon Text"/>
    <w:basedOn w:val="Normal"/>
    <w:link w:val="a8"/>
    <w:rPr>
      <w:rFonts w:ascii="Times New Roman" w:eastAsia="宋体" w:hAnsi="Times New Roman" w:cs="Times New Roman"/>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4">
    <w:name w:val="toc 4"/>
    <w:basedOn w:val="Normal"/>
    <w:next w:val="Normal"/>
    <w:semiHidden/>
    <w:qFormat/>
    <w:pPr>
      <w:ind w:left="720"/>
      <w:jc w:val="left"/>
    </w:pPr>
    <w:rPr>
      <w:rFonts w:ascii="Times New Roman" w:eastAsia="宋体" w:hAnsi="Times New Roman" w:cs="Times New Roman"/>
      <w:sz w:val="18"/>
      <w:szCs w:val="18"/>
    </w:rPr>
  </w:style>
  <w:style w:type="paragraph" w:styleId="List">
    <w:name w:val="List"/>
    <w:basedOn w:val="Normal"/>
    <w:pPr>
      <w:ind w:left="200" w:hanging="200"/>
      <w:contextualSpacing/>
    </w:pPr>
    <w:rPr>
      <w:rFonts w:ascii="Times New Roman" w:eastAsia="宋体" w:hAnsi="Times New Roman" w:cs="Times New Roman"/>
      <w:sz w:val="24"/>
      <w:szCs w:val="24"/>
    </w:rPr>
  </w:style>
  <w:style w:type="paragraph" w:styleId="TOC6">
    <w:name w:val="toc 6"/>
    <w:basedOn w:val="Normal"/>
    <w:next w:val="Normal"/>
    <w:semiHidden/>
    <w:qFormat/>
    <w:pPr>
      <w:ind w:left="1200"/>
      <w:jc w:val="left"/>
    </w:pPr>
    <w:rPr>
      <w:rFonts w:ascii="Times New Roman" w:eastAsia="宋体" w:hAnsi="Times New Roman" w:cs="Times New Roman"/>
      <w:sz w:val="18"/>
      <w:szCs w:val="18"/>
    </w:rPr>
  </w:style>
  <w:style w:type="paragraph" w:styleId="TableofFigures">
    <w:name w:val="table of figures"/>
    <w:basedOn w:val="Normal"/>
    <w:next w:val="Normal"/>
    <w:semiHidden/>
    <w:pPr>
      <w:ind w:left="480" w:hanging="480"/>
      <w:jc w:val="left"/>
    </w:pPr>
    <w:rPr>
      <w:rFonts w:ascii="Times New Roman" w:eastAsia="宋体" w:hAnsi="Times New Roman" w:cs="Times New Roman"/>
      <w:smallCaps/>
      <w:sz w:val="20"/>
      <w:szCs w:val="20"/>
    </w:rPr>
  </w:style>
  <w:style w:type="paragraph" w:styleId="TOC2">
    <w:name w:val="toc 2"/>
    <w:basedOn w:val="Normal"/>
    <w:next w:val="Normal"/>
    <w:uiPriority w:val="39"/>
    <w:unhideWhenUsed/>
    <w:qFormat/>
    <w:pPr>
      <w:ind w:left="420" w:leftChars="200"/>
    </w:pPr>
  </w:style>
  <w:style w:type="paragraph" w:styleId="TOC9">
    <w:name w:val="toc 9"/>
    <w:basedOn w:val="Normal"/>
    <w:next w:val="Normal"/>
    <w:semiHidden/>
    <w:pPr>
      <w:ind w:left="1920"/>
      <w:jc w:val="left"/>
    </w:pPr>
    <w:rPr>
      <w:rFonts w:ascii="Times New Roman" w:eastAsia="宋体" w:hAnsi="Times New Roman" w:cs="Times New Roman"/>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Index1">
    <w:name w:val="index 1"/>
    <w:basedOn w:val="Normal"/>
    <w:next w:val="Normal"/>
    <w:semiHidden/>
    <w:rPr>
      <w:rFonts w:ascii="Times New Roman" w:eastAsia="宋体" w:hAnsi="Times New Roman" w:cs="Times New Roman"/>
      <w:sz w:val="24"/>
      <w:szCs w:val="24"/>
    </w:rPr>
  </w:style>
  <w:style w:type="paragraph" w:styleId="Title">
    <w:name w:val="Title"/>
    <w:basedOn w:val="Normal"/>
    <w:next w:val="Normal"/>
    <w:link w:val="a7"/>
    <w:qFormat/>
    <w:pPr>
      <w:spacing w:after="220" w:line="360" w:lineRule="auto"/>
      <w:jc w:val="left"/>
      <w:outlineLvl w:val="0"/>
    </w:pPr>
    <w:rPr>
      <w:rFonts w:ascii="Cambria" w:eastAsia="黑体" w:hAnsi="Cambria" w:cs="Times New Roman"/>
      <w:b/>
      <w:bCs/>
      <w:sz w:val="30"/>
      <w:szCs w:val="32"/>
    </w:rPr>
  </w:style>
  <w:style w:type="paragraph" w:styleId="CommentSubject">
    <w:name w:val="annotation subject"/>
    <w:basedOn w:val="CommentText"/>
    <w:next w:val="CommentText"/>
    <w:link w:val="a10"/>
    <w:uiPriority w:val="99"/>
    <w:semiHidden/>
    <w:unhideWhenUsed/>
    <w:rPr>
      <w:b/>
      <w:bCs/>
    </w:rPr>
  </w:style>
  <w:style w:type="table" w:styleId="TableGrid">
    <w:name w:val="Table Grid"/>
    <w:basedOn w:val="TableNormal"/>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PageNumber">
    <w:name w:val="page number"/>
    <w:basedOn w:val="DefaultParagraphFont"/>
  </w:style>
  <w:style w:type="character" w:styleId="FollowedHyperlink">
    <w:name w:val="FollowedHyperlink"/>
    <w:basedOn w:val="DefaultParagraphFont"/>
    <w:rPr>
      <w:color w:val="800080"/>
      <w:u w:val="single"/>
    </w:rPr>
  </w:style>
  <w:style w:type="character" w:styleId="Hyperlink">
    <w:name w:val="Hyperlink"/>
    <w:basedOn w:val="DefaultParagraphFont"/>
    <w:uiPriority w:val="99"/>
    <w:unhideWhenUsed/>
    <w:rPr>
      <w:color w:val="0563C1" w:themeColor="hyperlink"/>
      <w:u w:val="single"/>
    </w:rPr>
  </w:style>
  <w:style w:type="character" w:styleId="CommentReference">
    <w:name w:val="annotation reference"/>
    <w:basedOn w:val="DefaultParagraphFont"/>
    <w:uiPriority w:val="99"/>
    <w:semiHidden/>
    <w:unhideWhenUsed/>
    <w:rPr>
      <w:sz w:val="21"/>
      <w:szCs w:val="21"/>
    </w:rPr>
  </w:style>
  <w:style w:type="table" w:customStyle="1" w:styleId="TableGrid0">
    <w:name w:val="TableGrid"/>
    <w:qFormat/>
    <w:rPr>
      <w:rFonts w:ascii="等线" w:eastAsia="等线" w:hAnsi="等线" w:cs="Times New Roman"/>
    </w:rPr>
    <w:tblPr>
      <w:tblCellMar>
        <w:top w:w="0" w:type="dxa"/>
        <w:left w:w="0" w:type="dxa"/>
        <w:bottom w:w="0" w:type="dxa"/>
        <w:right w:w="0" w:type="dxa"/>
      </w:tblCellMar>
    </w:tblPr>
  </w:style>
  <w:style w:type="table" w:customStyle="1" w:styleId="11">
    <w:name w:val="网格表 1 浅色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
    <w:name w:val="样式1"/>
    <w:basedOn w:val="TableNormal"/>
    <w:uiPriority w:val="99"/>
    <w:qFormat/>
    <w:pPr>
      <w:jc w:val="center"/>
    </w:pPr>
    <w:rPr>
      <w:rFonts w:eastAsia="宋体"/>
      <w:sz w:val="28"/>
    </w:rPr>
    <w:tblPr>
      <w:tblBorders>
        <w:top w:val="single" w:sz="6" w:space="0" w:color="auto"/>
        <w:bottom w:val="single" w:sz="6" w:space="0" w:color="auto"/>
        <w:insideH w:val="single" w:sz="6" w:space="0" w:color="auto"/>
        <w:insideV w:val="single" w:sz="6" w:space="0" w:color="auto"/>
      </w:tblBorders>
    </w:tblPr>
    <w:tcPr>
      <w:vAlign w:val="center"/>
    </w:tc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10">
    <w:name w:val="标题 1 字符"/>
    <w:basedOn w:val="DefaultParagraphFont"/>
    <w:link w:val="Heading1"/>
    <w:qFormat/>
    <w:rPr>
      <w:rFonts w:eastAsia="黑体"/>
      <w:b/>
      <w:bCs/>
      <w:kern w:val="44"/>
      <w:sz w:val="24"/>
      <w:szCs w:val="44"/>
    </w:rPr>
  </w:style>
  <w:style w:type="paragraph" w:customStyle="1" w:styleId="TOC10">
    <w:name w:val="TOC 标题1"/>
    <w:basedOn w:val="Heading1"/>
    <w:next w:val="Normal"/>
    <w:uiPriority w:val="39"/>
    <w:unhideWhenUsed/>
    <w:qFormat/>
    <w:pPr>
      <w:widowControl/>
      <w:spacing w:before="24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2">
    <w:name w:val="标题 2 字符"/>
    <w:basedOn w:val="DefaultParagraphFont"/>
    <w:link w:val="Heading2"/>
    <w:qFormat/>
    <w:rPr>
      <w:rFonts w:eastAsia="黑体" w:asciiTheme="majorHAnsi" w:hAnsiTheme="majorHAnsi" w:cstheme="majorBidi"/>
      <w:b/>
      <w:bCs/>
      <w:sz w:val="28"/>
      <w:szCs w:val="32"/>
    </w:rPr>
  </w:style>
  <w:style w:type="character" w:customStyle="1" w:styleId="3">
    <w:name w:val="标题 3 字符"/>
    <w:basedOn w:val="DefaultParagraphFont"/>
    <w:link w:val="Heading3"/>
    <w:qFormat/>
    <w:rPr>
      <w:rFonts w:eastAsia="黑体"/>
      <w:b/>
      <w:bCs/>
      <w:sz w:val="24"/>
      <w:szCs w:val="32"/>
    </w:rPr>
  </w:style>
  <w:style w:type="paragraph" w:customStyle="1" w:styleId="a1">
    <w:name w:val="论文标题"/>
    <w:basedOn w:val="Normal"/>
    <w:qFormat/>
    <w:pPr>
      <w:tabs>
        <w:tab w:val="left" w:pos="5832"/>
      </w:tabs>
      <w:spacing w:line="400" w:lineRule="exact"/>
      <w:ind w:firstLine="480" w:firstLineChars="200"/>
      <w:jc w:val="left"/>
    </w:pPr>
    <w:rPr>
      <w:rFonts w:asciiTheme="minorEastAsia" w:hAnsiTheme="minorEastAsia"/>
      <w:b/>
      <w:color w:val="000000"/>
      <w:sz w:val="24"/>
      <w:szCs w:val="24"/>
    </w:rPr>
  </w:style>
  <w:style w:type="paragraph" w:customStyle="1" w:styleId="20">
    <w:name w:val="样式 纯文本 + 首行缩进:  2 字符"/>
    <w:basedOn w:val="PlainText"/>
    <w:qFormat/>
    <w:pPr>
      <w:ind w:firstLine="200" w:firstLineChars="200"/>
    </w:pPr>
  </w:style>
  <w:style w:type="character" w:customStyle="1" w:styleId="4">
    <w:name w:val="标题 4 字符"/>
    <w:basedOn w:val="DefaultParagraphFont"/>
    <w:link w:val="Heading4"/>
    <w:qFormat/>
    <w:rPr>
      <w:rFonts w:ascii="Cambria" w:eastAsia="宋体" w:hAnsi="Cambria" w:cs="Times New Roman"/>
      <w:b/>
      <w:bCs/>
      <w:kern w:val="2"/>
      <w:sz w:val="28"/>
      <w:szCs w:val="28"/>
    </w:rPr>
  </w:style>
  <w:style w:type="character" w:customStyle="1" w:styleId="a2">
    <w:name w:val="正文文本缩进 字符"/>
    <w:basedOn w:val="DefaultParagraphFont"/>
    <w:link w:val="BodyTextIndent"/>
    <w:qFormat/>
    <w:rPr>
      <w:rFonts w:ascii="Times New Roman" w:eastAsia="宋体" w:hAnsi="Times New Roman" w:cs="Times New Roman"/>
      <w:kern w:val="2"/>
      <w:sz w:val="28"/>
      <w:szCs w:val="28"/>
    </w:rPr>
  </w:style>
  <w:style w:type="character" w:customStyle="1" w:styleId="a3">
    <w:name w:val="文档结构图 字符"/>
    <w:basedOn w:val="DefaultParagraphFont"/>
    <w:link w:val="DocumentMap"/>
    <w:semiHidden/>
    <w:qFormat/>
    <w:rPr>
      <w:rFonts w:ascii="Times New Roman" w:eastAsia="宋体" w:hAnsi="Times New Roman" w:cs="Times New Roman"/>
      <w:kern w:val="2"/>
      <w:sz w:val="24"/>
      <w:szCs w:val="24"/>
      <w:shd w:val="clear" w:color="auto" w:fill="000080"/>
    </w:rPr>
  </w:style>
  <w:style w:type="character" w:customStyle="1" w:styleId="21">
    <w:name w:val="正文文本缩进 2 字符"/>
    <w:basedOn w:val="DefaultParagraphFont"/>
    <w:link w:val="BodyTextIndent2"/>
    <w:qFormat/>
    <w:rPr>
      <w:rFonts w:ascii="Times New Roman" w:eastAsia="宋体" w:hAnsi="Times New Roman" w:cs="Times New Roman"/>
      <w:kern w:val="2"/>
      <w:sz w:val="21"/>
      <w:szCs w:val="24"/>
    </w:rPr>
  </w:style>
  <w:style w:type="character" w:customStyle="1" w:styleId="a4">
    <w:name w:val="正文文本 字符"/>
    <w:basedOn w:val="DefaultParagraphFont"/>
    <w:link w:val="BodyText"/>
    <w:qFormat/>
    <w:rPr>
      <w:rFonts w:ascii="Times New Roman" w:eastAsia="宋体" w:hAnsi="Times New Roman" w:cs="Times New Roman"/>
      <w:kern w:val="2"/>
      <w:sz w:val="24"/>
      <w:szCs w:val="21"/>
    </w:rPr>
  </w:style>
  <w:style w:type="character" w:customStyle="1" w:styleId="a5">
    <w:name w:val="日期 字符"/>
    <w:basedOn w:val="DefaultParagraphFont"/>
    <w:link w:val="Date"/>
    <w:qFormat/>
    <w:rPr>
      <w:rFonts w:ascii="黑体" w:eastAsia="黑体" w:hAnsi="宋体" w:cs="Times New Roman"/>
      <w:kern w:val="2"/>
      <w:sz w:val="24"/>
      <w:szCs w:val="24"/>
    </w:rPr>
  </w:style>
  <w:style w:type="character" w:customStyle="1" w:styleId="Char">
    <w:name w:val="正文文字 Char"/>
    <w:basedOn w:val="DefaultParagraphFont"/>
    <w:qFormat/>
    <w:rPr>
      <w:rFonts w:ascii="宋体" w:eastAsia="宋体" w:hAnsi="宋体"/>
      <w:kern w:val="2"/>
      <w:sz w:val="24"/>
      <w:szCs w:val="21"/>
      <w:lang w:val="en-US" w:eastAsia="zh-CN" w:bidi="ar-SA"/>
    </w:rPr>
  </w:style>
  <w:style w:type="paragraph" w:customStyle="1" w:styleId="1TimesNewRoman20">
    <w:name w:val="样式 标题 1 + Times New Roman 非加粗 左 行距: 固定值 20 磅"/>
    <w:basedOn w:val="Heading1"/>
    <w:qFormat/>
    <w:pPr>
      <w:keepLines w:val="0"/>
      <w:spacing w:before="0" w:line="400" w:lineRule="exact"/>
    </w:pPr>
    <w:rPr>
      <w:rFonts w:ascii="Times New Roman" w:eastAsia="宋体" w:hAnsi="Times New Roman" w:cs="宋体"/>
      <w:bCs w:val="0"/>
      <w:kern w:val="2"/>
      <w:sz w:val="32"/>
      <w:szCs w:val="20"/>
    </w:rPr>
  </w:style>
  <w:style w:type="character" w:customStyle="1" w:styleId="3Char1">
    <w:name w:val="标题 3 Char1"/>
    <w:basedOn w:val="DefaultParagraphFont"/>
    <w:qFormat/>
    <w:rPr>
      <w:rFonts w:eastAsia="宋体"/>
      <w:b/>
      <w:kern w:val="2"/>
      <w:sz w:val="32"/>
      <w:lang w:val="en-US" w:eastAsia="zh-CN"/>
    </w:rPr>
  </w:style>
  <w:style w:type="paragraph" w:customStyle="1" w:styleId="a6">
    <w:name w:val="简单回函地址"/>
    <w:basedOn w:val="Normal"/>
    <w:qFormat/>
    <w:rPr>
      <w:rFonts w:ascii="Times New Roman" w:eastAsia="宋体" w:hAnsi="Times New Roman" w:cs="Times New Roman"/>
      <w:szCs w:val="20"/>
    </w:rPr>
  </w:style>
  <w:style w:type="paragraph" w:styleId="NoSpacing">
    <w:name w:val="No Spacing"/>
    <w:uiPriority w:val="1"/>
    <w:qFormat/>
    <w:pPr>
      <w:widowControl w:val="0"/>
      <w:jc w:val="both"/>
    </w:pPr>
    <w:rPr>
      <w:rFonts w:ascii="Times New Roman" w:eastAsia="宋体" w:hAnsi="Times New Roman" w:cs="Times New Roman"/>
      <w:kern w:val="2"/>
      <w:sz w:val="24"/>
      <w:szCs w:val="24"/>
    </w:rPr>
  </w:style>
  <w:style w:type="character" w:customStyle="1" w:styleId="a7">
    <w:name w:val="标题 字符"/>
    <w:basedOn w:val="DefaultParagraphFont"/>
    <w:link w:val="Title"/>
    <w:qFormat/>
    <w:rPr>
      <w:rFonts w:ascii="Cambria" w:eastAsia="黑体" w:hAnsi="Cambria" w:cs="Times New Roman"/>
      <w:b/>
      <w:bCs/>
      <w:kern w:val="2"/>
      <w:sz w:val="30"/>
      <w:szCs w:val="32"/>
    </w:rPr>
  </w:style>
  <w:style w:type="paragraph" w:customStyle="1" w:styleId="TOC20">
    <w:name w:val="TOC 标题2"/>
    <w:basedOn w:val="Heading1"/>
    <w:next w:val="Normal"/>
    <w:uiPriority w:val="39"/>
    <w:qFormat/>
    <w:pPr>
      <w:widowControl/>
      <w:spacing w:before="480" w:line="276" w:lineRule="auto"/>
      <w:outlineLvl w:val="9"/>
    </w:pPr>
    <w:rPr>
      <w:rFonts w:ascii="Cambria" w:eastAsia="宋体" w:hAnsi="Cambria" w:cs="Times New Roman"/>
      <w:color w:val="365F91"/>
      <w:kern w:val="0"/>
      <w:sz w:val="28"/>
      <w:szCs w:val="28"/>
    </w:rPr>
  </w:style>
  <w:style w:type="character" w:customStyle="1" w:styleId="a8">
    <w:name w:val="批注框文本 字符"/>
    <w:basedOn w:val="DefaultParagraphFont"/>
    <w:link w:val="BalloonText"/>
    <w:qFormat/>
    <w:rPr>
      <w:rFonts w:ascii="Times New Roman" w:eastAsia="宋体" w:hAnsi="Times New Roman" w:cs="Times New Roman"/>
      <w:kern w:val="2"/>
      <w:sz w:val="18"/>
      <w:szCs w:val="18"/>
    </w:rPr>
  </w:style>
  <w:style w:type="table" w:customStyle="1" w:styleId="210">
    <w:name w:val="无格式表格 21"/>
    <w:basedOn w:val="Table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99"/>
    <w:qFormat/>
    <w:pPr>
      <w:ind w:firstLine="420" w:firstLineChars="200"/>
    </w:pPr>
  </w:style>
  <w:style w:type="paragraph" w:customStyle="1" w:styleId="12">
    <w:name w:val="修订1"/>
    <w:hidden/>
    <w:uiPriority w:val="99"/>
    <w:semiHidden/>
    <w:rPr>
      <w:kern w:val="2"/>
      <w:sz w:val="21"/>
      <w:szCs w:val="22"/>
    </w:rPr>
  </w:style>
  <w:style w:type="character" w:customStyle="1" w:styleId="a9">
    <w:name w:val="批注文字 字符"/>
    <w:basedOn w:val="DefaultParagraphFont"/>
    <w:link w:val="CommentText"/>
    <w:uiPriority w:val="99"/>
    <w:semiHidden/>
    <w:rPr>
      <w:kern w:val="2"/>
      <w:sz w:val="21"/>
      <w:szCs w:val="22"/>
    </w:rPr>
  </w:style>
  <w:style w:type="character" w:customStyle="1" w:styleId="a10">
    <w:name w:val="批注主题 字符"/>
    <w:basedOn w:val="a9"/>
    <w:link w:val="CommentSubject"/>
    <w:uiPriority w:val="99"/>
    <w:semiHidden/>
    <w:rPr>
      <w:b/>
      <w:bCs/>
      <w:kern w:val="2"/>
      <w:sz w:val="21"/>
      <w:szCs w:val="22"/>
    </w:rPr>
  </w:style>
  <w:style w:type="table" w:customStyle="1" w:styleId="100">
    <w:name w:val="样式1_0"/>
    <w:basedOn w:val="TableNormal"/>
    <w:uiPriority w:val="99"/>
    <w:qFormat/>
    <w:pPr>
      <w:jc w:val="center"/>
    </w:pPr>
    <w:rPr>
      <w:rFonts w:eastAsia="宋体"/>
      <w:sz w:val="28"/>
    </w:rPr>
    <w:tblPr>
      <w:tblBorders>
        <w:top w:val="single" w:sz="6" w:space="0" w:color="auto"/>
        <w:bottom w:val="single" w:sz="6" w:space="0" w:color="auto"/>
        <w:insideH w:val="single" w:sz="6" w:space="0" w:color="auto"/>
        <w:insideV w:val="single" w:sz="6" w:space="0" w:color="auto"/>
      </w:tblBorders>
    </w:tblPr>
    <w:tcPr>
      <w:vAlign w:val="center"/>
    </w:tcPr>
  </w:style>
  <w:style w:type="table" w:customStyle="1" w:styleId="TableGrid00">
    <w:name w:val="TableGrid_0"/>
    <w:qFormat/>
    <w:rPr>
      <w:rFonts w:ascii="等线" w:eastAsia="等线" w:hAnsi="等线" w:cs="Times New Roman"/>
    </w:rPr>
    <w:tblPr>
      <w:tblCellMar>
        <w:top w:w="0" w:type="dxa"/>
        <w:left w:w="0" w:type="dxa"/>
        <w:bottom w:w="0" w:type="dxa"/>
        <w:right w:w="0" w:type="dxa"/>
      </w:tblCellMar>
    </w:tblPr>
  </w:style>
  <w:style w:type="table" w:customStyle="1" w:styleId="TableGrid1">
    <w:name w:val="TableGrid_1"/>
    <w:qFormat/>
    <w:rPr>
      <w:rFonts w:ascii="等线" w:eastAsia="等线" w:hAnsi="等线" w:cs="Times New Roman"/>
    </w:rPr>
    <w:tblPr>
      <w:tblCellMar>
        <w:top w:w="0" w:type="dxa"/>
        <w:left w:w="0" w:type="dxa"/>
        <w:bottom w:w="0" w:type="dxa"/>
        <w:right w:w="0" w:type="dxa"/>
      </w:tblCellMar>
    </w:tblPr>
  </w:style>
  <w:style w:type="table" w:customStyle="1" w:styleId="110">
    <w:name w:val="样式1_1"/>
    <w:basedOn w:val="TableNormal"/>
    <w:uiPriority w:val="99"/>
    <w:qFormat/>
    <w:pPr>
      <w:jc w:val="center"/>
    </w:pPr>
    <w:rPr>
      <w:rFonts w:eastAsia="宋体"/>
      <w:sz w:val="28"/>
    </w:rPr>
    <w:tblPr>
      <w:tblBorders>
        <w:top w:val="single" w:sz="6" w:space="0" w:color="auto"/>
        <w:bottom w:val="single" w:sz="6" w:space="0" w:color="auto"/>
        <w:insideH w:val="single" w:sz="6" w:space="0" w:color="auto"/>
        <w:insideV w:val="single" w:sz="6" w:space="0" w:color="auto"/>
      </w:tblBorders>
    </w:tblPr>
    <w:tcPr>
      <w:vAlign w:val="center"/>
    </w:tcPr>
  </w:style>
  <w:style w:type="table" w:customStyle="1" w:styleId="TableGrid2">
    <w:name w:val="TableGrid_2"/>
    <w:qFormat/>
    <w:rPr>
      <w:rFonts w:ascii="等线" w:eastAsia="等线" w:hAnsi="等线" w:cs="Times New Roman"/>
    </w:rPr>
    <w:tblPr>
      <w:tblCellMar>
        <w:top w:w="0" w:type="dxa"/>
        <w:left w:w="0" w:type="dxa"/>
        <w:bottom w:w="0" w:type="dxa"/>
        <w:right w:w="0" w:type="dxa"/>
      </w:tblCellMar>
    </w:tblPr>
  </w:style>
  <w:style w:type="table" w:customStyle="1" w:styleId="TableGrid3">
    <w:name w:val="TableGrid_3"/>
    <w:qFormat/>
    <w:rPr>
      <w:rFonts w:ascii="等线" w:eastAsia="等线" w:hAnsi="等线" w:cs="Times New Roman"/>
    </w:rPr>
    <w:tblPr>
      <w:tblCellMar>
        <w:top w:w="0" w:type="dxa"/>
        <w:left w:w="0" w:type="dxa"/>
        <w:bottom w:w="0" w:type="dxa"/>
        <w:right w:w="0" w:type="dxa"/>
      </w:tblCellMar>
    </w:tblPr>
  </w:style>
  <w:style w:type="table" w:customStyle="1" w:styleId="120">
    <w:name w:val="样式1_2"/>
    <w:basedOn w:val="TableNormal"/>
    <w:uiPriority w:val="99"/>
    <w:qFormat/>
    <w:pPr>
      <w:jc w:val="center"/>
    </w:pPr>
    <w:rPr>
      <w:rFonts w:eastAsia="宋体"/>
      <w:sz w:val="28"/>
    </w:rPr>
    <w:tblPr>
      <w:tblBorders>
        <w:top w:val="single" w:sz="6" w:space="0" w:color="auto"/>
        <w:bottom w:val="single" w:sz="6" w:space="0" w:color="auto"/>
        <w:insideH w:val="single" w:sz="6" w:space="0" w:color="auto"/>
        <w:insideV w:val="single" w:sz="6" w:space="0" w:color="auto"/>
      </w:tblBorders>
    </w:tblPr>
    <w:tcPr>
      <w:vAlign w:val="center"/>
    </w:tcPr>
  </w:style>
  <w:style w:type="table" w:customStyle="1" w:styleId="13">
    <w:name w:val="样式1_3"/>
    <w:basedOn w:val="TableNormal"/>
    <w:uiPriority w:val="99"/>
    <w:qFormat/>
    <w:pPr>
      <w:jc w:val="center"/>
    </w:pPr>
    <w:rPr>
      <w:rFonts w:eastAsia="宋体"/>
      <w:sz w:val="28"/>
    </w:rPr>
    <w:tblPr>
      <w:tblBorders>
        <w:top w:val="single" w:sz="6" w:space="0" w:color="auto"/>
        <w:bottom w:val="single" w:sz="6" w:space="0" w:color="auto"/>
        <w:insideH w:val="single" w:sz="6" w:space="0" w:color="auto"/>
        <w:insideV w:val="single" w:sz="6" w:space="0" w:color="auto"/>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image" Target="media/image9.wmf" /><Relationship Id="rId101" Type="http://schemas.openxmlformats.org/officeDocument/2006/relationships/oleObject" Target="embeddings/oleObject3.bin" /><Relationship Id="rId102" Type="http://schemas.openxmlformats.org/officeDocument/2006/relationships/image" Target="media/image10.wmf" /><Relationship Id="rId103" Type="http://schemas.openxmlformats.org/officeDocument/2006/relationships/oleObject" Target="embeddings/oleObject4.bin" /><Relationship Id="rId104" Type="http://schemas.openxmlformats.org/officeDocument/2006/relationships/image" Target="media/image11.wmf" /><Relationship Id="rId105" Type="http://schemas.openxmlformats.org/officeDocument/2006/relationships/oleObject" Target="embeddings/oleObject5.bin" /><Relationship Id="rId106" Type="http://schemas.openxmlformats.org/officeDocument/2006/relationships/image" Target="media/image12.wmf" /><Relationship Id="rId107" Type="http://schemas.openxmlformats.org/officeDocument/2006/relationships/oleObject" Target="embeddings/oleObject6.bin" /><Relationship Id="rId108" Type="http://schemas.openxmlformats.org/officeDocument/2006/relationships/header" Target="header43.xml" /><Relationship Id="rId109" Type="http://schemas.openxmlformats.org/officeDocument/2006/relationships/header" Target="header44.xml" /><Relationship Id="rId11" Type="http://schemas.openxmlformats.org/officeDocument/2006/relationships/footer" Target="footer3.xml" /><Relationship Id="rId110" Type="http://schemas.openxmlformats.org/officeDocument/2006/relationships/footer" Target="footer43.xml" /><Relationship Id="rId111" Type="http://schemas.openxmlformats.org/officeDocument/2006/relationships/footer" Target="footer44.xml" /><Relationship Id="rId112" Type="http://schemas.openxmlformats.org/officeDocument/2006/relationships/header" Target="header45.xml" /><Relationship Id="rId113" Type="http://schemas.openxmlformats.org/officeDocument/2006/relationships/footer" Target="footer45.xml" /><Relationship Id="rId114" Type="http://schemas.openxmlformats.org/officeDocument/2006/relationships/image" Target="media/image13.wmf" /><Relationship Id="rId115" Type="http://schemas.openxmlformats.org/officeDocument/2006/relationships/oleObject" Target="embeddings/oleObject7.bin" /><Relationship Id="rId116" Type="http://schemas.openxmlformats.org/officeDocument/2006/relationships/image" Target="media/image14.wmf" /><Relationship Id="rId117" Type="http://schemas.openxmlformats.org/officeDocument/2006/relationships/oleObject" Target="embeddings/oleObject8.bin" /><Relationship Id="rId118" Type="http://schemas.openxmlformats.org/officeDocument/2006/relationships/image" Target="media/image15.wmf" /><Relationship Id="rId119" Type="http://schemas.openxmlformats.org/officeDocument/2006/relationships/oleObject" Target="embeddings/oleObject9.bin" /><Relationship Id="rId12" Type="http://schemas.openxmlformats.org/officeDocument/2006/relationships/header" Target="header4.xml" /><Relationship Id="rId120" Type="http://schemas.openxmlformats.org/officeDocument/2006/relationships/header" Target="header46.xml" /><Relationship Id="rId121" Type="http://schemas.openxmlformats.org/officeDocument/2006/relationships/header" Target="header47.xml" /><Relationship Id="rId122" Type="http://schemas.openxmlformats.org/officeDocument/2006/relationships/footer" Target="footer46.xml" /><Relationship Id="rId123" Type="http://schemas.openxmlformats.org/officeDocument/2006/relationships/footer" Target="footer47.xml" /><Relationship Id="rId124" Type="http://schemas.openxmlformats.org/officeDocument/2006/relationships/header" Target="header48.xml" /><Relationship Id="rId125" Type="http://schemas.openxmlformats.org/officeDocument/2006/relationships/footer" Target="footer48.xml" /><Relationship Id="rId126" Type="http://schemas.openxmlformats.org/officeDocument/2006/relationships/header" Target="header49.xml" /><Relationship Id="rId127" Type="http://schemas.openxmlformats.org/officeDocument/2006/relationships/header" Target="header50.xml" /><Relationship Id="rId128" Type="http://schemas.openxmlformats.org/officeDocument/2006/relationships/footer" Target="footer49.xml" /><Relationship Id="rId129" Type="http://schemas.openxmlformats.org/officeDocument/2006/relationships/footer" Target="footer50.xml" /><Relationship Id="rId13" Type="http://schemas.openxmlformats.org/officeDocument/2006/relationships/header" Target="header5.xml" /><Relationship Id="rId130" Type="http://schemas.openxmlformats.org/officeDocument/2006/relationships/header" Target="header51.xml" /><Relationship Id="rId131" Type="http://schemas.openxmlformats.org/officeDocument/2006/relationships/footer" Target="footer51.xml" /><Relationship Id="rId132" Type="http://schemas.openxmlformats.org/officeDocument/2006/relationships/image" Target="media/image16.wmf" /><Relationship Id="rId133" Type="http://schemas.openxmlformats.org/officeDocument/2006/relationships/oleObject" Target="embeddings/oleObject10.bin" /><Relationship Id="rId134" Type="http://schemas.openxmlformats.org/officeDocument/2006/relationships/image" Target="media/image17.wmf" /><Relationship Id="rId135" Type="http://schemas.openxmlformats.org/officeDocument/2006/relationships/oleObject" Target="embeddings/oleObject11.bin" /><Relationship Id="rId136" Type="http://schemas.openxmlformats.org/officeDocument/2006/relationships/image" Target="media/image18.wmf" /><Relationship Id="rId137" Type="http://schemas.openxmlformats.org/officeDocument/2006/relationships/oleObject" Target="embeddings/oleObject12.bin" /><Relationship Id="rId138" Type="http://schemas.openxmlformats.org/officeDocument/2006/relationships/image" Target="media/image19.wmf" /><Relationship Id="rId139" Type="http://schemas.openxmlformats.org/officeDocument/2006/relationships/oleObject" Target="embeddings/oleObject13.bin" /><Relationship Id="rId14" Type="http://schemas.openxmlformats.org/officeDocument/2006/relationships/footer" Target="footer4.xml" /><Relationship Id="rId140" Type="http://schemas.openxmlformats.org/officeDocument/2006/relationships/header" Target="header52.xml" /><Relationship Id="rId141" Type="http://schemas.openxmlformats.org/officeDocument/2006/relationships/header" Target="header53.xml" /><Relationship Id="rId142" Type="http://schemas.openxmlformats.org/officeDocument/2006/relationships/footer" Target="footer52.xml" /><Relationship Id="rId143" Type="http://schemas.openxmlformats.org/officeDocument/2006/relationships/footer" Target="footer53.xml" /><Relationship Id="rId144" Type="http://schemas.openxmlformats.org/officeDocument/2006/relationships/header" Target="header54.xml" /><Relationship Id="rId145" Type="http://schemas.openxmlformats.org/officeDocument/2006/relationships/footer" Target="footer54.xml" /><Relationship Id="rId146" Type="http://schemas.openxmlformats.org/officeDocument/2006/relationships/image" Target="media/image20.wmf" /><Relationship Id="rId147" Type="http://schemas.openxmlformats.org/officeDocument/2006/relationships/oleObject" Target="embeddings/oleObject14.bin" /><Relationship Id="rId148" Type="http://schemas.openxmlformats.org/officeDocument/2006/relationships/image" Target="media/image21.wmf" /><Relationship Id="rId149" Type="http://schemas.openxmlformats.org/officeDocument/2006/relationships/oleObject" Target="embeddings/oleObject15.bin" /><Relationship Id="rId15" Type="http://schemas.openxmlformats.org/officeDocument/2006/relationships/footer" Target="footer5.xml" /><Relationship Id="rId150" Type="http://schemas.openxmlformats.org/officeDocument/2006/relationships/image" Target="media/image22.wmf" /><Relationship Id="rId151" Type="http://schemas.openxmlformats.org/officeDocument/2006/relationships/oleObject" Target="embeddings/oleObject16.bin" /><Relationship Id="rId152" Type="http://schemas.openxmlformats.org/officeDocument/2006/relationships/image" Target="media/image23.wmf" /><Relationship Id="rId153" Type="http://schemas.openxmlformats.org/officeDocument/2006/relationships/oleObject" Target="embeddings/oleObject17.bin" /><Relationship Id="rId154" Type="http://schemas.openxmlformats.org/officeDocument/2006/relationships/image" Target="media/image24.wmf" /><Relationship Id="rId155" Type="http://schemas.openxmlformats.org/officeDocument/2006/relationships/oleObject" Target="embeddings/oleObject18.bin" /><Relationship Id="rId156" Type="http://schemas.openxmlformats.org/officeDocument/2006/relationships/image" Target="media/image25.wmf" /><Relationship Id="rId157" Type="http://schemas.openxmlformats.org/officeDocument/2006/relationships/oleObject" Target="embeddings/oleObject19.bin" /><Relationship Id="rId158" Type="http://schemas.openxmlformats.org/officeDocument/2006/relationships/header" Target="header55.xml" /><Relationship Id="rId159" Type="http://schemas.openxmlformats.org/officeDocument/2006/relationships/header" Target="header56.xml" /><Relationship Id="rId16" Type="http://schemas.openxmlformats.org/officeDocument/2006/relationships/header" Target="header6.xml" /><Relationship Id="rId160" Type="http://schemas.openxmlformats.org/officeDocument/2006/relationships/footer" Target="footer55.xml" /><Relationship Id="rId161" Type="http://schemas.openxmlformats.org/officeDocument/2006/relationships/footer" Target="footer56.xml" /><Relationship Id="rId162" Type="http://schemas.openxmlformats.org/officeDocument/2006/relationships/header" Target="header57.xml" /><Relationship Id="rId163" Type="http://schemas.openxmlformats.org/officeDocument/2006/relationships/footer" Target="footer57.xml" /><Relationship Id="rId164" Type="http://schemas.openxmlformats.org/officeDocument/2006/relationships/image" Target="media/image26.wmf" /><Relationship Id="rId165" Type="http://schemas.openxmlformats.org/officeDocument/2006/relationships/oleObject" Target="embeddings/oleObject20.bin" /><Relationship Id="rId166" Type="http://schemas.openxmlformats.org/officeDocument/2006/relationships/image" Target="media/image27.wmf" /><Relationship Id="rId167" Type="http://schemas.openxmlformats.org/officeDocument/2006/relationships/oleObject" Target="embeddings/oleObject21.bin" /><Relationship Id="rId168" Type="http://schemas.openxmlformats.org/officeDocument/2006/relationships/image" Target="media/image28.wmf" /><Relationship Id="rId169" Type="http://schemas.openxmlformats.org/officeDocument/2006/relationships/oleObject" Target="embeddings/oleObject22.bin" /><Relationship Id="rId17" Type="http://schemas.openxmlformats.org/officeDocument/2006/relationships/footer" Target="footer6.xml" /><Relationship Id="rId170" Type="http://schemas.openxmlformats.org/officeDocument/2006/relationships/image" Target="media/image29.wmf" /><Relationship Id="rId171" Type="http://schemas.openxmlformats.org/officeDocument/2006/relationships/oleObject" Target="embeddings/oleObject23.bin" /><Relationship Id="rId172" Type="http://schemas.openxmlformats.org/officeDocument/2006/relationships/image" Target="media/image30.wmf" /><Relationship Id="rId173" Type="http://schemas.openxmlformats.org/officeDocument/2006/relationships/oleObject" Target="embeddings/oleObject24.bin" /><Relationship Id="rId174" Type="http://schemas.openxmlformats.org/officeDocument/2006/relationships/image" Target="media/image31.wmf" /><Relationship Id="rId175" Type="http://schemas.openxmlformats.org/officeDocument/2006/relationships/oleObject" Target="embeddings/oleObject25.bin" /><Relationship Id="rId176" Type="http://schemas.openxmlformats.org/officeDocument/2006/relationships/image" Target="media/image32.wmf" /><Relationship Id="rId177" Type="http://schemas.openxmlformats.org/officeDocument/2006/relationships/oleObject" Target="embeddings/oleObject26.bin" /><Relationship Id="rId178" Type="http://schemas.openxmlformats.org/officeDocument/2006/relationships/image" Target="media/image33.wmf" /><Relationship Id="rId179" Type="http://schemas.openxmlformats.org/officeDocument/2006/relationships/oleObject" Target="embeddings/oleObject27.bin" /><Relationship Id="rId18" Type="http://schemas.openxmlformats.org/officeDocument/2006/relationships/header" Target="header7.xml" /><Relationship Id="rId180" Type="http://schemas.openxmlformats.org/officeDocument/2006/relationships/image" Target="media/image34.wmf" /><Relationship Id="rId181" Type="http://schemas.openxmlformats.org/officeDocument/2006/relationships/oleObject" Target="embeddings/oleObject28.bin" /><Relationship Id="rId182" Type="http://schemas.openxmlformats.org/officeDocument/2006/relationships/image" Target="media/image35.wmf" /><Relationship Id="rId183" Type="http://schemas.openxmlformats.org/officeDocument/2006/relationships/oleObject" Target="embeddings/oleObject29.bin" /><Relationship Id="rId184" Type="http://schemas.openxmlformats.org/officeDocument/2006/relationships/image" Target="media/image36.wmf" /><Relationship Id="rId185" Type="http://schemas.openxmlformats.org/officeDocument/2006/relationships/oleObject" Target="embeddings/oleObject30.bin" /><Relationship Id="rId186" Type="http://schemas.openxmlformats.org/officeDocument/2006/relationships/image" Target="media/image37.wmf" /><Relationship Id="rId187" Type="http://schemas.openxmlformats.org/officeDocument/2006/relationships/oleObject" Target="embeddings/oleObject31.bin" /><Relationship Id="rId188" Type="http://schemas.openxmlformats.org/officeDocument/2006/relationships/image" Target="media/image38.wmf" /><Relationship Id="rId189" Type="http://schemas.openxmlformats.org/officeDocument/2006/relationships/oleObject" Target="embeddings/oleObject32.bin" /><Relationship Id="rId19" Type="http://schemas.openxmlformats.org/officeDocument/2006/relationships/header" Target="header8.xml" /><Relationship Id="rId190" Type="http://schemas.openxmlformats.org/officeDocument/2006/relationships/image" Target="media/image39.wmf" /><Relationship Id="rId191" Type="http://schemas.openxmlformats.org/officeDocument/2006/relationships/oleObject" Target="embeddings/oleObject33.bin" /><Relationship Id="rId192" Type="http://schemas.openxmlformats.org/officeDocument/2006/relationships/image" Target="media/image40.wmf" /><Relationship Id="rId193" Type="http://schemas.openxmlformats.org/officeDocument/2006/relationships/oleObject" Target="embeddings/oleObject34.bin" /><Relationship Id="rId194" Type="http://schemas.openxmlformats.org/officeDocument/2006/relationships/image" Target="media/image41.wmf" /><Relationship Id="rId195" Type="http://schemas.openxmlformats.org/officeDocument/2006/relationships/oleObject" Target="embeddings/oleObject35.bin" /><Relationship Id="rId196" Type="http://schemas.openxmlformats.org/officeDocument/2006/relationships/image" Target="media/image42.wmf" /><Relationship Id="rId197" Type="http://schemas.openxmlformats.org/officeDocument/2006/relationships/oleObject" Target="embeddings/oleObject36.bin" /><Relationship Id="rId198" Type="http://schemas.openxmlformats.org/officeDocument/2006/relationships/image" Target="media/image43.wmf" /><Relationship Id="rId199" Type="http://schemas.openxmlformats.org/officeDocument/2006/relationships/oleObject" Target="embeddings/oleObject37.bin" /><Relationship Id="rId2" Type="http://schemas.openxmlformats.org/officeDocument/2006/relationships/webSettings" Target="webSettings.xml" /><Relationship Id="rId20" Type="http://schemas.openxmlformats.org/officeDocument/2006/relationships/footer" Target="footer7.xml" /><Relationship Id="rId200" Type="http://schemas.openxmlformats.org/officeDocument/2006/relationships/image" Target="media/image44.wmf" /><Relationship Id="rId201" Type="http://schemas.openxmlformats.org/officeDocument/2006/relationships/oleObject" Target="embeddings/oleObject38.bin" /><Relationship Id="rId202" Type="http://schemas.openxmlformats.org/officeDocument/2006/relationships/image" Target="media/image45.wmf" /><Relationship Id="rId203" Type="http://schemas.openxmlformats.org/officeDocument/2006/relationships/oleObject" Target="embeddings/oleObject39.bin" /><Relationship Id="rId204" Type="http://schemas.openxmlformats.org/officeDocument/2006/relationships/hyperlink" Target="https://d.book118.com/486152044054010100" TargetMode="External" /><Relationship Id="rId205" Type="http://schemas.openxmlformats.org/officeDocument/2006/relationships/header" Target="header58.xml" /><Relationship Id="rId206" Type="http://schemas.openxmlformats.org/officeDocument/2006/relationships/header" Target="header59.xml" /><Relationship Id="rId207" Type="http://schemas.openxmlformats.org/officeDocument/2006/relationships/footer" Target="footer58.xml" /><Relationship Id="rId208" Type="http://schemas.openxmlformats.org/officeDocument/2006/relationships/footer" Target="footer59.xml" /><Relationship Id="rId209" Type="http://schemas.openxmlformats.org/officeDocument/2006/relationships/header" Target="header60.xml" /><Relationship Id="rId21" Type="http://schemas.openxmlformats.org/officeDocument/2006/relationships/footer" Target="footer8.xml" /><Relationship Id="rId210" Type="http://schemas.openxmlformats.org/officeDocument/2006/relationships/footer" Target="footer60.xml" /><Relationship Id="rId211" Type="http://schemas.openxmlformats.org/officeDocument/2006/relationships/theme" Target="theme/theme1.xml" /><Relationship Id="rId212" Type="http://schemas.openxmlformats.org/officeDocument/2006/relationships/numbering" Target="numbering.xml" /><Relationship Id="rId213" Type="http://schemas.openxmlformats.org/officeDocument/2006/relationships/styles" Target="styles.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1.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image" Target="media/image1.wmf" /><Relationship Id="rId85" Type="http://schemas.openxmlformats.org/officeDocument/2006/relationships/image" Target="media/image2.wmf" /><Relationship Id="rId86" Type="http://schemas.openxmlformats.org/officeDocument/2006/relationships/image" Target="media/image3.wmf" /><Relationship Id="rId87" Type="http://schemas.openxmlformats.org/officeDocument/2006/relationships/image" Target="media/image4.wmf" /><Relationship Id="rId88" Type="http://schemas.openxmlformats.org/officeDocument/2006/relationships/image" Target="media/image5.wmf" /><Relationship Id="rId89" Type="http://schemas.openxmlformats.org/officeDocument/2006/relationships/image" Target="media/image6.wmf" /><Relationship Id="rId9" Type="http://schemas.openxmlformats.org/officeDocument/2006/relationships/footer" Target="footer2.xml" /><Relationship Id="rId90" Type="http://schemas.openxmlformats.org/officeDocument/2006/relationships/header" Target="header40.xml" /><Relationship Id="rId91" Type="http://schemas.openxmlformats.org/officeDocument/2006/relationships/header" Target="header41.xml" /><Relationship Id="rId92" Type="http://schemas.openxmlformats.org/officeDocument/2006/relationships/footer" Target="footer40.xml" /><Relationship Id="rId93" Type="http://schemas.openxmlformats.org/officeDocument/2006/relationships/footer" Target="footer41.xml" /><Relationship Id="rId94" Type="http://schemas.openxmlformats.org/officeDocument/2006/relationships/header" Target="header42.xml" /><Relationship Id="rId95" Type="http://schemas.openxmlformats.org/officeDocument/2006/relationships/footer" Target="footer42.xml" /><Relationship Id="rId96" Type="http://schemas.openxmlformats.org/officeDocument/2006/relationships/image" Target="media/image7.wmf" /><Relationship Id="rId97" Type="http://schemas.openxmlformats.org/officeDocument/2006/relationships/oleObject" Target="embeddings/oleObject1.bin" /><Relationship Id="rId98" Type="http://schemas.openxmlformats.org/officeDocument/2006/relationships/image" Target="media/image8.wmf" /><Relationship Id="rId9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9DAB60-46A0-4A6F-A09B-30F05C0FB8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5477</Words>
  <Characters>31225</Characters>
  <Application>Microsoft Office Word</Application>
  <DocSecurity>0</DocSecurity>
  <Lines>260</Lines>
  <Paragraphs>73</Paragraphs>
  <ScaleCrop>false</ScaleCrop>
  <Company/>
  <LinksUpToDate>false</LinksUpToDate>
  <CharactersWithSpaces>36629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程瑞芷</dc:creator>
  <cp:lastModifiedBy>世兴 王</cp:lastModifiedBy>
  <cp:revision>5</cp:revision>
  <cp:lastPrinted>2023-05-12T10:56:00Z</cp:lastPrinted>
  <dcterms:created xsi:type="dcterms:W3CDTF">2023-05-22T10:34:00Z</dcterms:created>
  <dcterms:modified xsi:type="dcterms:W3CDTF">2024-03-10T09:23:00Z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D4919910521C4053B46A4E003680F12F_13</vt:lpwstr>
  </property>
  <property fmtid="{D5CDD505-2E9C-101B-9397-08002B2CF9AE}" pid="3" name="KSOProductBuildVer">
    <vt:lpwstr>2052-11.1.0.14309</vt:lpwstr>
  </property>
  <property fmtid="{D5CDD505-2E9C-101B-9397-08002B2CF9AE}" pid="4" name="MTEqnNumsOnRight">
    <vt:bool>true</vt:bool>
  </property>
  <property fmtid="{D5CDD505-2E9C-101B-9397-08002B2CF9AE}" pid="5" name="MTEquationNumber2">
    <vt:lpwstr>(#S1.#E1)</vt:lpwstr>
  </property>
  <property fmtid="{D5CDD505-2E9C-101B-9397-08002B2CF9AE}" pid="6" name="MTWinEqns">
    <vt:bool>true</vt:bool>
  </property>
  <property fmtid="{D5CDD505-2E9C-101B-9397-08002B2CF9AE}" pid="7" name="_DocHome">
    <vt:i4>-1900530153</vt:i4>
  </property>
</Properties>
</file>