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有机肥料及微生物肥料项目计划设计方案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00" w:history="1">
        <w:r>
          <w:rPr>
            <w:rFonts w:ascii="仿宋" w:eastAsia="仿宋" w:hAnsi="仿宋" w:cs="仿宋" w:hint="eastAsia"/>
            <w:lang w:eastAsia="zh-CN"/>
          </w:rPr>
          <w:t>概论</w:t>
        </w:r>
        <w:r>
          <w:tab/>
        </w:r>
        <w:r>
          <w:fldChar w:fldCharType="begin"/>
        </w:r>
        <w:r>
          <w:instrText xml:space="preserve"> PAGEREF _Toc6100 \h </w:instrText>
        </w:r>
        <w:r>
          <w:fldChar w:fldCharType="separate"/>
        </w:r>
        <w:r>
          <w:t>3</w:t>
        </w:r>
        <w:r>
          <w:fldChar w:fldCharType="end"/>
        </w:r>
      </w:hyperlink>
    </w:p>
    <w:p>
      <w:pPr>
        <w:pStyle w:val="TOC1"/>
        <w:tabs>
          <w:tab w:val="right" w:leader="dot" w:pos="8306"/>
        </w:tabs>
      </w:pPr>
      <w:hyperlink w:anchor="_Toc10491" w:history="1">
        <w:r>
          <w:rPr>
            <w:rFonts w:ascii="仿宋" w:eastAsia="仿宋" w:hAnsi="仿宋" w:cs="仿宋" w:hint="eastAsia"/>
            <w:lang w:eastAsia="zh-CN"/>
          </w:rPr>
          <w:t>一、有机肥料及微生物肥料项目建设单位说明</w:t>
        </w:r>
        <w:r>
          <w:tab/>
        </w:r>
        <w:r>
          <w:fldChar w:fldCharType="begin"/>
        </w:r>
        <w:r>
          <w:instrText xml:space="preserve"> PAGEREF _Toc10491 \h </w:instrText>
        </w:r>
        <w:r>
          <w:fldChar w:fldCharType="separate"/>
        </w:r>
        <w:r>
          <w:t>3</w:t>
        </w:r>
        <w:r>
          <w:fldChar w:fldCharType="end"/>
        </w:r>
      </w:hyperlink>
    </w:p>
    <w:p>
      <w:pPr>
        <w:pStyle w:val="TOC2"/>
        <w:tabs>
          <w:tab w:val="right" w:leader="dot" w:pos="8306"/>
        </w:tabs>
      </w:pPr>
      <w:hyperlink w:anchor="_Toc31572" w:history="1">
        <w:r>
          <w:rPr>
            <w:rFonts w:ascii="仿宋" w:eastAsia="仿宋" w:hAnsi="仿宋" w:cs="仿宋" w:hint="eastAsia"/>
            <w:lang w:eastAsia="zh-CN"/>
          </w:rPr>
          <w:t>(一)、有机肥料及微生物肥料项目承办单位基本情况</w:t>
        </w:r>
        <w:r>
          <w:tab/>
        </w:r>
        <w:r>
          <w:fldChar w:fldCharType="begin"/>
        </w:r>
        <w:r>
          <w:instrText xml:space="preserve"> PAGEREF _Toc31572 \h </w:instrText>
        </w:r>
        <w:r>
          <w:fldChar w:fldCharType="separate"/>
        </w:r>
        <w:r>
          <w:t>3</w:t>
        </w:r>
        <w:r>
          <w:fldChar w:fldCharType="end"/>
        </w:r>
      </w:hyperlink>
    </w:p>
    <w:p>
      <w:pPr>
        <w:pStyle w:val="TOC2"/>
        <w:tabs>
          <w:tab w:val="right" w:leader="dot" w:pos="8306"/>
        </w:tabs>
      </w:pPr>
      <w:hyperlink w:anchor="_Toc14989" w:history="1">
        <w:r>
          <w:rPr>
            <w:rFonts w:ascii="仿宋" w:eastAsia="仿宋" w:hAnsi="仿宋" w:cs="仿宋" w:hint="eastAsia"/>
            <w:lang w:eastAsia="zh-CN"/>
          </w:rPr>
          <w:t>(二)、公司经济效益分析</w:t>
        </w:r>
        <w:r>
          <w:tab/>
        </w:r>
        <w:r>
          <w:fldChar w:fldCharType="begin"/>
        </w:r>
        <w:r>
          <w:instrText xml:space="preserve"> PAGEREF _Toc14989 \h </w:instrText>
        </w:r>
        <w:r>
          <w:fldChar w:fldCharType="separate"/>
        </w:r>
        <w:r>
          <w:t>4</w:t>
        </w:r>
        <w:r>
          <w:fldChar w:fldCharType="end"/>
        </w:r>
      </w:hyperlink>
    </w:p>
    <w:p>
      <w:pPr>
        <w:pStyle w:val="TOC1"/>
        <w:tabs>
          <w:tab w:val="right" w:leader="dot" w:pos="8306"/>
        </w:tabs>
      </w:pPr>
      <w:hyperlink w:anchor="_Toc17154" w:history="1">
        <w:r>
          <w:rPr>
            <w:rFonts w:ascii="仿宋" w:eastAsia="仿宋" w:hAnsi="仿宋" w:cs="仿宋" w:hint="eastAsia"/>
            <w:lang w:eastAsia="zh-CN"/>
          </w:rPr>
          <w:t>二、有机肥料及微生物肥料项目建设背景及必要性分析</w:t>
        </w:r>
        <w:r>
          <w:tab/>
        </w:r>
        <w:r>
          <w:fldChar w:fldCharType="begin"/>
        </w:r>
        <w:r>
          <w:instrText xml:space="preserve"> PAGEREF _Toc17154 \h </w:instrText>
        </w:r>
        <w:r>
          <w:fldChar w:fldCharType="separate"/>
        </w:r>
        <w:r>
          <w:t>5</w:t>
        </w:r>
        <w:r>
          <w:fldChar w:fldCharType="end"/>
        </w:r>
      </w:hyperlink>
    </w:p>
    <w:p>
      <w:pPr>
        <w:pStyle w:val="TOC2"/>
        <w:tabs>
          <w:tab w:val="right" w:leader="dot" w:pos="8306"/>
        </w:tabs>
      </w:pPr>
      <w:hyperlink w:anchor="_Toc23670" w:history="1">
        <w:r>
          <w:rPr>
            <w:rFonts w:ascii="仿宋" w:eastAsia="仿宋" w:hAnsi="仿宋" w:cs="仿宋" w:hint="eastAsia"/>
            <w:lang w:eastAsia="zh-CN"/>
          </w:rPr>
          <w:t>(一)、有机肥料及微生物肥料项目背景分析</w:t>
        </w:r>
        <w:r>
          <w:tab/>
        </w:r>
        <w:r>
          <w:fldChar w:fldCharType="begin"/>
        </w:r>
        <w:r>
          <w:instrText xml:space="preserve"> PAGEREF _Toc23670 \h </w:instrText>
        </w:r>
        <w:r>
          <w:fldChar w:fldCharType="separate"/>
        </w:r>
        <w:r>
          <w:t>5</w:t>
        </w:r>
        <w:r>
          <w:fldChar w:fldCharType="end"/>
        </w:r>
      </w:hyperlink>
    </w:p>
    <w:p>
      <w:pPr>
        <w:pStyle w:val="TOC2"/>
        <w:tabs>
          <w:tab w:val="right" w:leader="dot" w:pos="8306"/>
        </w:tabs>
      </w:pPr>
      <w:hyperlink w:anchor="_Toc10261" w:history="1">
        <w:r>
          <w:rPr>
            <w:rFonts w:ascii="仿宋" w:eastAsia="仿宋" w:hAnsi="仿宋" w:cs="仿宋" w:hint="eastAsia"/>
            <w:lang w:eastAsia="zh-CN"/>
          </w:rPr>
          <w:t>(二)、有机肥料及微生物肥料项目建设必要性分析</w:t>
        </w:r>
        <w:r>
          <w:tab/>
        </w:r>
        <w:r>
          <w:fldChar w:fldCharType="begin"/>
        </w:r>
        <w:r>
          <w:instrText xml:space="preserve"> PAGEREF _Toc10261 \h </w:instrText>
        </w:r>
        <w:r>
          <w:fldChar w:fldCharType="separate"/>
        </w:r>
        <w:r>
          <w:t>6</w:t>
        </w:r>
        <w:r>
          <w:fldChar w:fldCharType="end"/>
        </w:r>
      </w:hyperlink>
    </w:p>
    <w:p>
      <w:pPr>
        <w:pStyle w:val="TOC1"/>
        <w:tabs>
          <w:tab w:val="right" w:leader="dot" w:pos="8306"/>
        </w:tabs>
      </w:pPr>
      <w:hyperlink w:anchor="_Toc11251" w:history="1">
        <w:r>
          <w:rPr>
            <w:rFonts w:ascii="仿宋" w:eastAsia="仿宋" w:hAnsi="仿宋" w:cs="仿宋" w:hint="eastAsia"/>
            <w:lang w:eastAsia="zh-CN"/>
          </w:rPr>
          <w:t>三、市场分析、调研</w:t>
        </w:r>
        <w:r>
          <w:tab/>
        </w:r>
        <w:r>
          <w:fldChar w:fldCharType="begin"/>
        </w:r>
        <w:r>
          <w:instrText xml:space="preserve"> PAGEREF _Toc11251 \h </w:instrText>
        </w:r>
        <w:r>
          <w:fldChar w:fldCharType="separate"/>
        </w:r>
        <w:r>
          <w:t>8</w:t>
        </w:r>
        <w:r>
          <w:fldChar w:fldCharType="end"/>
        </w:r>
      </w:hyperlink>
    </w:p>
    <w:p>
      <w:pPr>
        <w:pStyle w:val="TOC2"/>
        <w:tabs>
          <w:tab w:val="right" w:leader="dot" w:pos="8306"/>
        </w:tabs>
      </w:pPr>
      <w:hyperlink w:anchor="_Toc8214" w:history="1">
        <w:r>
          <w:rPr>
            <w:rFonts w:ascii="仿宋" w:eastAsia="仿宋" w:hAnsi="仿宋" w:cs="仿宋" w:hint="eastAsia"/>
            <w:lang w:eastAsia="zh-CN"/>
          </w:rPr>
          <w:t>(一)、有机肥料及微生物肥料行业分析</w:t>
        </w:r>
        <w:r>
          <w:tab/>
        </w:r>
        <w:r>
          <w:fldChar w:fldCharType="begin"/>
        </w:r>
        <w:r>
          <w:instrText xml:space="preserve"> PAGEREF _Toc8214 \h </w:instrText>
        </w:r>
        <w:r>
          <w:fldChar w:fldCharType="separate"/>
        </w:r>
        <w:r>
          <w:t>8</w:t>
        </w:r>
        <w:r>
          <w:fldChar w:fldCharType="end"/>
        </w:r>
      </w:hyperlink>
    </w:p>
    <w:p>
      <w:pPr>
        <w:pStyle w:val="TOC2"/>
        <w:tabs>
          <w:tab w:val="right" w:leader="dot" w:pos="8306"/>
        </w:tabs>
      </w:pPr>
      <w:hyperlink w:anchor="_Toc26794" w:history="1">
        <w:r>
          <w:rPr>
            <w:rFonts w:ascii="仿宋" w:eastAsia="仿宋" w:hAnsi="仿宋" w:cs="仿宋" w:hint="eastAsia"/>
            <w:lang w:eastAsia="zh-CN"/>
          </w:rPr>
          <w:t>(二)、有机肥料及微生物肥料市场分析预测</w:t>
        </w:r>
        <w:r>
          <w:tab/>
        </w:r>
        <w:r>
          <w:fldChar w:fldCharType="begin"/>
        </w:r>
        <w:r>
          <w:instrText xml:space="preserve"> PAGEREF _Toc26794 \h </w:instrText>
        </w:r>
        <w:r>
          <w:fldChar w:fldCharType="separate"/>
        </w:r>
        <w:r>
          <w:t>9</w:t>
        </w:r>
        <w:r>
          <w:fldChar w:fldCharType="end"/>
        </w:r>
      </w:hyperlink>
    </w:p>
    <w:p>
      <w:pPr>
        <w:pStyle w:val="TOC1"/>
        <w:tabs>
          <w:tab w:val="right" w:leader="dot" w:pos="8306"/>
        </w:tabs>
      </w:pPr>
      <w:hyperlink w:anchor="_Toc29541" w:history="1">
        <w:r>
          <w:rPr>
            <w:rFonts w:ascii="仿宋" w:eastAsia="仿宋" w:hAnsi="仿宋" w:cs="仿宋" w:hint="eastAsia"/>
            <w:lang w:eastAsia="zh-CN"/>
          </w:rPr>
          <w:t>四、有机肥料及微生物肥料项目文档管理</w:t>
        </w:r>
        <w:r>
          <w:tab/>
        </w:r>
        <w:r>
          <w:fldChar w:fldCharType="begin"/>
        </w:r>
        <w:r>
          <w:instrText xml:space="preserve"> PAGEREF _Toc29541 \h </w:instrText>
        </w:r>
        <w:r>
          <w:fldChar w:fldCharType="separate"/>
        </w:r>
        <w:r>
          <w:t>10</w:t>
        </w:r>
        <w:r>
          <w:fldChar w:fldCharType="end"/>
        </w:r>
      </w:hyperlink>
    </w:p>
    <w:p>
      <w:pPr>
        <w:pStyle w:val="TOC2"/>
        <w:tabs>
          <w:tab w:val="right" w:leader="dot" w:pos="8306"/>
        </w:tabs>
      </w:pPr>
      <w:hyperlink w:anchor="_Toc27522" w:history="1">
        <w:r>
          <w:rPr>
            <w:rFonts w:ascii="仿宋" w:eastAsia="仿宋" w:hAnsi="仿宋" w:cs="仿宋" w:hint="eastAsia"/>
            <w:lang w:eastAsia="zh-CN"/>
          </w:rPr>
          <w:t>(一)、文档编制与审查</w:t>
        </w:r>
        <w:r>
          <w:tab/>
        </w:r>
        <w:r>
          <w:fldChar w:fldCharType="begin"/>
        </w:r>
        <w:r>
          <w:instrText xml:space="preserve"> PAGEREF _Toc27522 \h </w:instrText>
        </w:r>
        <w:r>
          <w:fldChar w:fldCharType="separate"/>
        </w:r>
        <w:r>
          <w:t>10</w:t>
        </w:r>
        <w:r>
          <w:fldChar w:fldCharType="end"/>
        </w:r>
      </w:hyperlink>
    </w:p>
    <w:p>
      <w:pPr>
        <w:pStyle w:val="TOC2"/>
        <w:tabs>
          <w:tab w:val="right" w:leader="dot" w:pos="8306"/>
        </w:tabs>
      </w:pPr>
      <w:hyperlink w:anchor="_Toc10543" w:history="1">
        <w:r>
          <w:rPr>
            <w:rFonts w:ascii="仿宋" w:eastAsia="仿宋" w:hAnsi="仿宋" w:cs="仿宋" w:hint="eastAsia"/>
            <w:lang w:eastAsia="zh-CN"/>
          </w:rPr>
          <w:t>(二)、文档发布与分发</w:t>
        </w:r>
        <w:r>
          <w:tab/>
        </w:r>
        <w:r>
          <w:fldChar w:fldCharType="begin"/>
        </w:r>
        <w:r>
          <w:instrText xml:space="preserve"> PAGEREF _Toc10543 \h </w:instrText>
        </w:r>
        <w:r>
          <w:fldChar w:fldCharType="separate"/>
        </w:r>
        <w:r>
          <w:t>11</w:t>
        </w:r>
        <w:r>
          <w:fldChar w:fldCharType="end"/>
        </w:r>
      </w:hyperlink>
    </w:p>
    <w:p>
      <w:pPr>
        <w:pStyle w:val="TOC2"/>
        <w:tabs>
          <w:tab w:val="right" w:leader="dot" w:pos="8306"/>
        </w:tabs>
      </w:pPr>
      <w:hyperlink w:anchor="_Toc29007" w:history="1">
        <w:r>
          <w:rPr>
            <w:rFonts w:ascii="仿宋" w:eastAsia="仿宋" w:hAnsi="仿宋" w:cs="仿宋" w:hint="eastAsia"/>
            <w:lang w:eastAsia="zh-CN"/>
          </w:rPr>
          <w:t>(三)、文档存档与归档</w:t>
        </w:r>
        <w:r>
          <w:tab/>
        </w:r>
        <w:r>
          <w:fldChar w:fldCharType="begin"/>
        </w:r>
        <w:r>
          <w:instrText xml:space="preserve"> PAGEREF _Toc29007 \h </w:instrText>
        </w:r>
        <w:r>
          <w:fldChar w:fldCharType="separate"/>
        </w:r>
        <w:r>
          <w:t>12</w:t>
        </w:r>
        <w:r>
          <w:fldChar w:fldCharType="end"/>
        </w:r>
      </w:hyperlink>
    </w:p>
    <w:p>
      <w:pPr>
        <w:pStyle w:val="TOC1"/>
        <w:tabs>
          <w:tab w:val="right" w:leader="dot" w:pos="8306"/>
        </w:tabs>
      </w:pPr>
      <w:hyperlink w:anchor="_Toc31723" w:history="1">
        <w:r>
          <w:rPr>
            <w:rFonts w:ascii="仿宋" w:eastAsia="仿宋" w:hAnsi="仿宋" w:cs="仿宋" w:hint="eastAsia"/>
            <w:lang w:eastAsia="zh-CN"/>
          </w:rPr>
          <w:t>五、有机肥料及微生物肥料项目危机管理</w:t>
        </w:r>
        <w:r>
          <w:tab/>
        </w:r>
        <w:r>
          <w:fldChar w:fldCharType="begin"/>
        </w:r>
        <w:r>
          <w:instrText xml:space="preserve"> PAGEREF _Toc31723 \h </w:instrText>
        </w:r>
        <w:r>
          <w:fldChar w:fldCharType="separate"/>
        </w:r>
        <w:r>
          <w:t>13</w:t>
        </w:r>
        <w:r>
          <w:fldChar w:fldCharType="end"/>
        </w:r>
      </w:hyperlink>
    </w:p>
    <w:p>
      <w:pPr>
        <w:pStyle w:val="TOC2"/>
        <w:tabs>
          <w:tab w:val="right" w:leader="dot" w:pos="8306"/>
        </w:tabs>
      </w:pPr>
      <w:hyperlink w:anchor="_Toc16340" w:history="1">
        <w:r>
          <w:rPr>
            <w:rFonts w:ascii="仿宋" w:eastAsia="仿宋" w:hAnsi="仿宋" w:cs="仿宋" w:hint="eastAsia"/>
            <w:lang w:eastAsia="zh-CN"/>
          </w:rPr>
          <w:t>(一)、危机预警与识别</w:t>
        </w:r>
        <w:r>
          <w:tab/>
        </w:r>
        <w:r>
          <w:fldChar w:fldCharType="begin"/>
        </w:r>
        <w:r>
          <w:instrText xml:space="preserve"> PAGEREF _Toc16340 \h </w:instrText>
        </w:r>
        <w:r>
          <w:fldChar w:fldCharType="separate"/>
        </w:r>
        <w:r>
          <w:t>13</w:t>
        </w:r>
        <w:r>
          <w:fldChar w:fldCharType="end"/>
        </w:r>
      </w:hyperlink>
    </w:p>
    <w:p>
      <w:pPr>
        <w:pStyle w:val="TOC2"/>
        <w:tabs>
          <w:tab w:val="right" w:leader="dot" w:pos="8306"/>
        </w:tabs>
      </w:pPr>
      <w:hyperlink w:anchor="_Toc25294" w:history="1">
        <w:r>
          <w:rPr>
            <w:rFonts w:ascii="仿宋" w:eastAsia="仿宋" w:hAnsi="仿宋" w:cs="仿宋" w:hint="eastAsia"/>
            <w:lang w:eastAsia="zh-CN"/>
          </w:rPr>
          <w:t>(二)、危机应对与恢复</w:t>
        </w:r>
        <w:r>
          <w:tab/>
        </w:r>
        <w:r>
          <w:fldChar w:fldCharType="begin"/>
        </w:r>
        <w:r>
          <w:instrText xml:space="preserve"> PAGEREF _Toc25294 \h </w:instrText>
        </w:r>
        <w:r>
          <w:fldChar w:fldCharType="separate"/>
        </w:r>
        <w:r>
          <w:t>14</w:t>
        </w:r>
        <w:r>
          <w:fldChar w:fldCharType="end"/>
        </w:r>
      </w:hyperlink>
    </w:p>
    <w:p>
      <w:pPr>
        <w:pStyle w:val="TOC1"/>
        <w:tabs>
          <w:tab w:val="right" w:leader="dot" w:pos="8306"/>
        </w:tabs>
      </w:pPr>
      <w:hyperlink w:anchor="_Toc8173" w:history="1">
        <w:r>
          <w:rPr>
            <w:rFonts w:ascii="仿宋" w:eastAsia="仿宋" w:hAnsi="仿宋" w:cs="仿宋" w:hint="eastAsia"/>
            <w:lang w:eastAsia="zh-CN"/>
          </w:rPr>
          <w:t>六、有机肥料及微生物肥料项目选址可行性分析</w:t>
        </w:r>
        <w:r>
          <w:tab/>
        </w:r>
        <w:r>
          <w:fldChar w:fldCharType="begin"/>
        </w:r>
        <w:r>
          <w:instrText xml:space="preserve"> PAGEREF _Toc8173 \h </w:instrText>
        </w:r>
        <w:r>
          <w:fldChar w:fldCharType="separate"/>
        </w:r>
        <w:r>
          <w:t>16</w:t>
        </w:r>
        <w:r>
          <w:fldChar w:fldCharType="end"/>
        </w:r>
      </w:hyperlink>
    </w:p>
    <w:p>
      <w:pPr>
        <w:pStyle w:val="TOC2"/>
        <w:tabs>
          <w:tab w:val="right" w:leader="dot" w:pos="8306"/>
        </w:tabs>
      </w:pPr>
      <w:hyperlink w:anchor="_Toc24541" w:history="1">
        <w:r>
          <w:rPr>
            <w:rFonts w:ascii="仿宋" w:eastAsia="仿宋" w:hAnsi="仿宋" w:cs="仿宋" w:hint="eastAsia"/>
            <w:lang w:eastAsia="zh-CN"/>
          </w:rPr>
          <w:t>(一)、有机肥料及微生物肥料项目选址</w:t>
        </w:r>
        <w:r>
          <w:tab/>
        </w:r>
        <w:r>
          <w:fldChar w:fldCharType="begin"/>
        </w:r>
        <w:r>
          <w:instrText xml:space="preserve"> PAGEREF _Toc24541 \h </w:instrText>
        </w:r>
        <w:r>
          <w:fldChar w:fldCharType="separate"/>
        </w:r>
        <w:r>
          <w:t>16</w:t>
        </w:r>
        <w:r>
          <w:fldChar w:fldCharType="end"/>
        </w:r>
      </w:hyperlink>
    </w:p>
    <w:p>
      <w:pPr>
        <w:pStyle w:val="TOC2"/>
        <w:tabs>
          <w:tab w:val="right" w:leader="dot" w:pos="8306"/>
        </w:tabs>
      </w:pPr>
      <w:hyperlink w:anchor="_Toc15831" w:history="1">
        <w:r>
          <w:rPr>
            <w:rFonts w:ascii="仿宋" w:eastAsia="仿宋" w:hAnsi="仿宋" w:cs="仿宋" w:hint="eastAsia"/>
            <w:lang w:eastAsia="zh-CN"/>
          </w:rPr>
          <w:t>(二)、用地控制指标</w:t>
        </w:r>
        <w:r>
          <w:tab/>
        </w:r>
        <w:r>
          <w:fldChar w:fldCharType="begin"/>
        </w:r>
        <w:r>
          <w:instrText xml:space="preserve"> PAGEREF _Toc15831 \h </w:instrText>
        </w:r>
        <w:r>
          <w:fldChar w:fldCharType="separate"/>
        </w:r>
        <w:r>
          <w:t>16</w:t>
        </w:r>
        <w:r>
          <w:fldChar w:fldCharType="end"/>
        </w:r>
      </w:hyperlink>
    </w:p>
    <w:p>
      <w:pPr>
        <w:pStyle w:val="TOC2"/>
        <w:tabs>
          <w:tab w:val="right" w:leader="dot" w:pos="8306"/>
        </w:tabs>
      </w:pPr>
      <w:hyperlink w:anchor="_Toc32639" w:history="1">
        <w:r>
          <w:rPr>
            <w:rFonts w:ascii="仿宋" w:eastAsia="仿宋" w:hAnsi="仿宋" w:cs="仿宋" w:hint="eastAsia"/>
            <w:lang w:eastAsia="zh-CN"/>
          </w:rPr>
          <w:t>(三)、节约用地措施</w:t>
        </w:r>
        <w:r>
          <w:tab/>
        </w:r>
        <w:r>
          <w:fldChar w:fldCharType="begin"/>
        </w:r>
        <w:r>
          <w:instrText xml:space="preserve"> PAGEREF _Toc32639 \h </w:instrText>
        </w:r>
        <w:r>
          <w:fldChar w:fldCharType="separate"/>
        </w:r>
        <w:r>
          <w:t>18</w:t>
        </w:r>
        <w:r>
          <w:fldChar w:fldCharType="end"/>
        </w:r>
      </w:hyperlink>
    </w:p>
    <w:p>
      <w:pPr>
        <w:pStyle w:val="TOC2"/>
        <w:tabs>
          <w:tab w:val="right" w:leader="dot" w:pos="8306"/>
        </w:tabs>
      </w:pPr>
      <w:hyperlink w:anchor="_Toc18674" w:history="1">
        <w:r>
          <w:rPr>
            <w:rFonts w:ascii="仿宋" w:eastAsia="仿宋" w:hAnsi="仿宋" w:cs="仿宋" w:hint="eastAsia"/>
            <w:lang w:eastAsia="zh-CN"/>
          </w:rPr>
          <w:t>(四)、总图布置方案</w:t>
        </w:r>
        <w:r>
          <w:tab/>
        </w:r>
        <w:r>
          <w:fldChar w:fldCharType="begin"/>
        </w:r>
        <w:r>
          <w:instrText xml:space="preserve"> PAGEREF _Toc18674 \h </w:instrText>
        </w:r>
        <w:r>
          <w:fldChar w:fldCharType="separate"/>
        </w:r>
        <w:r>
          <w:t>19</w:t>
        </w:r>
        <w:r>
          <w:fldChar w:fldCharType="end"/>
        </w:r>
      </w:hyperlink>
    </w:p>
    <w:p>
      <w:pPr>
        <w:pStyle w:val="TOC2"/>
        <w:tabs>
          <w:tab w:val="right" w:leader="dot" w:pos="8306"/>
        </w:tabs>
      </w:pPr>
      <w:hyperlink w:anchor="_Toc7621" w:history="1">
        <w:r>
          <w:rPr>
            <w:rFonts w:ascii="仿宋" w:eastAsia="仿宋" w:hAnsi="仿宋" w:cs="仿宋" w:hint="eastAsia"/>
            <w:lang w:eastAsia="zh-CN"/>
          </w:rPr>
          <w:t>(五)、选址综合评价</w:t>
        </w:r>
        <w:r>
          <w:tab/>
        </w:r>
        <w:r>
          <w:fldChar w:fldCharType="begin"/>
        </w:r>
        <w:r>
          <w:instrText xml:space="preserve"> PAGEREF _Toc7621 \h </w:instrText>
        </w:r>
        <w:r>
          <w:fldChar w:fldCharType="separate"/>
        </w:r>
        <w:r>
          <w:t>20</w:t>
        </w:r>
        <w:r>
          <w:fldChar w:fldCharType="end"/>
        </w:r>
      </w:hyperlink>
    </w:p>
    <w:p>
      <w:pPr>
        <w:pStyle w:val="TOC1"/>
        <w:tabs>
          <w:tab w:val="right" w:leader="dot" w:pos="8306"/>
        </w:tabs>
      </w:pPr>
      <w:hyperlink w:anchor="_Toc13947" w:history="1">
        <w:r>
          <w:rPr>
            <w:rFonts w:ascii="仿宋" w:eastAsia="仿宋" w:hAnsi="仿宋" w:cs="仿宋" w:hint="eastAsia"/>
            <w:lang w:eastAsia="zh-CN"/>
          </w:rPr>
          <w:t>七、有机肥料及微生物肥料项目创新与研发</w:t>
        </w:r>
        <w:r>
          <w:tab/>
        </w:r>
        <w:r>
          <w:fldChar w:fldCharType="begin"/>
        </w:r>
        <w:r>
          <w:instrText xml:space="preserve"> PAGEREF _Toc13947 \h </w:instrText>
        </w:r>
        <w:r>
          <w:fldChar w:fldCharType="separate"/>
        </w:r>
        <w:r>
          <w:t>22</w:t>
        </w:r>
        <w:r>
          <w:fldChar w:fldCharType="end"/>
        </w:r>
      </w:hyperlink>
    </w:p>
    <w:p>
      <w:pPr>
        <w:pStyle w:val="TOC2"/>
        <w:tabs>
          <w:tab w:val="right" w:leader="dot" w:pos="8306"/>
        </w:tabs>
      </w:pPr>
      <w:hyperlink w:anchor="_Toc26300" w:history="1">
        <w:r>
          <w:rPr>
            <w:rFonts w:ascii="仿宋" w:eastAsia="仿宋" w:hAnsi="仿宋" w:cs="仿宋" w:hint="eastAsia"/>
            <w:lang w:eastAsia="zh-CN"/>
          </w:rPr>
          <w:t>(一)、创新策略与方向</w:t>
        </w:r>
        <w:r>
          <w:tab/>
        </w:r>
        <w:r>
          <w:fldChar w:fldCharType="begin"/>
        </w:r>
        <w:r>
          <w:instrText xml:space="preserve"> PAGEREF _Toc26300 \h </w:instrText>
        </w:r>
        <w:r>
          <w:fldChar w:fldCharType="separate"/>
        </w:r>
        <w:r>
          <w:t>22</w:t>
        </w:r>
        <w:r>
          <w:fldChar w:fldCharType="end"/>
        </w:r>
      </w:hyperlink>
    </w:p>
    <w:p>
      <w:pPr>
        <w:pStyle w:val="TOC2"/>
        <w:tabs>
          <w:tab w:val="right" w:leader="dot" w:pos="8306"/>
        </w:tabs>
      </w:pPr>
      <w:hyperlink w:anchor="_Toc26370" w:history="1">
        <w:r>
          <w:rPr>
            <w:rFonts w:ascii="仿宋" w:eastAsia="仿宋" w:hAnsi="仿宋" w:cs="仿宋" w:hint="eastAsia"/>
            <w:lang w:eastAsia="zh-CN"/>
          </w:rPr>
          <w:t>(二)、研发规划与投入</w:t>
        </w:r>
        <w:r>
          <w:tab/>
        </w:r>
        <w:r>
          <w:fldChar w:fldCharType="begin"/>
        </w:r>
        <w:r>
          <w:instrText xml:space="preserve"> PAGEREF _Toc26370 \h </w:instrText>
        </w:r>
        <w:r>
          <w:fldChar w:fldCharType="separate"/>
        </w:r>
        <w:r>
          <w:t>23</w:t>
        </w:r>
        <w:r>
          <w:fldChar w:fldCharType="end"/>
        </w:r>
      </w:hyperlink>
    </w:p>
    <w:p>
      <w:pPr>
        <w:pStyle w:val="TOC1"/>
        <w:tabs>
          <w:tab w:val="right" w:leader="dot" w:pos="8306"/>
        </w:tabs>
      </w:pPr>
      <w:hyperlink w:anchor="_Toc29317" w:history="1">
        <w:r>
          <w:rPr>
            <w:rFonts w:ascii="仿宋" w:eastAsia="仿宋" w:hAnsi="仿宋" w:cs="仿宋" w:hint="eastAsia"/>
            <w:lang w:eastAsia="zh-CN"/>
          </w:rPr>
          <w:t>八、有机肥料及微生物肥料项目环境影响分析</w:t>
        </w:r>
        <w:r>
          <w:tab/>
        </w:r>
        <w:r>
          <w:fldChar w:fldCharType="begin"/>
        </w:r>
        <w:r>
          <w:instrText xml:space="preserve"> PAGEREF _Toc29317 \h </w:instrText>
        </w:r>
        <w:r>
          <w:fldChar w:fldCharType="separate"/>
        </w:r>
        <w:r>
          <w:t>25</w:t>
        </w:r>
        <w:r>
          <w:fldChar w:fldCharType="end"/>
        </w:r>
      </w:hyperlink>
    </w:p>
    <w:p>
      <w:pPr>
        <w:pStyle w:val="TOC2"/>
        <w:tabs>
          <w:tab w:val="right" w:leader="dot" w:pos="8306"/>
        </w:tabs>
      </w:pPr>
      <w:hyperlink w:anchor="_Toc11437" w:history="1">
        <w:r>
          <w:rPr>
            <w:rFonts w:ascii="仿宋" w:eastAsia="仿宋" w:hAnsi="仿宋" w:cs="仿宋" w:hint="eastAsia"/>
            <w:lang w:eastAsia="zh-CN"/>
          </w:rPr>
          <w:t>(一)、建设区域环境质量现状</w:t>
        </w:r>
        <w:r>
          <w:tab/>
        </w:r>
        <w:r>
          <w:fldChar w:fldCharType="begin"/>
        </w:r>
        <w:r>
          <w:instrText xml:space="preserve"> PAGEREF _Toc11437 \h </w:instrText>
        </w:r>
        <w:r>
          <w:fldChar w:fldCharType="separate"/>
        </w:r>
        <w:r>
          <w:t>25</w:t>
        </w:r>
        <w:r>
          <w:fldChar w:fldCharType="end"/>
        </w:r>
      </w:hyperlink>
    </w:p>
    <w:p>
      <w:pPr>
        <w:pStyle w:val="TOC2"/>
        <w:tabs>
          <w:tab w:val="right" w:leader="dot" w:pos="8306"/>
        </w:tabs>
      </w:pPr>
      <w:hyperlink w:anchor="_Toc8974" w:history="1">
        <w:r>
          <w:rPr>
            <w:rFonts w:ascii="仿宋" w:eastAsia="仿宋" w:hAnsi="仿宋" w:cs="仿宋" w:hint="eastAsia"/>
            <w:lang w:eastAsia="zh-CN"/>
          </w:rPr>
          <w:t>(二)、建设期环境保护</w:t>
        </w:r>
        <w:r>
          <w:tab/>
        </w:r>
        <w:r>
          <w:fldChar w:fldCharType="begin"/>
        </w:r>
        <w:r>
          <w:instrText xml:space="preserve"> PAGEREF _Toc8974 \h </w:instrText>
        </w:r>
        <w:r>
          <w:fldChar w:fldCharType="separate"/>
        </w:r>
        <w:r>
          <w:t>26</w:t>
        </w:r>
        <w:r>
          <w:fldChar w:fldCharType="end"/>
        </w:r>
      </w:hyperlink>
    </w:p>
    <w:p>
      <w:pPr>
        <w:pStyle w:val="TOC2"/>
        <w:tabs>
          <w:tab w:val="right" w:leader="dot" w:pos="8306"/>
        </w:tabs>
      </w:pPr>
      <w:hyperlink w:anchor="_Toc24718" w:history="1">
        <w:r>
          <w:rPr>
            <w:rFonts w:ascii="仿宋" w:eastAsia="仿宋" w:hAnsi="仿宋" w:cs="仿宋" w:hint="eastAsia"/>
            <w:lang w:eastAsia="zh-CN"/>
          </w:rPr>
          <w:t>(三)、运营期环境保护</w:t>
        </w:r>
        <w:r>
          <w:tab/>
        </w:r>
        <w:r>
          <w:fldChar w:fldCharType="begin"/>
        </w:r>
        <w:r>
          <w:instrText xml:space="preserve"> PAGEREF _Toc24718 \h </w:instrText>
        </w:r>
        <w:r>
          <w:fldChar w:fldCharType="separate"/>
        </w:r>
        <w:r>
          <w:t>28</w:t>
        </w:r>
        <w:r>
          <w:fldChar w:fldCharType="end"/>
        </w:r>
      </w:hyperlink>
    </w:p>
    <w:p>
      <w:pPr>
        <w:pStyle w:val="TOC2"/>
        <w:tabs>
          <w:tab w:val="right" w:leader="dot" w:pos="8306"/>
        </w:tabs>
      </w:pPr>
      <w:hyperlink w:anchor="_Toc22680" w:history="1">
        <w:r>
          <w:rPr>
            <w:rFonts w:ascii="仿宋" w:eastAsia="仿宋" w:hAnsi="仿宋" w:cs="仿宋" w:hint="eastAsia"/>
            <w:lang w:eastAsia="zh-CN"/>
          </w:rPr>
          <w:t>(四)、有机肥料及微生物肥料项目建设对区域经济的影响</w:t>
        </w:r>
        <w:r>
          <w:tab/>
        </w:r>
        <w:r>
          <w:fldChar w:fldCharType="begin"/>
        </w:r>
        <w:r>
          <w:instrText xml:space="preserve"> PAGEREF _Toc22680 \h </w:instrText>
        </w:r>
        <w:r>
          <w:fldChar w:fldCharType="separate"/>
        </w:r>
        <w:r>
          <w:t>29</w:t>
        </w:r>
        <w:r>
          <w:fldChar w:fldCharType="end"/>
        </w:r>
      </w:hyperlink>
    </w:p>
    <w:p>
      <w:pPr>
        <w:pStyle w:val="TOC2"/>
        <w:tabs>
          <w:tab w:val="right" w:leader="dot" w:pos="8306"/>
        </w:tabs>
      </w:pPr>
      <w:hyperlink w:anchor="_Toc26505" w:history="1">
        <w:r>
          <w:rPr>
            <w:rFonts w:ascii="仿宋" w:eastAsia="仿宋" w:hAnsi="仿宋" w:cs="仿宋" w:hint="eastAsia"/>
            <w:lang w:eastAsia="zh-CN"/>
          </w:rPr>
          <w:t>(五)、废弃物处理</w:t>
        </w:r>
        <w:r>
          <w:tab/>
        </w:r>
        <w:r>
          <w:fldChar w:fldCharType="begin"/>
        </w:r>
        <w:r>
          <w:instrText xml:space="preserve"> PAGEREF _Toc26505 \h </w:instrText>
        </w:r>
        <w:r>
          <w:fldChar w:fldCharType="separate"/>
        </w:r>
        <w:r>
          <w:t>31</w:t>
        </w:r>
        <w:r>
          <w:fldChar w:fldCharType="end"/>
        </w:r>
      </w:hyperlink>
    </w:p>
    <w:p>
      <w:pPr>
        <w:pStyle w:val="TOC2"/>
        <w:tabs>
          <w:tab w:val="right" w:leader="dot" w:pos="8306"/>
        </w:tabs>
      </w:pPr>
      <w:hyperlink w:anchor="_Toc31605" w:history="1">
        <w:r>
          <w:rPr>
            <w:rFonts w:ascii="仿宋" w:eastAsia="仿宋" w:hAnsi="仿宋" w:cs="仿宋" w:hint="eastAsia"/>
            <w:lang w:eastAsia="zh-CN"/>
          </w:rPr>
          <w:t>(六)、特殊环境影响分析</w:t>
        </w:r>
        <w:r>
          <w:tab/>
        </w:r>
        <w:r>
          <w:fldChar w:fldCharType="begin"/>
        </w:r>
        <w:r>
          <w:instrText xml:space="preserve"> PAGEREF _Toc31605 \h </w:instrText>
        </w:r>
        <w:r>
          <w:fldChar w:fldCharType="separate"/>
        </w:r>
        <w:r>
          <w:t>32</w:t>
        </w:r>
        <w:r>
          <w:fldChar w:fldCharType="end"/>
        </w:r>
      </w:hyperlink>
    </w:p>
    <w:p>
      <w:pPr>
        <w:pStyle w:val="TOC2"/>
        <w:tabs>
          <w:tab w:val="right" w:leader="dot" w:pos="8306"/>
        </w:tabs>
      </w:pPr>
      <w:hyperlink w:anchor="_Toc19368" w:history="1">
        <w:r>
          <w:rPr>
            <w:rFonts w:ascii="仿宋" w:eastAsia="仿宋" w:hAnsi="仿宋" w:cs="仿宋" w:hint="eastAsia"/>
            <w:lang w:eastAsia="zh-CN"/>
          </w:rPr>
          <w:t>(七)、清洁生产</w:t>
        </w:r>
        <w:r>
          <w:tab/>
        </w:r>
        <w:r>
          <w:fldChar w:fldCharType="begin"/>
        </w:r>
        <w:r>
          <w:instrText xml:space="preserve"> PAGEREF _Toc19368 \h </w:instrText>
        </w:r>
        <w:r>
          <w:fldChar w:fldCharType="separate"/>
        </w:r>
        <w:r>
          <w:t>33</w:t>
        </w:r>
        <w:r>
          <w:fldChar w:fldCharType="end"/>
        </w:r>
      </w:hyperlink>
    </w:p>
    <w:p>
      <w:pPr>
        <w:pStyle w:val="TOC2"/>
        <w:tabs>
          <w:tab w:val="right" w:leader="dot" w:pos="8306"/>
        </w:tabs>
      </w:pPr>
      <w:hyperlink w:anchor="_Toc3228" w:history="1">
        <w:r>
          <w:rPr>
            <w:rFonts w:ascii="仿宋" w:eastAsia="仿宋" w:hAnsi="仿宋" w:cs="仿宋" w:hint="eastAsia"/>
            <w:lang w:eastAsia="zh-CN"/>
          </w:rPr>
          <w:t>(八)、环境保护综合评价</w:t>
        </w:r>
        <w:r>
          <w:tab/>
        </w:r>
        <w:r>
          <w:fldChar w:fldCharType="begin"/>
        </w:r>
        <w:r>
          <w:instrText xml:space="preserve"> PAGEREF _Toc3228 \h </w:instrText>
        </w:r>
        <w:r>
          <w:fldChar w:fldCharType="separate"/>
        </w:r>
        <w:r>
          <w:t>35</w:t>
        </w:r>
        <w:r>
          <w:fldChar w:fldCharType="end"/>
        </w:r>
      </w:hyperlink>
    </w:p>
    <w:p>
      <w:pPr>
        <w:pStyle w:val="TOC1"/>
        <w:tabs>
          <w:tab w:val="right" w:leader="dot" w:pos="8306"/>
        </w:tabs>
      </w:pPr>
      <w:hyperlink w:anchor="_Toc29899" w:history="1">
        <w:r>
          <w:rPr>
            <w:rFonts w:ascii="仿宋" w:eastAsia="仿宋" w:hAnsi="仿宋" w:cs="仿宋" w:hint="eastAsia"/>
            <w:lang w:eastAsia="zh-CN"/>
          </w:rPr>
          <w:t>九、有机肥料及微生物肥料项目人力资源管理</w:t>
        </w:r>
        <w:r>
          <w:tab/>
        </w:r>
        <w:r>
          <w:fldChar w:fldCharType="begin"/>
        </w:r>
        <w:r>
          <w:instrText xml:space="preserve"> PAGEREF _Toc29899 \h </w:instrText>
        </w:r>
        <w:r>
          <w:fldChar w:fldCharType="separate"/>
        </w:r>
        <w:r>
          <w:t>36</w:t>
        </w:r>
        <w:r>
          <w:fldChar w:fldCharType="end"/>
        </w:r>
      </w:hyperlink>
    </w:p>
    <w:p>
      <w:pPr>
        <w:pStyle w:val="TOC2"/>
        <w:tabs>
          <w:tab w:val="right" w:leader="dot" w:pos="8306"/>
        </w:tabs>
      </w:pPr>
      <w:hyperlink w:anchor="_Toc15370" w:history="1">
        <w:r>
          <w:rPr>
            <w:rFonts w:ascii="仿宋" w:eastAsia="仿宋" w:hAnsi="仿宋" w:cs="仿宋" w:hint="eastAsia"/>
            <w:lang w:eastAsia="zh-CN"/>
          </w:rPr>
          <w:t>(一)、建立健全的预算管理制度</w:t>
        </w:r>
        <w:r>
          <w:tab/>
        </w:r>
        <w:r>
          <w:fldChar w:fldCharType="begin"/>
        </w:r>
        <w:r>
          <w:instrText xml:space="preserve"> PAGEREF _Toc15370 \h </w:instrText>
        </w:r>
        <w:r>
          <w:fldChar w:fldCharType="separate"/>
        </w:r>
        <w:r>
          <w:t>36</w:t>
        </w:r>
        <w:r>
          <w:fldChar w:fldCharType="end"/>
        </w:r>
      </w:hyperlink>
    </w:p>
    <w:p>
      <w:pPr>
        <w:pStyle w:val="TOC2"/>
        <w:tabs>
          <w:tab w:val="right" w:leader="dot" w:pos="8306"/>
        </w:tabs>
      </w:pPr>
      <w:hyperlink w:anchor="_Toc9237" w:history="1">
        <w:r>
          <w:rPr>
            <w:rFonts w:ascii="仿宋" w:eastAsia="仿宋" w:hAnsi="仿宋" w:cs="仿宋" w:hint="eastAsia"/>
            <w:lang w:eastAsia="zh-CN"/>
          </w:rPr>
          <w:t>(二)、加强资金流动监控</w:t>
        </w:r>
        <w:r>
          <w:tab/>
        </w:r>
        <w:r>
          <w:fldChar w:fldCharType="begin"/>
        </w:r>
        <w:r>
          <w:instrText xml:space="preserve"> PAGEREF _Toc9237 \h </w:instrText>
        </w:r>
        <w:r>
          <w:fldChar w:fldCharType="separate"/>
        </w:r>
        <w:r>
          <w:t>38</w:t>
        </w:r>
        <w:r>
          <w:fldChar w:fldCharType="end"/>
        </w:r>
      </w:hyperlink>
    </w:p>
    <w:p>
      <w:pPr>
        <w:pStyle w:val="TOC2"/>
        <w:tabs>
          <w:tab w:val="right" w:leader="dot" w:pos="8306"/>
        </w:tabs>
      </w:pPr>
      <w:hyperlink w:anchor="_Toc15117" w:history="1">
        <w:r>
          <w:rPr>
            <w:rFonts w:ascii="仿宋" w:eastAsia="仿宋" w:hAnsi="仿宋" w:cs="仿宋" w:hint="eastAsia"/>
            <w:lang w:eastAsia="zh-CN"/>
          </w:rPr>
          <w:t>(三)、制定完善的风险控制机制</w:t>
        </w:r>
        <w:r>
          <w:tab/>
        </w:r>
        <w:r>
          <w:fldChar w:fldCharType="begin"/>
        </w:r>
        <w:r>
          <w:instrText xml:space="preserve"> PAGEREF _Toc15117 \h </w:instrText>
        </w:r>
        <w:r>
          <w:fldChar w:fldCharType="separate"/>
        </w:r>
        <w:r>
          <w:t>39</w:t>
        </w:r>
        <w:r>
          <w:fldChar w:fldCharType="end"/>
        </w:r>
      </w:hyperlink>
    </w:p>
    <w:p>
      <w:pPr>
        <w:pStyle w:val="TOC2"/>
        <w:tabs>
          <w:tab w:val="right" w:leader="dot" w:pos="8306"/>
        </w:tabs>
      </w:pPr>
      <w:hyperlink w:anchor="_Toc12167" w:history="1">
        <w:r>
          <w:rPr>
            <w:rFonts w:ascii="仿宋" w:eastAsia="仿宋" w:hAnsi="仿宋" w:cs="仿宋" w:hint="eastAsia"/>
            <w:lang w:eastAsia="zh-CN"/>
          </w:rPr>
          <w:t>(四)、优化成本管理</w:t>
        </w:r>
        <w:r>
          <w:tab/>
        </w:r>
        <w:r>
          <w:fldChar w:fldCharType="begin"/>
        </w:r>
        <w:r>
          <w:instrText xml:space="preserve"> PAGEREF _Toc12167 \h </w:instrText>
        </w:r>
        <w:r>
          <w:fldChar w:fldCharType="separate"/>
        </w:r>
        <w:r>
          <w:t>41</w:t>
        </w:r>
        <w:r>
          <w:fldChar w:fldCharType="end"/>
        </w:r>
      </w:hyperlink>
    </w:p>
    <w:p>
      <w:pPr>
        <w:pStyle w:val="TOC1"/>
        <w:tabs>
          <w:tab w:val="right" w:leader="dot" w:pos="8306"/>
        </w:tabs>
      </w:pPr>
      <w:hyperlink w:anchor="_Toc29155" w:history="1">
        <w:r>
          <w:rPr>
            <w:rFonts w:ascii="仿宋" w:eastAsia="仿宋" w:hAnsi="仿宋" w:cs="仿宋" w:hint="eastAsia"/>
            <w:lang w:eastAsia="zh-CN"/>
          </w:rPr>
          <w:t>十、有机肥料及微生物肥料项目投资规划</w:t>
        </w:r>
        <w:r>
          <w:tab/>
        </w:r>
        <w:r>
          <w:fldChar w:fldCharType="begin"/>
        </w:r>
        <w:r>
          <w:instrText xml:space="preserve"> PAGEREF _Toc29155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48" w:history="1">
        <w:r>
          <w:rPr>
            <w:rFonts w:ascii="仿宋" w:eastAsia="仿宋" w:hAnsi="仿宋" w:cs="仿宋" w:hint="eastAsia"/>
            <w:lang w:eastAsia="zh-CN"/>
          </w:rPr>
          <w:t>(一)、有机肥料及微生物肥料项目总投资估算</w:t>
        </w:r>
        <w:r>
          <w:tab/>
        </w:r>
        <w:r>
          <w:fldChar w:fldCharType="begin"/>
        </w:r>
        <w:r>
          <w:instrText xml:space="preserve"> PAGEREF _Toc10148 \h </w:instrText>
        </w:r>
        <w:r>
          <w:fldChar w:fldCharType="separate"/>
        </w:r>
        <w:r>
          <w:t>42</w:t>
        </w:r>
        <w:r>
          <w:fldChar w:fldCharType="end"/>
        </w:r>
      </w:hyperlink>
    </w:p>
    <w:p>
      <w:pPr>
        <w:pStyle w:val="TOC2"/>
        <w:tabs>
          <w:tab w:val="right" w:leader="dot" w:pos="8306"/>
        </w:tabs>
      </w:pPr>
      <w:hyperlink w:anchor="_Toc15188" w:history="1">
        <w:r>
          <w:rPr>
            <w:rFonts w:ascii="仿宋" w:eastAsia="仿宋" w:hAnsi="仿宋" w:cs="仿宋" w:hint="eastAsia"/>
            <w:lang w:eastAsia="zh-CN"/>
          </w:rPr>
          <w:t>(二)、资金筹措</w:t>
        </w:r>
        <w:r>
          <w:tab/>
        </w:r>
        <w:r>
          <w:fldChar w:fldCharType="begin"/>
        </w:r>
        <w:r>
          <w:instrText xml:space="preserve"> PAGEREF _Toc15188 \h </w:instrText>
        </w:r>
        <w:r>
          <w:fldChar w:fldCharType="separate"/>
        </w:r>
        <w:r>
          <w:t>44</w:t>
        </w:r>
        <w:r>
          <w:fldChar w:fldCharType="end"/>
        </w:r>
      </w:hyperlink>
    </w:p>
    <w:p>
      <w:pPr>
        <w:pStyle w:val="TOC1"/>
        <w:tabs>
          <w:tab w:val="right" w:leader="dot" w:pos="8306"/>
        </w:tabs>
      </w:pPr>
      <w:hyperlink w:anchor="_Toc7963" w:history="1">
        <w:r>
          <w:rPr>
            <w:rFonts w:ascii="仿宋" w:eastAsia="仿宋" w:hAnsi="仿宋" w:cs="仿宋" w:hint="eastAsia"/>
            <w:lang w:eastAsia="zh-CN"/>
          </w:rPr>
          <w:t>十一、有机肥料及微生物肥料项目技术管理</w:t>
        </w:r>
        <w:r>
          <w:tab/>
        </w:r>
        <w:r>
          <w:fldChar w:fldCharType="begin"/>
        </w:r>
        <w:r>
          <w:instrText xml:space="preserve"> PAGEREF _Toc7963 \h </w:instrText>
        </w:r>
        <w:r>
          <w:fldChar w:fldCharType="separate"/>
        </w:r>
        <w:r>
          <w:t>44</w:t>
        </w:r>
        <w:r>
          <w:fldChar w:fldCharType="end"/>
        </w:r>
      </w:hyperlink>
    </w:p>
    <w:p>
      <w:pPr>
        <w:pStyle w:val="TOC2"/>
        <w:tabs>
          <w:tab w:val="right" w:leader="dot" w:pos="8306"/>
        </w:tabs>
      </w:pPr>
      <w:hyperlink w:anchor="_Toc7735" w:history="1">
        <w:r>
          <w:rPr>
            <w:rFonts w:ascii="仿宋" w:eastAsia="仿宋" w:hAnsi="仿宋" w:cs="仿宋" w:hint="eastAsia"/>
            <w:lang w:eastAsia="zh-CN"/>
          </w:rPr>
          <w:t>(一)、技术方案选用方向</w:t>
        </w:r>
        <w:r>
          <w:tab/>
        </w:r>
        <w:r>
          <w:fldChar w:fldCharType="begin"/>
        </w:r>
        <w:r>
          <w:instrText xml:space="preserve"> PAGEREF _Toc7735 \h </w:instrText>
        </w:r>
        <w:r>
          <w:fldChar w:fldCharType="separate"/>
        </w:r>
        <w:r>
          <w:t>44</w:t>
        </w:r>
        <w:r>
          <w:fldChar w:fldCharType="end"/>
        </w:r>
      </w:hyperlink>
    </w:p>
    <w:p>
      <w:pPr>
        <w:pStyle w:val="TOC2"/>
        <w:tabs>
          <w:tab w:val="right" w:leader="dot" w:pos="8306"/>
        </w:tabs>
      </w:pPr>
      <w:hyperlink w:anchor="_Toc19647" w:history="1">
        <w:r>
          <w:rPr>
            <w:rFonts w:ascii="仿宋" w:eastAsia="仿宋" w:hAnsi="仿宋" w:cs="仿宋" w:hint="eastAsia"/>
            <w:lang w:eastAsia="zh-CN"/>
          </w:rPr>
          <w:t>(二)、工艺技术方案选用原则</w:t>
        </w:r>
        <w:r>
          <w:tab/>
        </w:r>
        <w:r>
          <w:fldChar w:fldCharType="begin"/>
        </w:r>
        <w:r>
          <w:instrText xml:space="preserve"> PAGEREF _Toc19647 \h </w:instrText>
        </w:r>
        <w:r>
          <w:fldChar w:fldCharType="separate"/>
        </w:r>
        <w:r>
          <w:t>46</w:t>
        </w:r>
        <w:r>
          <w:fldChar w:fldCharType="end"/>
        </w:r>
      </w:hyperlink>
    </w:p>
    <w:p>
      <w:pPr>
        <w:pStyle w:val="TOC2"/>
        <w:tabs>
          <w:tab w:val="right" w:leader="dot" w:pos="8306"/>
        </w:tabs>
      </w:pPr>
      <w:hyperlink w:anchor="_Toc31744" w:history="1">
        <w:r>
          <w:rPr>
            <w:rFonts w:ascii="仿宋" w:eastAsia="仿宋" w:hAnsi="仿宋" w:cs="仿宋" w:hint="eastAsia"/>
            <w:lang w:eastAsia="zh-CN"/>
          </w:rPr>
          <w:t>(三)、工艺技术方案要求</w:t>
        </w:r>
        <w:r>
          <w:tab/>
        </w:r>
        <w:r>
          <w:fldChar w:fldCharType="begin"/>
        </w:r>
        <w:r>
          <w:instrText xml:space="preserve"> PAGEREF _Toc31744 \h </w:instrText>
        </w:r>
        <w:r>
          <w:fldChar w:fldCharType="separate"/>
        </w:r>
        <w:r>
          <w:t>48</w:t>
        </w:r>
        <w:r>
          <w:fldChar w:fldCharType="end"/>
        </w:r>
      </w:hyperlink>
    </w:p>
    <w:p>
      <w:pPr>
        <w:pStyle w:val="TOC1"/>
        <w:tabs>
          <w:tab w:val="right" w:leader="dot" w:pos="8306"/>
        </w:tabs>
      </w:pPr>
      <w:hyperlink w:anchor="_Toc16993" w:history="1">
        <w:r>
          <w:rPr>
            <w:rFonts w:ascii="仿宋" w:eastAsia="仿宋" w:hAnsi="仿宋" w:cs="仿宋" w:hint="eastAsia"/>
            <w:lang w:eastAsia="zh-CN"/>
          </w:rPr>
          <w:t>十二、有机肥料及微生物肥料项目社会影响</w:t>
        </w:r>
        <w:r>
          <w:tab/>
        </w:r>
        <w:r>
          <w:fldChar w:fldCharType="begin"/>
        </w:r>
        <w:r>
          <w:instrText xml:space="preserve"> PAGEREF _Toc16993 \h </w:instrText>
        </w:r>
        <w:r>
          <w:fldChar w:fldCharType="separate"/>
        </w:r>
        <w:r>
          <w:t>51</w:t>
        </w:r>
        <w:r>
          <w:fldChar w:fldCharType="end"/>
        </w:r>
      </w:hyperlink>
    </w:p>
    <w:p>
      <w:pPr>
        <w:pStyle w:val="TOC2"/>
        <w:tabs>
          <w:tab w:val="right" w:leader="dot" w:pos="8306"/>
        </w:tabs>
      </w:pPr>
      <w:hyperlink w:anchor="_Toc9410" w:history="1">
        <w:r>
          <w:rPr>
            <w:rFonts w:ascii="仿宋" w:eastAsia="仿宋" w:hAnsi="仿宋" w:cs="仿宋" w:hint="eastAsia"/>
            <w:lang w:eastAsia="zh-CN"/>
          </w:rPr>
          <w:t>(一)、社会责任与义务</w:t>
        </w:r>
        <w:r>
          <w:tab/>
        </w:r>
        <w:r>
          <w:fldChar w:fldCharType="begin"/>
        </w:r>
        <w:r>
          <w:instrText xml:space="preserve"> PAGEREF _Toc9410 \h </w:instrText>
        </w:r>
        <w:r>
          <w:fldChar w:fldCharType="separate"/>
        </w:r>
        <w:r>
          <w:t>51</w:t>
        </w:r>
        <w:r>
          <w:fldChar w:fldCharType="end"/>
        </w:r>
      </w:hyperlink>
    </w:p>
    <w:p>
      <w:pPr>
        <w:pStyle w:val="TOC2"/>
        <w:tabs>
          <w:tab w:val="right" w:leader="dot" w:pos="8306"/>
        </w:tabs>
      </w:pPr>
      <w:hyperlink w:anchor="_Toc1856" w:history="1">
        <w:r>
          <w:rPr>
            <w:rFonts w:ascii="仿宋" w:eastAsia="仿宋" w:hAnsi="仿宋" w:cs="仿宋" w:hint="eastAsia"/>
            <w:lang w:eastAsia="zh-CN"/>
          </w:rPr>
          <w:t>(二)、社会参与与沟通</w:t>
        </w:r>
        <w:r>
          <w:tab/>
        </w:r>
        <w:r>
          <w:fldChar w:fldCharType="begin"/>
        </w:r>
        <w:r>
          <w:instrText xml:space="preserve"> PAGEREF _Toc1856 \h </w:instrText>
        </w:r>
        <w:r>
          <w:fldChar w:fldCharType="separate"/>
        </w:r>
        <w:r>
          <w:t>51</w:t>
        </w:r>
        <w:r>
          <w:fldChar w:fldCharType="end"/>
        </w:r>
      </w:hyperlink>
    </w:p>
    <w:p>
      <w:pPr>
        <w:pStyle w:val="TOC1"/>
        <w:tabs>
          <w:tab w:val="right" w:leader="dot" w:pos="8306"/>
        </w:tabs>
      </w:pPr>
      <w:hyperlink w:anchor="_Toc1107" w:history="1">
        <w:r>
          <w:rPr>
            <w:rFonts w:ascii="仿宋" w:eastAsia="仿宋" w:hAnsi="仿宋" w:cs="仿宋" w:hint="eastAsia"/>
            <w:lang w:eastAsia="zh-CN"/>
          </w:rPr>
          <w:t>十三、有机肥料及微生物肥料项目变更管理</w:t>
        </w:r>
        <w:r>
          <w:tab/>
        </w:r>
        <w:r>
          <w:fldChar w:fldCharType="begin"/>
        </w:r>
        <w:r>
          <w:instrText xml:space="preserve"> PAGEREF _Toc1107 \h </w:instrText>
        </w:r>
        <w:r>
          <w:fldChar w:fldCharType="separate"/>
        </w:r>
        <w:r>
          <w:t>52</w:t>
        </w:r>
        <w:r>
          <w:fldChar w:fldCharType="end"/>
        </w:r>
      </w:hyperlink>
    </w:p>
    <w:p>
      <w:pPr>
        <w:pStyle w:val="TOC2"/>
        <w:tabs>
          <w:tab w:val="right" w:leader="dot" w:pos="8306"/>
        </w:tabs>
      </w:pPr>
      <w:hyperlink w:anchor="_Toc6953" w:history="1">
        <w:r>
          <w:rPr>
            <w:rFonts w:ascii="仿宋" w:eastAsia="仿宋" w:hAnsi="仿宋" w:cs="仿宋" w:hint="eastAsia"/>
            <w:lang w:eastAsia="zh-CN"/>
          </w:rPr>
          <w:t>(一)、变更申请与评估</w:t>
        </w:r>
        <w:r>
          <w:tab/>
        </w:r>
        <w:r>
          <w:fldChar w:fldCharType="begin"/>
        </w:r>
        <w:r>
          <w:instrText xml:space="preserve"> PAGEREF _Toc6953 \h </w:instrText>
        </w:r>
        <w:r>
          <w:fldChar w:fldCharType="separate"/>
        </w:r>
        <w:r>
          <w:t>52</w:t>
        </w:r>
        <w:r>
          <w:fldChar w:fldCharType="end"/>
        </w:r>
      </w:hyperlink>
    </w:p>
    <w:p>
      <w:pPr>
        <w:pStyle w:val="TOC2"/>
        <w:tabs>
          <w:tab w:val="right" w:leader="dot" w:pos="8306"/>
        </w:tabs>
      </w:pPr>
      <w:hyperlink w:anchor="_Toc31083" w:history="1">
        <w:r>
          <w:rPr>
            <w:rFonts w:ascii="仿宋" w:eastAsia="仿宋" w:hAnsi="仿宋" w:cs="仿宋" w:hint="eastAsia"/>
            <w:lang w:eastAsia="zh-CN"/>
          </w:rPr>
          <w:t>(二)、变更实施与控制</w:t>
        </w:r>
        <w:r>
          <w:tab/>
        </w:r>
        <w:r>
          <w:fldChar w:fldCharType="begin"/>
        </w:r>
        <w:r>
          <w:instrText xml:space="preserve"> PAGEREF _Toc31083 \h </w:instrText>
        </w:r>
        <w:r>
          <w:fldChar w:fldCharType="separate"/>
        </w:r>
        <w:r>
          <w:t>53</w:t>
        </w:r>
        <w:r>
          <w:fldChar w:fldCharType="end"/>
        </w:r>
      </w:hyperlink>
    </w:p>
    <w:p>
      <w:pPr>
        <w:pStyle w:val="TOC1"/>
        <w:tabs>
          <w:tab w:val="right" w:leader="dot" w:pos="8306"/>
        </w:tabs>
      </w:pPr>
      <w:hyperlink w:anchor="_Toc20358" w:history="1">
        <w:r>
          <w:rPr>
            <w:rFonts w:ascii="仿宋" w:eastAsia="仿宋" w:hAnsi="仿宋" w:cs="仿宋" w:hint="eastAsia"/>
            <w:lang w:eastAsia="zh-CN"/>
          </w:rPr>
          <w:t>十四、质量管理体系</w:t>
        </w:r>
        <w:r>
          <w:tab/>
        </w:r>
        <w:r>
          <w:fldChar w:fldCharType="begin"/>
        </w:r>
        <w:r>
          <w:instrText xml:space="preserve"> PAGEREF _Toc20358 \h </w:instrText>
        </w:r>
        <w:r>
          <w:fldChar w:fldCharType="separate"/>
        </w:r>
        <w:r>
          <w:t>54</w:t>
        </w:r>
        <w:r>
          <w:fldChar w:fldCharType="end"/>
        </w:r>
      </w:hyperlink>
    </w:p>
    <w:p>
      <w:pPr>
        <w:pStyle w:val="TOC2"/>
        <w:tabs>
          <w:tab w:val="right" w:leader="dot" w:pos="8306"/>
        </w:tabs>
      </w:pPr>
      <w:hyperlink w:anchor="_Toc12032" w:history="1">
        <w:r>
          <w:rPr>
            <w:rFonts w:ascii="仿宋" w:eastAsia="仿宋" w:hAnsi="仿宋" w:cs="仿宋" w:hint="eastAsia"/>
            <w:lang w:eastAsia="zh-CN"/>
          </w:rPr>
          <w:t>(一)、质量目标与方针</w:t>
        </w:r>
        <w:r>
          <w:tab/>
        </w:r>
        <w:r>
          <w:fldChar w:fldCharType="begin"/>
        </w:r>
        <w:r>
          <w:instrText xml:space="preserve"> PAGEREF _Toc12032 \h </w:instrText>
        </w:r>
        <w:r>
          <w:fldChar w:fldCharType="separate"/>
        </w:r>
        <w:r>
          <w:t>54</w:t>
        </w:r>
        <w:r>
          <w:fldChar w:fldCharType="end"/>
        </w:r>
      </w:hyperlink>
    </w:p>
    <w:p>
      <w:pPr>
        <w:pStyle w:val="TOC2"/>
        <w:tabs>
          <w:tab w:val="right" w:leader="dot" w:pos="8306"/>
        </w:tabs>
      </w:pPr>
      <w:hyperlink w:anchor="_Toc3558" w:history="1">
        <w:r>
          <w:rPr>
            <w:rFonts w:ascii="仿宋" w:eastAsia="仿宋" w:hAnsi="仿宋" w:cs="仿宋" w:hint="eastAsia"/>
            <w:lang w:eastAsia="zh-CN"/>
          </w:rPr>
          <w:t>(二)、质量管理责任</w:t>
        </w:r>
        <w:r>
          <w:tab/>
        </w:r>
        <w:r>
          <w:fldChar w:fldCharType="begin"/>
        </w:r>
        <w:r>
          <w:instrText xml:space="preserve"> PAGEREF _Toc3558 \h </w:instrText>
        </w:r>
        <w:r>
          <w:fldChar w:fldCharType="separate"/>
        </w:r>
        <w:r>
          <w:t>55</w:t>
        </w:r>
        <w:r>
          <w:fldChar w:fldCharType="end"/>
        </w:r>
      </w:hyperlink>
    </w:p>
    <w:p>
      <w:pPr>
        <w:pStyle w:val="TOC2"/>
        <w:tabs>
          <w:tab w:val="right" w:leader="dot" w:pos="8306"/>
        </w:tabs>
      </w:pPr>
      <w:hyperlink w:anchor="_Toc20773" w:history="1">
        <w:r>
          <w:rPr>
            <w:rFonts w:ascii="仿宋" w:eastAsia="仿宋" w:hAnsi="仿宋" w:cs="仿宋" w:hint="eastAsia"/>
            <w:lang w:eastAsia="zh-CN"/>
          </w:rPr>
          <w:t>(三)、质量管理体系文件</w:t>
        </w:r>
        <w:r>
          <w:tab/>
        </w:r>
        <w:r>
          <w:fldChar w:fldCharType="begin"/>
        </w:r>
        <w:r>
          <w:instrText xml:space="preserve"> PAGEREF _Toc20773 \h </w:instrText>
        </w:r>
        <w:r>
          <w:fldChar w:fldCharType="separate"/>
        </w:r>
        <w:r>
          <w:t>56</w:t>
        </w:r>
        <w:r>
          <w:fldChar w:fldCharType="end"/>
        </w:r>
      </w:hyperlink>
    </w:p>
    <w:p>
      <w:pPr>
        <w:pStyle w:val="TOC2"/>
        <w:tabs>
          <w:tab w:val="right" w:leader="dot" w:pos="8306"/>
        </w:tabs>
      </w:pPr>
      <w:hyperlink w:anchor="_Toc8135" w:history="1">
        <w:r>
          <w:rPr>
            <w:rFonts w:ascii="仿宋" w:eastAsia="仿宋" w:hAnsi="仿宋" w:cs="仿宋" w:hint="eastAsia"/>
            <w:lang w:eastAsia="zh-CN"/>
          </w:rPr>
          <w:t>(四)、质量培训与教育</w:t>
        </w:r>
        <w:r>
          <w:tab/>
        </w:r>
        <w:r>
          <w:fldChar w:fldCharType="begin"/>
        </w:r>
        <w:r>
          <w:instrText xml:space="preserve"> PAGEREF _Toc8135 \h </w:instrText>
        </w:r>
        <w:r>
          <w:fldChar w:fldCharType="separate"/>
        </w:r>
        <w:r>
          <w:t>59</w:t>
        </w:r>
        <w:r>
          <w:fldChar w:fldCharType="end"/>
        </w:r>
      </w:hyperlink>
    </w:p>
    <w:p>
      <w:pPr>
        <w:pStyle w:val="TOC2"/>
        <w:tabs>
          <w:tab w:val="right" w:leader="dot" w:pos="8306"/>
        </w:tabs>
      </w:pPr>
      <w:hyperlink w:anchor="_Toc563" w:history="1">
        <w:r>
          <w:rPr>
            <w:rFonts w:ascii="仿宋" w:eastAsia="仿宋" w:hAnsi="仿宋" w:cs="仿宋" w:hint="eastAsia"/>
            <w:lang w:eastAsia="zh-CN"/>
          </w:rPr>
          <w:t>(五)、质量审核与评价</w:t>
        </w:r>
        <w:r>
          <w:tab/>
        </w:r>
        <w:r>
          <w:fldChar w:fldCharType="begin"/>
        </w:r>
        <w:r>
          <w:instrText xml:space="preserve"> PAGEREF _Toc563 \h </w:instrText>
        </w:r>
        <w:r>
          <w:fldChar w:fldCharType="separate"/>
        </w:r>
        <w:r>
          <w:t>60</w:t>
        </w:r>
        <w:r>
          <w:fldChar w:fldCharType="end"/>
        </w:r>
      </w:hyperlink>
    </w:p>
    <w:p>
      <w:pPr>
        <w:pStyle w:val="TOC2"/>
        <w:tabs>
          <w:tab w:val="right" w:leader="dot" w:pos="8306"/>
        </w:tabs>
      </w:pPr>
      <w:hyperlink w:anchor="_Toc27047" w:history="1">
        <w:r>
          <w:rPr>
            <w:rFonts w:ascii="仿宋" w:eastAsia="仿宋" w:hAnsi="仿宋" w:cs="仿宋" w:hint="eastAsia"/>
            <w:lang w:eastAsia="zh-CN"/>
          </w:rPr>
          <w:t>(六)、不符合与纠正措施</w:t>
        </w:r>
        <w:r>
          <w:tab/>
        </w:r>
        <w:r>
          <w:fldChar w:fldCharType="begin"/>
        </w:r>
        <w:r>
          <w:instrText xml:space="preserve"> PAGEREF _Toc27047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491"/>
      <w:r>
        <w:rPr>
          <w:rFonts w:ascii="仿宋" w:eastAsia="仿宋" w:hAnsi="仿宋" w:cs="仿宋" w:hint="eastAsia"/>
          <w:sz w:val="28"/>
          <w:lang w:eastAsia="zh-CN"/>
        </w:rPr>
        <w:t>一、有机肥料及微生物肥料项目建设单位说明</w:t>
      </w:r>
      <w:bookmarkEnd w:id="2"/>
    </w:p>
    <w:p>
      <w:pPr>
        <w:pStyle w:val="Heading2"/>
        <w:rPr>
          <w:rFonts w:ascii="仿宋" w:eastAsia="仿宋" w:hAnsi="仿宋" w:cs="仿宋" w:hint="eastAsia"/>
          <w:lang w:eastAsia="zh-CN"/>
        </w:rPr>
      </w:pPr>
      <w:bookmarkStart w:id="3" w:name="_Toc31572"/>
      <w:r>
        <w:rPr>
          <w:rFonts w:ascii="仿宋" w:eastAsia="仿宋" w:hAnsi="仿宋" w:cs="仿宋" w:hint="eastAsia"/>
          <w:lang w:eastAsia="zh-CN"/>
        </w:rPr>
        <w:t>(一)、有机肥料及微生物肥料项目承办单位基本情况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98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有机肥料及微生物肥料项目承办单位的XXXX，我们着眼于实现可持续的经济效益。通过技术创新和解决方案的提供，公司预计在有机肥料及微生物肥料项目执行期间将获得可观的收入增长。这一收入来源主要包括有机肥料及微生物肥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同时，我们注重成本控制和效率提升，以确保有机肥料及微生物肥料项目的可持续盈利。透过精细的管理和资源优化，公司期望实现有机肥料及微生物肥料项目利润最大化。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有机肥料及微生物肥料项目实施进行全面的投资评估，包括有机肥料及微生物肥料项目启动阶段的资金投入和后续运营成本。通过对有机肥料及微生物肥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有机肥料及微生物肥料项目实施过程中具备足够的资金流动性，公司将进行详尽的现金流分析。这包括资金需求的合理预测、有机肥料及微生物肥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154"/>
      <w:r>
        <w:rPr>
          <w:rFonts w:ascii="仿宋" w:eastAsia="仿宋" w:hAnsi="仿宋" w:cs="仿宋" w:hint="eastAsia"/>
          <w:sz w:val="28"/>
          <w:lang w:eastAsia="zh-CN"/>
        </w:rPr>
        <w:t>二、有机肥料及微生物肥料项目建设背景及必要性分析</w:t>
      </w:r>
      <w:bookmarkEnd w:id="5"/>
    </w:p>
    <w:p>
      <w:pPr>
        <w:pStyle w:val="Heading2"/>
        <w:rPr>
          <w:rFonts w:ascii="仿宋" w:eastAsia="仿宋" w:hAnsi="仿宋" w:cs="仿宋" w:hint="eastAsia"/>
          <w:lang w:eastAsia="zh-CN"/>
        </w:rPr>
      </w:pPr>
      <w:bookmarkStart w:id="6" w:name="_Toc23670"/>
      <w:r>
        <w:rPr>
          <w:rFonts w:ascii="仿宋" w:eastAsia="仿宋" w:hAnsi="仿宋" w:cs="仿宋" w:hint="eastAsia"/>
          <w:lang w:eastAsia="zh-CN"/>
        </w:rPr>
        <w:t>(一)、有机肥料及微生物肥料项目背景分析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有机肥料及微生物肥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有机肥料及微生物肥料项目在这个潮流中的定位。同时，我们将关注行业内涌现的新兴机遇，以便有机肥料及微生物肥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有机肥料及微生物肥料项目提供了强大的发展动力。我们将聚焦于行业内最新的技术发展趋势，包括但不限于人工智能、大数据分析、物联网等领域。通过深度的技术研究，我们将确保有机肥料及微生物肥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有机肥料及微生物肥料项目发展的源泉。我们将投入更多的精力对市场需求进行深入剖析，超越表面的需求，深入挖掘潜在的市场痛点和机遇。通过对市场需求的细致了解，有机肥料及微生物肥料项目将更有针对性地设计解决方案，满足市场的多样化需求，从而更好地促进有机肥料及微生物肥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有机肥料及微生物肥料项目战略至关重要。我们将对竞争态势进行更为深入的分析，包括但不限于市场份额、产品特点、客户满意度等多个维度。通过深度的竞争分析，有机肥料及微生物肥料项目将能够更准确地把握市场脉搏，制定具有竞争力的有机肥料及微生物肥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有机肥料及微生物肥料项目的发展具有直接的影响。我们将进行更为全面的法规和政策分析，了解行业发展中的潜在法律风险和合规挑战。通过充分了解和遵守相关法规，有机肥料及微生物肥料项目将确保在法律框架内合法合规运营，为有机肥料及微生物肥料项目的稳健发展提供有力支持。</w:t>
      </w:r>
    </w:p>
    <w:p>
      <w:pPr>
        <w:pStyle w:val="Heading2"/>
        <w:ind w:firstLine="560" w:firstLineChars="200"/>
        <w:rPr>
          <w:rFonts w:ascii="仿宋" w:eastAsia="仿宋" w:hAnsi="仿宋" w:cs="仿宋" w:hint="eastAsia"/>
          <w:sz w:val="28"/>
          <w:lang w:eastAsia="zh-CN"/>
        </w:rPr>
      </w:pPr>
      <w:bookmarkStart w:id="7" w:name="_Toc10261"/>
      <w:r>
        <w:rPr>
          <w:rFonts w:ascii="仿宋" w:eastAsia="仿宋" w:hAnsi="仿宋" w:cs="仿宋" w:hint="eastAsia"/>
          <w:sz w:val="28"/>
          <w:lang w:eastAsia="zh-CN"/>
        </w:rPr>
        <w:t>(二)、有机肥料及微生物肥料项目建设必要性分析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建设的迫切性源于对行业发展趋势的深刻洞察。我们正处于一个行业变革的时代，科技创新、数字化转型成为企业发展的关键动力。有机肥料及微生物肥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建设不仅仅是为了跟上潮流，更是为了通过技术创新推动企业的持续发展。通过引入先进的技术和解决方案，有机肥料及微生物肥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有机肥料及微生物肥料项目的建设成为必然选择，通过提高产品质量、拓展服务领域，从而在竞争中获得更多的机会。有机肥料及微生物肥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有机肥料及微生物肥料项目建设的必要性体现在对客户需求更精准的满足。通过有机肥料及微生物肥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建设的背后是对企业持续创新的追求。只有通过不断创新，企业才能在竞争中立于不败之地。有机肥料及微生物肥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125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8214"/>
      <w:r>
        <w:rPr>
          <w:rFonts w:ascii="仿宋" w:eastAsia="仿宋" w:hAnsi="仿宋" w:cs="仿宋" w:hint="eastAsia"/>
          <w:lang w:eastAsia="zh-CN"/>
        </w:rPr>
        <w:t>(一)、有机肥料及微生物肥料行业分析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行业一直以来都是市场的关注焦点。行业内的发展趋势、竞争态势以及潜在机会都对有机肥料及微生物肥料项目的推进产生深远的影响。通过深入研究行业的整体概貌，我们将更好地理解行业的核心特征，为有机肥料及微生物肥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肥料及微生物肥料行业，技术一直是推动创新和发展的关键因素。我们将对当前技术趋势进行详尽分析，包括但不限于人工智能、大数据应用、先进制造技术等。这有助于有机肥料及微生物肥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有机肥料及微生物肥料项目成功的基础。我们将对主要竞争对手进行深入研究，包括其市场份额、产品特点、市场定位等。通过全面了解竞争对手的优势和劣势，有机肥料及微生物肥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6794"/>
      <w:r>
        <w:rPr>
          <w:rFonts w:ascii="仿宋" w:eastAsia="仿宋" w:hAnsi="仿宋" w:cs="仿宋" w:hint="eastAsia"/>
          <w:sz w:val="28"/>
          <w:lang w:eastAsia="zh-CN"/>
        </w:rPr>
        <w:t>(二)、有机肥料及微生物肥料市场分析预测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有机肥料及微生物肥料市场未来的增长趋势。这包括市场的整体规模、各细分领域的发展趋势等。有机肥料及微生物肥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有机肥料及微生物肥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有机肥料及微生物肥料项目实施过程中需要充分考虑的因素。我们将对市场风险进行全面评估，包括但不限于政策法规风险、市场竞争风险、技术变革风险等。通过对潜在风险的深入分析，有机肥料及微生物肥料项目可以制定相应的风险缓解策略，降低不确定性对有机肥料及微生物肥料项目的影响。</w:t>
      </w:r>
    </w:p>
    <w:p>
      <w:pPr>
        <w:pStyle w:val="Heading1"/>
        <w:ind w:firstLine="560" w:firstLineChars="200"/>
        <w:rPr>
          <w:rFonts w:ascii="仿宋" w:eastAsia="仿宋" w:hAnsi="仿宋" w:cs="仿宋" w:hint="eastAsia"/>
          <w:sz w:val="28"/>
          <w:lang w:eastAsia="zh-CN"/>
        </w:rPr>
      </w:pPr>
      <w:bookmarkStart w:id="11" w:name="_Toc29541"/>
      <w:r>
        <w:rPr>
          <w:rFonts w:ascii="仿宋" w:eastAsia="仿宋" w:hAnsi="仿宋" w:cs="仿宋" w:hint="eastAsia"/>
          <w:sz w:val="28"/>
          <w:lang w:eastAsia="zh-CN"/>
        </w:rPr>
        <w:t>四、有机肥料及微生物肥料项目文档管理</w:t>
      </w:r>
      <w:bookmarkEnd w:id="11"/>
    </w:p>
    <w:p>
      <w:pPr>
        <w:pStyle w:val="Heading2"/>
        <w:rPr>
          <w:rFonts w:ascii="仿宋" w:eastAsia="仿宋" w:hAnsi="仿宋" w:cs="仿宋" w:hint="eastAsia"/>
          <w:lang w:eastAsia="zh-CN"/>
        </w:rPr>
      </w:pPr>
      <w:bookmarkStart w:id="12" w:name="_Toc2752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有机肥料及微生物肥料项目高度重视文档的质量和准确性，以支持有机肥料及微生物肥料项目的各项活动和决策。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文档的编制始于有机肥料及微生物肥料项目计划的初期，我们制定了详细的文档编制计划，明确了每个文档的内容、格式和编写责任人。在有机肥料及微生物肥料项目启动阶段，我们首先编制了有机肥料及微生物肥料项目章程，明确定义了有机肥料及微生物肥料项目的目标、范围、风险等关键要素。随后，有机肥料及微生物肥料项目团队根据计划陆续编制了需求文档、设计文档、测试文档等各类文档，确保有机肥料及微生物肥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有机肥料及微生物肥料项目管理中的重要环节，旨在确保有机肥料及微生物肥料项目文档符合质量标准和有机肥料及微生物肥料项目需求。在有机肥料及微生物肥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有机肥料及微生物肥料项目相关利益方和专业领域的专家对文档进行独立审查。这有助于获取更全面、客观的反馈，确保有机肥料及微生物肥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在文档编制与审查方面建立了严格的管理机制，通过规范的流程和多维度的审查，确保有机肥料及微生物肥料项目文档的质量、准确性和可靠性，为有机肥料及微生物肥料项目的顺利推进提供了有力支持。</w:t>
      </w:r>
    </w:p>
    <w:p>
      <w:pPr>
        <w:pStyle w:val="Heading2"/>
        <w:ind w:firstLine="560" w:firstLineChars="200"/>
        <w:rPr>
          <w:rFonts w:ascii="仿宋" w:eastAsia="仿宋" w:hAnsi="仿宋" w:cs="仿宋" w:hint="eastAsia"/>
          <w:sz w:val="28"/>
          <w:lang w:eastAsia="zh-CN"/>
        </w:rPr>
      </w:pPr>
      <w:bookmarkStart w:id="13" w:name="_Toc1054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在有机肥料及微生物肥料项目中，我们致力于优化文档发布与分发过程，以确保信息的高效传递和团队间协作的顺畅进行。以下是我们采取的关键优化策略：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我们通过多渠道发布文档，包括电子邮件、有机肥料及微生物肥料项目管理平台、内部网站等，以满足不同团队成员的偏好和需求。多渠道发布确保了信息的全面覆盖。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我们采用了精细的权限控制，确保只有授权人员可以访问敏感信息。这种安全措施保护了有机肥料及微生物肥料项目文档的机密性，防止了未经授权的信息泄露。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900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有机肥料及微生物肥料项目生命周期中一个至关重要的环节，直接关系到有机肥料及微生物肥料项目信息的长期保存和历史记录的完整性。在有机肥料及微生物肥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1723"/>
      <w:r>
        <w:rPr>
          <w:rFonts w:ascii="仿宋" w:eastAsia="仿宋" w:hAnsi="仿宋" w:cs="仿宋" w:hint="eastAsia"/>
          <w:sz w:val="28"/>
          <w:lang w:eastAsia="zh-CN"/>
        </w:rPr>
        <w:t>五、有机肥料及微生物肥料项目危机管理</w:t>
      </w:r>
      <w:bookmarkEnd w:id="15"/>
    </w:p>
    <w:p>
      <w:pPr>
        <w:pStyle w:val="Heading2"/>
        <w:rPr>
          <w:rFonts w:ascii="仿宋" w:eastAsia="仿宋" w:hAnsi="仿宋" w:cs="仿宋" w:hint="eastAsia"/>
          <w:lang w:eastAsia="zh-CN"/>
        </w:rPr>
      </w:pPr>
      <w:bookmarkStart w:id="16" w:name="_Toc1634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有机肥料及微生物肥料项目危机管理中，危机预警与识别是确保有机肥料及微生物肥料项目稳健运行的核心步骤。通过建立全面的监测机制，有机肥料及微生物肥料项目团队旨在及时发现和理解潜在的风险和危机因素，以便采取及时的预防和应对措施，确保有机肥料及微生物肥料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有机肥料及微生物肥料项目团队全面分析了整个有机肥料及微生物肥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有机肥料及微生物肥料项目团队着重于明确定义有机肥料及微生物肥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有机肥料及微生物肥料项目进展的持续监控，团队能够及时发现潜在问题并作出迅速反应。有机肥料及微生物肥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有机肥料及微生物肥料项目得以更有序、可控地推进。</w:t>
      </w:r>
    </w:p>
    <w:p>
      <w:pPr>
        <w:pStyle w:val="Heading2"/>
        <w:ind w:firstLine="560" w:firstLineChars="200"/>
        <w:rPr>
          <w:rFonts w:ascii="仿宋" w:eastAsia="仿宋" w:hAnsi="仿宋" w:cs="仿宋" w:hint="eastAsia"/>
          <w:sz w:val="28"/>
          <w:lang w:eastAsia="zh-CN"/>
        </w:rPr>
      </w:pPr>
      <w:bookmarkStart w:id="17" w:name="_Toc2529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在危机发生时，有机肥料及微生物肥料项目团队立即行动，成立了应急小组。该小组的任务是迅速制定并实施紧急应对措施，以最小化潜在损失。以下是采取的主要措施：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暂停有机肥料及微生物肥料项目进度：为遏制危机蔓延，有机肥料及微生物肥料项目暂时停止进行，以便全面评估当前状况。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资源重新分配：重新评估有机肥料及微生物肥料项目资源的分配，确保最大限度地减小损失。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实时沟通：与关键利益相关者建立实时沟通机制，向他们传递有机肥料及微生物肥料项目危机的实际状况，保障有机肥料及微生物肥料项目核心利益。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在紧急应对的同时，有机肥料及微生物肥料项目团队强调了团队协作和有效沟通的重要性。以下是团队协作的关键举措：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信息共享机制：建立了信息共享平台，确保团队成员能够及时获取有机肥料及微生物肥料项目危机的实时信息。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领导者沟通：有机肥料及微生物肥料项目领导者通过定期会议和即时沟通工具，指导团队应对危机，保持团队稳定运行。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随着危机得到初步控制，有机肥料及微生物肥料项目团队转向制定恢复计划，以确保有机肥料及微生物肥料项目能够从中迅速恢复。主要恢复计划包括：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修复受损的进度计划：重新评估有机肥料及微生物肥料项目进度，制定修复计划，确保有机肥料及微生物肥料项目尽快回归正常进程。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重新调整资源分配：优化资源分配，确保有机肥料及微生物肥料项目在有限资源下高效运转。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风险管理机制加强：对有机肥料及微生物肥料项目风险进行全面评估，制定更强化的风险管理策略，以预防未来可能的危机。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8173"/>
      <w:r>
        <w:rPr>
          <w:rFonts w:ascii="仿宋" w:eastAsia="仿宋" w:hAnsi="仿宋" w:cs="仿宋" w:hint="eastAsia"/>
          <w:sz w:val="28"/>
          <w:lang w:eastAsia="zh-CN"/>
        </w:rPr>
        <w:t>六、有机肥料及微生物肥料项目选址可行性分析</w:t>
      </w:r>
      <w:bookmarkEnd w:id="18"/>
    </w:p>
    <w:p>
      <w:pPr>
        <w:pStyle w:val="Heading2"/>
        <w:rPr>
          <w:rFonts w:ascii="仿宋" w:eastAsia="仿宋" w:hAnsi="仿宋" w:cs="仿宋" w:hint="eastAsia"/>
          <w:lang w:eastAsia="zh-CN"/>
        </w:rPr>
      </w:pPr>
      <w:bookmarkStart w:id="19" w:name="_Toc24541"/>
      <w:r>
        <w:rPr>
          <w:rFonts w:ascii="仿宋" w:eastAsia="仿宋" w:hAnsi="仿宋" w:cs="仿宋" w:hint="eastAsia"/>
          <w:lang w:eastAsia="zh-CN"/>
        </w:rPr>
        <w:t>(一)、有机肥料及微生物肥料项目选址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该有机肥料及微生物肥料项目选址位于XX省XX市XX区XXX街道</w:t>
      </w:r>
    </w:p>
    <w:p>
      <w:pPr>
        <w:pStyle w:val="Heading2"/>
        <w:ind w:firstLine="560" w:firstLineChars="200"/>
        <w:rPr>
          <w:rFonts w:ascii="仿宋" w:eastAsia="仿宋" w:hAnsi="仿宋" w:cs="仿宋" w:hint="eastAsia"/>
          <w:sz w:val="28"/>
          <w:lang w:eastAsia="zh-CN"/>
        </w:rPr>
      </w:pPr>
      <w:bookmarkStart w:id="20" w:name="_Toc15831"/>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有机肥料及微生物肥料项目的征地面积将根据有机肥料及微生物肥料项目的实际规模和需求进行精确规划。具体面积XXX平方米，旨在确保有机肥料及微生物肥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净用地面积是在征地面积基础上去除不可利用面积后的实际可开发用地。具体面积XXX平方米，考虑到环保、交通、安全等多方面因素，以确保有机肥料及微生物肥料项目在整体利用效率上达到最优。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有机肥料及微生物肥料项目计划建设的建筑总规模具体面积XXX平方米。这一规模的确定综合考虑了有机肥料及微生物肥料项目的性质、规模，以及城市规划的相关要求，确保建筑布局与周边环境协调一致。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https://d.book118.com/486203130211010031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2F3614"/>
    <w:rsid w:val="272F36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203130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2024-01-04T08:48:00Z</dcterms:created>
  <dcterms:modified xsi:type="dcterms:W3CDTF">2024-01-04T08:48:31Z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95C5EE3BD6324D21B39B2CE39892FBF1_11</vt:lpwstr>
  </property>
  <property fmtid="{D5CDD505-2E9C-101B-9397-08002B2CF9AE}" pid="3" name="KSOProductBuildVer">
    <vt:lpwstr>2052-12.1.0.16120</vt:lpwstr>
  </property>
</Properties>
</file>