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line="746" w:lineRule="exact"/>
        <w:ind w:left="0" w:right="1" w:firstLine="0"/>
        <w:jc w:val="center"/>
        <w:rPr>
          <w:rFonts w:ascii="Microsoft JhengHei" w:eastAsia="Microsoft JhengHei"/>
          <w:b/>
          <w:sz w:val="48"/>
        </w:rPr>
      </w:pPr>
      <w:r>
        <w:rPr>
          <w:rFonts w:ascii="Microsoft JhengHei" w:eastAsia="Microsoft JhengHei"/>
          <w:b/>
          <w:spacing w:val="-2"/>
          <w:sz w:val="48"/>
        </w:rPr>
        <w:t>公路接线工程</w:t>
      </w:r>
    </w:p>
    <w:p>
      <w:pPr>
        <w:pStyle w:val="BodyText"/>
        <w:spacing w:before="12"/>
        <w:rPr>
          <w:rFonts w:ascii="Microsoft JhengHei"/>
          <w:b/>
          <w:sz w:val="27"/>
        </w:rPr>
      </w:pPr>
    </w:p>
    <w:p>
      <w:pPr>
        <w:pStyle w:val="Title"/>
      </w:pPr>
      <w:r>
        <w:rPr>
          <w:spacing w:val="-1"/>
        </w:rPr>
        <w:t>拌合站安拆安全监理实施细则</w:t>
      </w:r>
    </w:p>
    <w:p>
      <w:pPr>
        <w:pStyle w:val="BodyText"/>
        <w:rPr>
          <w:rFonts w:ascii="Microsoft JhengHei"/>
          <w:b/>
          <w:sz w:val="56"/>
        </w:rPr>
      </w:pPr>
    </w:p>
    <w:p>
      <w:pPr>
        <w:pStyle w:val="BodyText"/>
        <w:rPr>
          <w:rFonts w:ascii="Microsoft JhengHei"/>
          <w:b/>
          <w:sz w:val="56"/>
        </w:rPr>
      </w:pPr>
    </w:p>
    <w:p>
      <w:pPr>
        <w:pStyle w:val="BodyText"/>
        <w:rPr>
          <w:rFonts w:ascii="Microsoft JhengHei"/>
          <w:b/>
          <w:sz w:val="56"/>
        </w:rPr>
      </w:pPr>
    </w:p>
    <w:p>
      <w:pPr>
        <w:pStyle w:val="BodyText"/>
        <w:rPr>
          <w:rFonts w:ascii="Microsoft JhengHei"/>
          <w:b/>
          <w:sz w:val="56"/>
        </w:rPr>
      </w:pPr>
    </w:p>
    <w:p>
      <w:pPr>
        <w:pStyle w:val="BodyText"/>
        <w:rPr>
          <w:rFonts w:ascii="Microsoft JhengHei"/>
          <w:b/>
          <w:sz w:val="56"/>
        </w:rPr>
      </w:pPr>
    </w:p>
    <w:p>
      <w:pPr>
        <w:pStyle w:val="BodyText"/>
        <w:spacing w:before="6"/>
        <w:rPr>
          <w:rFonts w:ascii="Microsoft JhengHei"/>
          <w:b/>
          <w:sz w:val="41"/>
        </w:rPr>
      </w:pPr>
    </w:p>
    <w:p>
      <w:pPr>
        <w:tabs>
          <w:tab w:val="left" w:pos="3001"/>
        </w:tabs>
        <w:spacing w:before="0"/>
        <w:ind w:left="2040" w:right="0" w:firstLine="0"/>
        <w:jc w:val="lef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-10"/>
          <w:sz w:val="32"/>
        </w:rPr>
        <w:t>编</w:t>
      </w:r>
      <w:r>
        <w:rPr>
          <w:rFonts w:ascii="Microsoft JhengHei" w:eastAsia="Microsoft JhengHei"/>
          <w:b/>
          <w:sz w:val="32"/>
        </w:rPr>
        <w:tab/>
        <w:t>制</w:t>
      </w:r>
      <w:r>
        <w:rPr>
          <w:rFonts w:ascii="Microsoft JhengHei" w:eastAsia="Microsoft JhengHei"/>
          <w:b/>
          <w:spacing w:val="-10"/>
          <w:sz w:val="32"/>
        </w:rPr>
        <w:t>：</w:t>
      </w:r>
    </w:p>
    <w:p>
      <w:pPr>
        <w:tabs>
          <w:tab w:val="left" w:pos="3001"/>
        </w:tabs>
        <w:spacing w:before="36"/>
        <w:ind w:left="2040" w:right="0" w:firstLine="0"/>
        <w:jc w:val="lef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-10"/>
          <w:sz w:val="32"/>
        </w:rPr>
        <w:t>审</w:t>
      </w:r>
      <w:r>
        <w:rPr>
          <w:rFonts w:ascii="Microsoft JhengHei" w:eastAsia="Microsoft JhengHei"/>
          <w:b/>
          <w:sz w:val="32"/>
        </w:rPr>
        <w:tab/>
        <w:t>核</w:t>
      </w:r>
      <w:r>
        <w:rPr>
          <w:rFonts w:ascii="Microsoft JhengHei" w:eastAsia="Microsoft JhengHei"/>
          <w:b/>
          <w:spacing w:val="-10"/>
          <w:sz w:val="32"/>
        </w:rPr>
        <w:t>：</w:t>
      </w:r>
    </w:p>
    <w:p>
      <w:pPr>
        <w:tabs>
          <w:tab w:val="left" w:pos="3001"/>
        </w:tabs>
        <w:spacing w:before="35"/>
        <w:ind w:left="2040" w:right="0" w:firstLine="0"/>
        <w:jc w:val="lef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-10"/>
          <w:sz w:val="32"/>
        </w:rPr>
        <w:t>批</w:t>
      </w:r>
      <w:r>
        <w:rPr>
          <w:rFonts w:ascii="Microsoft JhengHei" w:eastAsia="Microsoft JhengHei"/>
          <w:b/>
          <w:sz w:val="32"/>
        </w:rPr>
        <w:tab/>
        <w:t>准</w:t>
      </w:r>
      <w:r>
        <w:rPr>
          <w:rFonts w:ascii="Microsoft JhengHei" w:eastAsia="Microsoft JhengHei"/>
          <w:b/>
          <w:spacing w:val="-10"/>
          <w:sz w:val="32"/>
        </w:rPr>
        <w:t>：</w:t>
      </w:r>
    </w:p>
    <w:p>
      <w:pPr>
        <w:pStyle w:val="BodyText"/>
        <w:rPr>
          <w:rFonts w:ascii="Microsoft JhengHei"/>
          <w:b/>
          <w:sz w:val="32"/>
        </w:rPr>
      </w:pPr>
    </w:p>
    <w:p>
      <w:pPr>
        <w:pStyle w:val="BodyText"/>
        <w:spacing w:before="15"/>
        <w:rPr>
          <w:rFonts w:ascii="Microsoft JhengHei"/>
          <w:b/>
          <w:sz w:val="37"/>
        </w:rPr>
      </w:pPr>
    </w:p>
    <w:p>
      <w:pPr>
        <w:spacing w:before="0" w:line="254" w:lineRule="auto"/>
        <w:ind w:left="2746" w:right="2825" w:firstLine="0"/>
        <w:jc w:val="center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-2"/>
          <w:sz w:val="32"/>
        </w:rPr>
        <w:t>工程项目管理有限公司</w:t>
      </w:r>
      <w:r>
        <w:rPr>
          <w:rFonts w:ascii="Microsoft JhengHei" w:eastAsia="Microsoft JhengHei"/>
          <w:b/>
          <w:spacing w:val="-2"/>
          <w:sz w:val="32"/>
        </w:rPr>
        <w:t>公路接线工程</w:t>
      </w:r>
    </w:p>
    <w:p>
      <w:pPr>
        <w:spacing w:after="0" w:line="254" w:lineRule="auto"/>
        <w:jc w:val="center"/>
        <w:rPr>
          <w:rFonts w:ascii="Microsoft JhengHei" w:eastAsia="Microsoft JhengHei"/>
          <w:sz w:val="32"/>
        </w:rPr>
        <w:sectPr>
          <w:footerReference w:type="default" r:id="rId4"/>
          <w:type w:val="continuous"/>
          <w:pgSz w:w="11910" w:h="16840"/>
          <w:pgMar w:top="1720" w:right="1440" w:bottom="1160" w:left="1680" w:header="0" w:footer="970"/>
          <w:pgNumType w:start="1"/>
          <w:cols w:space="708"/>
        </w:sectPr>
      </w:pPr>
    </w:p>
    <w:p>
      <w:pPr>
        <w:spacing w:before="45"/>
        <w:ind w:left="0" w:right="239" w:firstLine="0"/>
        <w:jc w:val="center"/>
        <w:rPr>
          <w:rFonts w:ascii="宋体" w:eastAsia="宋体"/>
          <w:sz w:val="21"/>
        </w:rPr>
      </w:pPr>
      <w:r>
        <w:rPr>
          <w:rFonts w:ascii="宋体" w:eastAsia="宋体"/>
          <w:spacing w:val="-5"/>
          <w:sz w:val="21"/>
        </w:rPr>
        <w:t>目录</w:t>
      </w:r>
    </w:p>
    <w:p>
      <w:pPr>
        <w:tabs>
          <w:tab w:val="right" w:leader="dot" w:pos="8305"/>
        </w:tabs>
        <w:spacing w:before="49"/>
        <w:ind w:left="0" w:right="239" w:firstLine="0"/>
        <w:jc w:val="center"/>
        <w:rPr>
          <w:rFonts w:ascii="Calibri" w:eastAsia="Calibri" w:hAnsi="Calibri"/>
          <w:sz w:val="20"/>
        </w:rPr>
      </w:pPr>
      <w:hyperlink w:anchor="_bookmark0" w:history="1">
        <w:r>
          <w:rPr>
            <w:rFonts w:ascii="宋体" w:eastAsia="宋体" w:hAnsi="宋体"/>
            <w:sz w:val="20"/>
          </w:rPr>
          <w:t>—</w:t>
        </w:r>
        <w:r>
          <w:rPr>
            <w:rFonts w:ascii="宋体" w:eastAsia="宋体" w:hAnsi="宋体"/>
            <w:spacing w:val="50"/>
            <w:w w:val="150"/>
            <w:sz w:val="20"/>
          </w:rPr>
          <w:t xml:space="preserve"> </w:t>
        </w:r>
        <w:r>
          <w:rPr>
            <w:rFonts w:ascii="宋体" w:eastAsia="宋体" w:hAnsi="宋体"/>
            <w:sz w:val="20"/>
          </w:rPr>
          <w:t>、总</w:t>
        </w:r>
        <w:r>
          <w:rPr>
            <w:rFonts w:ascii="宋体" w:eastAsia="宋体" w:hAnsi="宋体"/>
            <w:spacing w:val="-10"/>
            <w:sz w:val="20"/>
          </w:rPr>
          <w:t>则</w:t>
        </w:r>
      </w:hyperlink>
      <w:r>
        <w:rPr>
          <w:rFonts w:ascii="Times New Roman" w:eastAsia="Times New Roman" w:hAnsi="Times New Roman"/>
          <w:sz w:val="20"/>
        </w:rPr>
        <w:tab/>
      </w:r>
      <w:hyperlink w:anchor="_bookmark0" w:history="1">
        <w:r>
          <w:rPr>
            <w:rFonts w:ascii="Calibri" w:eastAsia="Calibri" w:hAnsi="Calibri"/>
            <w:spacing w:val="-10"/>
            <w:sz w:val="20"/>
          </w:rPr>
          <w:t>2</w:t>
        </w:r>
      </w:hyperlink>
    </w:p>
    <w:p>
      <w:pPr>
        <w:tabs>
          <w:tab w:val="right" w:leader="dot" w:pos="8305"/>
        </w:tabs>
        <w:spacing w:before="56"/>
        <w:ind w:left="0" w:right="239" w:firstLine="0"/>
        <w:jc w:val="center"/>
        <w:rPr>
          <w:rFonts w:ascii="Calibri" w:eastAsia="Calibri"/>
          <w:sz w:val="20"/>
        </w:rPr>
      </w:pPr>
      <w:hyperlink w:anchor="_bookmark1" w:history="1">
        <w:r>
          <w:rPr>
            <w:rFonts w:ascii="宋体" w:eastAsia="宋体"/>
            <w:sz w:val="20"/>
          </w:rPr>
          <w:t>二、编制依</w:t>
        </w:r>
        <w:r>
          <w:rPr>
            <w:rFonts w:ascii="宋体" w:eastAsia="宋体"/>
            <w:spacing w:val="-10"/>
            <w:sz w:val="20"/>
          </w:rPr>
          <w:t>据</w:t>
        </w:r>
      </w:hyperlink>
      <w:r>
        <w:rPr>
          <w:rFonts w:ascii="Times New Roman" w:eastAsia="Times New Roman"/>
          <w:sz w:val="20"/>
        </w:rPr>
        <w:tab/>
      </w:r>
      <w:hyperlink w:anchor="_bookmark1" w:history="1">
        <w:r>
          <w:rPr>
            <w:rFonts w:ascii="Calibri" w:eastAsia="Calibri"/>
            <w:spacing w:val="-10"/>
            <w:sz w:val="20"/>
          </w:rPr>
          <w:t>3</w:t>
        </w:r>
      </w:hyperlink>
    </w:p>
    <w:p>
      <w:pPr>
        <w:tabs>
          <w:tab w:val="right" w:leader="dot" w:pos="8305"/>
        </w:tabs>
        <w:spacing w:before="56"/>
        <w:ind w:left="0" w:right="239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三、工程概</w:t>
      </w:r>
      <w:r>
        <w:rPr>
          <w:rFonts w:ascii="宋体" w:eastAsia="宋体"/>
          <w:spacing w:val="-10"/>
          <w:sz w:val="20"/>
        </w:rPr>
        <w:t>况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10"/>
          <w:sz w:val="20"/>
        </w:rPr>
        <w:t>4</w:t>
      </w:r>
    </w:p>
    <w:p>
      <w:pPr>
        <w:tabs>
          <w:tab w:val="right" w:leader="dot" w:pos="8305"/>
        </w:tabs>
        <w:spacing w:before="55"/>
        <w:ind w:left="0" w:right="239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四、安全监理管理目</w:t>
      </w:r>
      <w:r>
        <w:rPr>
          <w:rFonts w:ascii="宋体" w:eastAsia="宋体"/>
          <w:spacing w:val="-10"/>
          <w:sz w:val="20"/>
        </w:rPr>
        <w:t>标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10"/>
          <w:sz w:val="20"/>
        </w:rPr>
        <w:t>5</w:t>
      </w:r>
    </w:p>
    <w:p>
      <w:pPr>
        <w:tabs>
          <w:tab w:val="right" w:leader="dot" w:pos="8305"/>
        </w:tabs>
        <w:spacing w:before="56"/>
        <w:ind w:left="0" w:right="239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五、组织机构与职责权</w:t>
      </w:r>
      <w:r>
        <w:rPr>
          <w:rFonts w:ascii="宋体" w:eastAsia="宋体"/>
          <w:spacing w:val="-10"/>
          <w:sz w:val="20"/>
        </w:rPr>
        <w:t>限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10"/>
          <w:sz w:val="20"/>
        </w:rPr>
        <w:t>6</w:t>
      </w:r>
    </w:p>
    <w:p>
      <w:pPr>
        <w:tabs>
          <w:tab w:val="right" w:leader="dot" w:pos="8305"/>
        </w:tabs>
        <w:spacing w:before="56"/>
        <w:ind w:left="0" w:right="239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六、 拌合站安拆安全监理内容及要点</w:t>
      </w:r>
      <w:r>
        <w:rPr>
          <w:rFonts w:ascii="宋体" w:eastAsia="宋体"/>
          <w:spacing w:val="-10"/>
          <w:sz w:val="20"/>
        </w:rPr>
        <w:t>：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10"/>
          <w:sz w:val="20"/>
        </w:rPr>
        <w:t>8</w:t>
      </w:r>
    </w:p>
    <w:p>
      <w:pPr>
        <w:tabs>
          <w:tab w:val="right" w:leader="dot" w:pos="8305"/>
        </w:tabs>
        <w:spacing w:before="56"/>
        <w:ind w:left="0" w:right="237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八、安全及环保措</w:t>
      </w:r>
      <w:r>
        <w:rPr>
          <w:rFonts w:ascii="宋体" w:eastAsia="宋体"/>
          <w:spacing w:val="-10"/>
          <w:sz w:val="20"/>
        </w:rPr>
        <w:t>施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5"/>
          <w:sz w:val="20"/>
        </w:rPr>
        <w:t>12</w:t>
      </w:r>
    </w:p>
    <w:p>
      <w:pPr>
        <w:tabs>
          <w:tab w:val="right" w:leader="dot" w:pos="8305"/>
        </w:tabs>
        <w:spacing w:before="55"/>
        <w:ind w:left="0" w:right="237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九、拌合站安拆施工安全监理方法、措</w:t>
      </w:r>
      <w:r>
        <w:rPr>
          <w:rFonts w:ascii="宋体" w:eastAsia="宋体"/>
          <w:spacing w:val="-10"/>
          <w:sz w:val="20"/>
        </w:rPr>
        <w:t>施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5"/>
          <w:sz w:val="20"/>
        </w:rPr>
        <w:t>13</w:t>
      </w:r>
    </w:p>
    <w:p>
      <w:pPr>
        <w:tabs>
          <w:tab w:val="right" w:leader="dot" w:pos="8305"/>
        </w:tabs>
        <w:spacing w:before="56"/>
        <w:ind w:left="0" w:right="237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十、危险因素分</w:t>
      </w:r>
      <w:r>
        <w:rPr>
          <w:rFonts w:ascii="宋体" w:eastAsia="宋体"/>
          <w:spacing w:val="-10"/>
          <w:sz w:val="20"/>
        </w:rPr>
        <w:t>析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5"/>
          <w:sz w:val="20"/>
        </w:rPr>
        <w:t>17</w:t>
      </w:r>
    </w:p>
    <w:p>
      <w:pPr>
        <w:tabs>
          <w:tab w:val="right" w:leader="dot" w:pos="8305"/>
        </w:tabs>
        <w:spacing w:before="56"/>
        <w:ind w:left="0" w:right="237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十一、拌合站安拆安全应急响</w:t>
      </w:r>
      <w:r>
        <w:rPr>
          <w:rFonts w:ascii="宋体" w:eastAsia="宋体"/>
          <w:spacing w:val="-10"/>
          <w:sz w:val="20"/>
        </w:rPr>
        <w:t>应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5"/>
          <w:sz w:val="20"/>
        </w:rPr>
        <w:t>18</w:t>
      </w:r>
    </w:p>
    <w:p>
      <w:pPr>
        <w:tabs>
          <w:tab w:val="right" w:leader="dot" w:pos="8305"/>
        </w:tabs>
        <w:spacing w:before="56"/>
        <w:ind w:left="0" w:right="237" w:firstLine="0"/>
        <w:jc w:val="center"/>
        <w:rPr>
          <w:rFonts w:ascii="Calibri" w:eastAsia="Calibri"/>
          <w:sz w:val="20"/>
        </w:rPr>
      </w:pPr>
      <w:r>
        <w:rPr>
          <w:rFonts w:ascii="宋体" w:eastAsia="宋体"/>
          <w:sz w:val="20"/>
        </w:rPr>
        <w:t>十二、安全保证体系框</w:t>
      </w:r>
      <w:r>
        <w:rPr>
          <w:rFonts w:ascii="宋体" w:eastAsia="宋体"/>
          <w:spacing w:val="-10"/>
          <w:sz w:val="20"/>
        </w:rPr>
        <w:t>图</w:t>
      </w:r>
      <w:r>
        <w:rPr>
          <w:rFonts w:ascii="Times New Roman" w:eastAsia="Times New Roman"/>
          <w:sz w:val="20"/>
        </w:rPr>
        <w:tab/>
      </w:r>
      <w:r>
        <w:rPr>
          <w:rFonts w:ascii="Calibri" w:eastAsia="Calibri"/>
          <w:spacing w:val="-5"/>
          <w:sz w:val="20"/>
        </w:rPr>
        <w:t>21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1"/>
        <w:rPr>
          <w:rFonts w:ascii="Calibri"/>
          <w:sz w:val="32"/>
        </w:rPr>
      </w:pPr>
    </w:p>
    <w:p>
      <w:pPr>
        <w:tabs>
          <w:tab w:val="left" w:pos="599"/>
        </w:tabs>
        <w:spacing w:before="0"/>
        <w:ind w:left="120" w:right="0" w:firstLine="0"/>
        <w:jc w:val="left"/>
        <w:rPr>
          <w:rFonts w:ascii="宋体" w:eastAsia="宋体" w:hAnsi="宋体"/>
          <w:sz w:val="24"/>
        </w:rPr>
      </w:pPr>
      <w:bookmarkStart w:id="0" w:name="_bookmark0"/>
      <w:bookmarkEnd w:id="0"/>
      <w:r>
        <w:rPr>
          <w:rFonts w:ascii="宋体" w:eastAsia="宋体" w:hAnsi="宋体"/>
          <w:spacing w:val="-10"/>
          <w:sz w:val="24"/>
        </w:rPr>
        <w:t>—</w:t>
      </w:r>
      <w:r>
        <w:rPr>
          <w:rFonts w:ascii="宋体" w:eastAsia="宋体" w:hAnsi="宋体"/>
          <w:sz w:val="24"/>
        </w:rPr>
        <w:tab/>
      </w:r>
      <w:r>
        <w:rPr>
          <w:rFonts w:ascii="宋体" w:eastAsia="宋体" w:hAnsi="宋体"/>
          <w:spacing w:val="-4"/>
          <w:sz w:val="24"/>
        </w:rPr>
        <w:t>、总则</w:t>
      </w:r>
    </w:p>
    <w:p>
      <w:pPr>
        <w:pStyle w:val="BodyText"/>
        <w:rPr>
          <w:rFonts w:ascii="宋体"/>
          <w:sz w:val="24"/>
        </w:rPr>
      </w:pPr>
    </w:p>
    <w:p>
      <w:pPr>
        <w:pStyle w:val="BodyText"/>
        <w:spacing w:before="4"/>
        <w:rPr>
          <w:rFonts w:ascii="宋体"/>
          <w:sz w:val="29"/>
        </w:rPr>
      </w:pPr>
    </w:p>
    <w:p>
      <w:pPr>
        <w:pStyle w:val="BodyText"/>
        <w:spacing w:before="1" w:line="417" w:lineRule="auto"/>
        <w:ind w:left="120" w:right="265" w:firstLine="560"/>
      </w:pPr>
      <w:r>
        <w:rPr>
          <w:spacing w:val="-1"/>
        </w:rPr>
        <w:t>为了更好贯彻落实以人为本的思想理念，坚决执行“安全第一、</w:t>
      </w:r>
      <w:r>
        <w:t>预防为主、综合治理”安全生产工作方针，因此为加强 接线工程项</w:t>
      </w:r>
      <w:r>
        <w:rPr>
          <w:spacing w:val="-7"/>
        </w:rPr>
        <w:t>目施工过程中的安全监理工作，规范总监办的安全监理行为和安全监</w:t>
      </w:r>
      <w:r>
        <w:rPr>
          <w:spacing w:val="5"/>
        </w:rPr>
        <w:t>理过程，从而对施工过程中重大危险源及安全隐患进行有效控制，</w:t>
      </w:r>
      <w:r>
        <w:t>达到把一切安全生产隐患消灭在萌芽状态的目的，实现安全生产零事故、零死亡的终极目标，特制订本监理细则。</w:t>
      </w:r>
    </w:p>
    <w:p>
      <w:pPr>
        <w:spacing w:after="0" w:line="417" w:lineRule="auto"/>
        <w:sectPr>
          <w:footerReference w:type="default" r:id="rId5"/>
          <w:pgSz w:w="11910" w:h="16840"/>
          <w:pgMar w:top="1400" w:right="1440" w:bottom="1160" w:left="1680" w:header="0" w:footer="970"/>
          <w:pgNumType w:start="2"/>
          <w:cols w:space="708"/>
        </w:sectPr>
      </w:pPr>
    </w:p>
    <w:p>
      <w:pPr>
        <w:spacing w:before="44"/>
        <w:ind w:left="120" w:right="0" w:firstLine="0"/>
        <w:jc w:val="left"/>
        <w:rPr>
          <w:rFonts w:ascii="宋体" w:eastAsia="宋体"/>
          <w:sz w:val="24"/>
        </w:rPr>
      </w:pPr>
      <w:bookmarkStart w:id="1" w:name="_bookmark1"/>
      <w:bookmarkEnd w:id="1"/>
      <w:r>
        <w:rPr>
          <w:rFonts w:ascii="宋体" w:eastAsia="宋体"/>
          <w:spacing w:val="-2"/>
          <w:sz w:val="24"/>
        </w:rPr>
        <w:t>二、编制依据</w:t>
      </w:r>
    </w:p>
    <w:p>
      <w:pPr>
        <w:pStyle w:val="BodyText"/>
        <w:rPr>
          <w:rFonts w:ascii="宋体"/>
          <w:sz w:val="24"/>
        </w:rPr>
      </w:pPr>
    </w:p>
    <w:p>
      <w:pPr>
        <w:pStyle w:val="BodyText"/>
        <w:spacing w:before="5"/>
        <w:rPr>
          <w:rFonts w:ascii="宋体"/>
          <w:sz w:val="29"/>
        </w:rPr>
      </w:pPr>
    </w:p>
    <w:p>
      <w:pPr>
        <w:pStyle w:val="ListParagraph"/>
        <w:numPr>
          <w:ilvl w:val="0"/>
          <w:numId w:val="10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10"/>
          <w:sz w:val="28"/>
        </w:rPr>
        <w:t>《中华人民共和国安全生产法》</w:t>
      </w:r>
      <w:r>
        <w:rPr>
          <w:sz w:val="28"/>
        </w:rPr>
        <w:t>（2014</w:t>
      </w:r>
      <w:r>
        <w:rPr>
          <w:spacing w:val="-51"/>
          <w:sz w:val="28"/>
        </w:rPr>
        <w:t xml:space="preserve"> 年 </w:t>
      </w:r>
      <w:r>
        <w:rPr>
          <w:sz w:val="28"/>
        </w:rPr>
        <w:t>12</w:t>
      </w:r>
      <w:r>
        <w:rPr>
          <w:spacing w:val="-51"/>
          <w:sz w:val="28"/>
        </w:rPr>
        <w:t xml:space="preserve"> 月 </w:t>
      </w:r>
      <w:r>
        <w:rPr>
          <w:sz w:val="28"/>
        </w:rPr>
        <w:t>1</w:t>
      </w:r>
      <w:r>
        <w:rPr>
          <w:spacing w:val="-16"/>
          <w:sz w:val="28"/>
        </w:rPr>
        <w:t xml:space="preserve"> 日起施行</w:t>
      </w:r>
      <w:r>
        <w:rPr>
          <w:spacing w:val="-10"/>
          <w:sz w:val="28"/>
        </w:rPr>
        <w:t>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381"/>
        </w:tabs>
        <w:spacing w:before="0" w:after="0" w:line="417" w:lineRule="auto"/>
        <w:ind w:left="120" w:right="358" w:firstLine="560"/>
        <w:jc w:val="left"/>
        <w:rPr>
          <w:sz w:val="28"/>
        </w:rPr>
      </w:pPr>
      <w:r>
        <w:rPr>
          <w:spacing w:val="-9"/>
          <w:sz w:val="28"/>
        </w:rPr>
        <w:t>《中华人民共和国环境影响评价法》</w:t>
      </w:r>
      <w:r>
        <w:rPr>
          <w:sz w:val="28"/>
        </w:rPr>
        <w:t>（2003</w:t>
      </w:r>
      <w:r>
        <w:rPr>
          <w:spacing w:val="-36"/>
          <w:sz w:val="28"/>
        </w:rPr>
        <w:t xml:space="preserve"> 年 </w:t>
      </w:r>
      <w:r>
        <w:rPr>
          <w:sz w:val="28"/>
        </w:rPr>
        <w:t>9</w:t>
      </w:r>
      <w:r>
        <w:rPr>
          <w:spacing w:val="-37"/>
          <w:sz w:val="28"/>
        </w:rPr>
        <w:t xml:space="preserve"> 月 </w:t>
      </w:r>
      <w:r>
        <w:rPr>
          <w:sz w:val="28"/>
        </w:rPr>
        <w:t>1</w:t>
      </w:r>
      <w:r>
        <w:rPr>
          <w:spacing w:val="-18"/>
          <w:sz w:val="28"/>
        </w:rPr>
        <w:t xml:space="preserve"> 日起</w:t>
      </w:r>
      <w:r>
        <w:rPr>
          <w:spacing w:val="-4"/>
          <w:sz w:val="28"/>
        </w:rPr>
        <w:t>实施）</w:t>
      </w:r>
    </w:p>
    <w:p>
      <w:pPr>
        <w:pStyle w:val="ListParagraph"/>
        <w:numPr>
          <w:ilvl w:val="0"/>
          <w:numId w:val="10"/>
        </w:numPr>
        <w:tabs>
          <w:tab w:val="left" w:pos="1381"/>
        </w:tabs>
        <w:spacing w:before="0" w:after="0" w:line="358" w:lineRule="exact"/>
        <w:ind w:left="1381" w:right="0" w:hanging="701"/>
        <w:jc w:val="left"/>
        <w:rPr>
          <w:sz w:val="28"/>
        </w:rPr>
      </w:pPr>
      <w:r>
        <w:rPr>
          <w:spacing w:val="-10"/>
          <w:sz w:val="28"/>
        </w:rPr>
        <w:t>《中华人民共和国职业病防治法》</w:t>
      </w:r>
      <w:r>
        <w:rPr>
          <w:sz w:val="28"/>
        </w:rPr>
        <w:t>（2002</w:t>
      </w:r>
      <w:r>
        <w:rPr>
          <w:spacing w:val="-33"/>
          <w:sz w:val="28"/>
        </w:rPr>
        <w:t xml:space="preserve"> 年</w:t>
      </w:r>
      <w:r>
        <w:rPr>
          <w:sz w:val="28"/>
        </w:rPr>
        <w:t>5</w:t>
      </w:r>
      <w:r>
        <w:rPr>
          <w:spacing w:val="-34"/>
          <w:sz w:val="28"/>
        </w:rPr>
        <w:t xml:space="preserve"> 月</w:t>
      </w:r>
      <w:r>
        <w:rPr>
          <w:sz w:val="28"/>
        </w:rPr>
        <w:t>1</w:t>
      </w:r>
      <w:r>
        <w:rPr>
          <w:spacing w:val="-22"/>
          <w:sz w:val="28"/>
        </w:rPr>
        <w:t xml:space="preserve"> 日起实施</w:t>
      </w:r>
      <w:r>
        <w:rPr>
          <w:spacing w:val="-10"/>
          <w:sz w:val="28"/>
        </w:rPr>
        <w:t>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12"/>
          <w:sz w:val="28"/>
        </w:rPr>
        <w:t>《 省安全生产管理条例》</w:t>
      </w:r>
      <w:r>
        <w:rPr>
          <w:sz w:val="28"/>
        </w:rPr>
        <w:t>（2014</w:t>
      </w:r>
      <w:r>
        <w:rPr>
          <w:spacing w:val="-47"/>
          <w:sz w:val="28"/>
        </w:rPr>
        <w:t xml:space="preserve"> 年 </w:t>
      </w:r>
      <w:r>
        <w:rPr>
          <w:sz w:val="28"/>
        </w:rPr>
        <w:t>1</w:t>
      </w:r>
      <w:r>
        <w:rPr>
          <w:spacing w:val="-47"/>
          <w:sz w:val="28"/>
        </w:rPr>
        <w:t xml:space="preserve"> 月 </w:t>
      </w:r>
      <w:r>
        <w:rPr>
          <w:sz w:val="28"/>
        </w:rPr>
        <w:t>1</w:t>
      </w:r>
      <w:r>
        <w:rPr>
          <w:spacing w:val="-15"/>
          <w:sz w:val="28"/>
        </w:rPr>
        <w:t xml:space="preserve"> 日起施行</w:t>
      </w:r>
      <w:r>
        <w:rPr>
          <w:spacing w:val="-10"/>
          <w:sz w:val="28"/>
        </w:rPr>
        <w:t>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z w:val="28"/>
        </w:rPr>
        <w:t xml:space="preserve">《 </w:t>
      </w:r>
      <w:hyperlink r:id="rId6">
        <w:r>
          <w:rPr>
            <w:sz w:val="28"/>
          </w:rPr>
          <w:t>省环境保护条例</w:t>
        </w:r>
      </w:hyperlink>
      <w:r>
        <w:rPr>
          <w:spacing w:val="-140"/>
          <w:sz w:val="28"/>
        </w:rPr>
        <w:t>》</w:t>
      </w:r>
      <w:r>
        <w:rPr>
          <w:sz w:val="28"/>
        </w:rPr>
        <w:t>（2005</w:t>
      </w:r>
      <w:r>
        <w:rPr>
          <w:spacing w:val="-47"/>
          <w:sz w:val="28"/>
        </w:rPr>
        <w:t xml:space="preserve"> 年 </w:t>
      </w:r>
      <w:r>
        <w:rPr>
          <w:sz w:val="28"/>
        </w:rPr>
        <w:t>1</w:t>
      </w:r>
      <w:r>
        <w:rPr>
          <w:spacing w:val="-47"/>
          <w:sz w:val="28"/>
        </w:rPr>
        <w:t xml:space="preserve"> 月 </w:t>
      </w:r>
      <w:r>
        <w:rPr>
          <w:sz w:val="28"/>
        </w:rPr>
        <w:t>1</w:t>
      </w:r>
      <w:r>
        <w:rPr>
          <w:spacing w:val="-15"/>
          <w:sz w:val="28"/>
        </w:rPr>
        <w:t xml:space="preserve"> 日起施行</w:t>
      </w:r>
      <w:r>
        <w:rPr>
          <w:spacing w:val="-10"/>
          <w:sz w:val="28"/>
        </w:rPr>
        <w:t>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12"/>
          <w:sz w:val="28"/>
        </w:rPr>
        <w:t>《 省特种设备安全条例》</w:t>
      </w:r>
      <w:r>
        <w:rPr>
          <w:sz w:val="28"/>
        </w:rPr>
        <w:t>（2015</w:t>
      </w:r>
      <w:r>
        <w:rPr>
          <w:spacing w:val="-47"/>
          <w:sz w:val="28"/>
        </w:rPr>
        <w:t xml:space="preserve"> 年 </w:t>
      </w:r>
      <w:r>
        <w:rPr>
          <w:sz w:val="28"/>
        </w:rPr>
        <w:t>10</w:t>
      </w:r>
      <w:r>
        <w:rPr>
          <w:spacing w:val="-47"/>
          <w:sz w:val="28"/>
        </w:rPr>
        <w:t xml:space="preserve"> 月 </w:t>
      </w:r>
      <w:r>
        <w:rPr>
          <w:sz w:val="28"/>
        </w:rPr>
        <w:t>1</w:t>
      </w:r>
      <w:r>
        <w:rPr>
          <w:spacing w:val="-18"/>
          <w:sz w:val="28"/>
        </w:rPr>
        <w:t xml:space="preserve"> 日施行</w:t>
      </w:r>
      <w:r>
        <w:rPr>
          <w:spacing w:val="-10"/>
          <w:sz w:val="28"/>
        </w:rPr>
        <w:t>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z w:val="28"/>
        </w:rPr>
        <w:t>《公路工程施工安全技术规范》(JTGF9—</w:t>
      </w:r>
      <w:r>
        <w:rPr>
          <w:spacing w:val="-2"/>
          <w:sz w:val="28"/>
        </w:rPr>
        <w:t>2015）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11"/>
          <w:sz w:val="28"/>
        </w:rPr>
        <w:t>《公路项目安全性评价规范》</w:t>
      </w:r>
      <w:r>
        <w:rPr>
          <w:sz w:val="28"/>
        </w:rPr>
        <w:t>（JTGB05—</w:t>
      </w:r>
      <w:r>
        <w:rPr>
          <w:spacing w:val="-2"/>
          <w:sz w:val="28"/>
        </w:rPr>
        <w:t>2015)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383"/>
        </w:tabs>
        <w:spacing w:before="0" w:after="0" w:line="417" w:lineRule="auto"/>
        <w:ind w:left="120" w:right="358" w:firstLine="560"/>
        <w:jc w:val="left"/>
        <w:rPr>
          <w:sz w:val="28"/>
        </w:rPr>
      </w:pPr>
      <w:r>
        <w:rPr>
          <w:spacing w:val="-10"/>
          <w:sz w:val="28"/>
        </w:rPr>
        <w:t>《公路水运工程安全生产监督管理办法》</w:t>
      </w:r>
      <w:r>
        <w:rPr>
          <w:spacing w:val="-2"/>
          <w:sz w:val="28"/>
        </w:rPr>
        <w:t>（中华人民共和</w:t>
      </w:r>
      <w:r>
        <w:rPr>
          <w:spacing w:val="-6"/>
          <w:sz w:val="28"/>
        </w:rPr>
        <w:t xml:space="preserve">国交通运输部令 </w:t>
      </w:r>
      <w:r>
        <w:rPr>
          <w:sz w:val="28"/>
        </w:rPr>
        <w:t>25</w:t>
      </w:r>
      <w:r>
        <w:rPr>
          <w:spacing w:val="-24"/>
          <w:sz w:val="28"/>
        </w:rPr>
        <w:t xml:space="preserve"> 号</w:t>
      </w:r>
      <w:r>
        <w:rPr>
          <w:sz w:val="28"/>
        </w:rPr>
        <w:t>，2017</w:t>
      </w:r>
      <w:r>
        <w:rPr>
          <w:spacing w:val="-32"/>
          <w:sz w:val="28"/>
        </w:rPr>
        <w:t xml:space="preserve"> 年 </w:t>
      </w:r>
      <w:r>
        <w:rPr>
          <w:sz w:val="28"/>
        </w:rPr>
        <w:t>8</w:t>
      </w:r>
      <w:r>
        <w:rPr>
          <w:spacing w:val="-32"/>
          <w:sz w:val="28"/>
        </w:rPr>
        <w:t xml:space="preserve"> 月 </w:t>
      </w:r>
      <w:r>
        <w:rPr>
          <w:sz w:val="28"/>
        </w:rPr>
        <w:t>1</w:t>
      </w:r>
      <w:r>
        <w:rPr>
          <w:spacing w:val="-10"/>
          <w:sz w:val="28"/>
        </w:rPr>
        <w:t xml:space="preserve"> 日起实行</w:t>
      </w:r>
      <w:r>
        <w:rPr>
          <w:sz w:val="28"/>
        </w:rPr>
        <w:t>）</w:t>
      </w:r>
    </w:p>
    <w:p>
      <w:pPr>
        <w:pStyle w:val="ListParagraph"/>
        <w:numPr>
          <w:ilvl w:val="0"/>
          <w:numId w:val="10"/>
        </w:numPr>
        <w:tabs>
          <w:tab w:val="left" w:pos="1521"/>
        </w:tabs>
        <w:spacing w:before="0" w:after="0" w:line="358" w:lineRule="exact"/>
        <w:ind w:left="1521" w:right="0" w:hanging="841"/>
        <w:jc w:val="left"/>
        <w:rPr>
          <w:sz w:val="28"/>
        </w:rPr>
      </w:pPr>
      <w:r>
        <w:rPr>
          <w:sz w:val="28"/>
        </w:rPr>
        <w:t>《关于加强公路水运工程质量和安全管理工作的若干意见》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t>（交安监发[2014]233</w:t>
      </w:r>
      <w:r>
        <w:rPr>
          <w:spacing w:val="-35"/>
        </w:rPr>
        <w:t xml:space="preserve"> 号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523"/>
        </w:tabs>
        <w:spacing w:before="0" w:after="0" w:line="417" w:lineRule="auto"/>
        <w:ind w:left="120" w:right="358" w:firstLine="560"/>
        <w:jc w:val="left"/>
        <w:rPr>
          <w:sz w:val="28"/>
        </w:rPr>
      </w:pPr>
      <w:r>
        <w:rPr>
          <w:spacing w:val="-2"/>
          <w:sz w:val="28"/>
        </w:rPr>
        <w:t>《交通运输部关于印发公路水运工程建设重大事故隐患</w:t>
      </w:r>
      <w:r>
        <w:rPr>
          <w:spacing w:val="-14"/>
          <w:sz w:val="28"/>
        </w:rPr>
        <w:t>清单管理制度的通知》</w:t>
      </w:r>
      <w:r>
        <w:rPr>
          <w:sz w:val="28"/>
        </w:rPr>
        <w:t>（交安监发[2015]156</w:t>
      </w:r>
      <w:r>
        <w:rPr>
          <w:spacing w:val="-21"/>
          <w:sz w:val="28"/>
        </w:rPr>
        <w:t xml:space="preserve"> 号</w:t>
      </w:r>
      <w:r>
        <w:rPr>
          <w:sz w:val="28"/>
        </w:rPr>
        <w:t>）</w:t>
      </w:r>
    </w:p>
    <w:p>
      <w:pPr>
        <w:pStyle w:val="ListParagraph"/>
        <w:numPr>
          <w:ilvl w:val="0"/>
          <w:numId w:val="10"/>
        </w:numPr>
        <w:tabs>
          <w:tab w:val="left" w:pos="1523"/>
        </w:tabs>
        <w:spacing w:before="0" w:after="0" w:line="417" w:lineRule="auto"/>
        <w:ind w:left="120" w:right="358" w:firstLine="560"/>
        <w:jc w:val="left"/>
        <w:rPr>
          <w:sz w:val="28"/>
        </w:rPr>
      </w:pPr>
      <w:r>
        <w:rPr>
          <w:spacing w:val="-2"/>
          <w:sz w:val="28"/>
        </w:rPr>
        <w:t>《交通运输部关于印发交通运输系统“平安交通”创建</w:t>
      </w:r>
      <w:r>
        <w:rPr>
          <w:spacing w:val="-14"/>
          <w:sz w:val="28"/>
        </w:rPr>
        <w:t>活动实施方案的通知》</w:t>
      </w:r>
      <w:r>
        <w:rPr>
          <w:sz w:val="28"/>
        </w:rPr>
        <w:t>（交安监发〔213〕116 号）</w:t>
      </w:r>
    </w:p>
    <w:p>
      <w:pPr>
        <w:pStyle w:val="ListParagraph"/>
        <w:numPr>
          <w:ilvl w:val="0"/>
          <w:numId w:val="10"/>
        </w:numPr>
        <w:tabs>
          <w:tab w:val="left" w:pos="1521"/>
        </w:tabs>
        <w:spacing w:before="0" w:after="0" w:line="358" w:lineRule="exact"/>
        <w:ind w:left="1521" w:right="0" w:hanging="841"/>
        <w:jc w:val="left"/>
        <w:rPr>
          <w:sz w:val="28"/>
        </w:rPr>
      </w:pPr>
      <w:r>
        <w:rPr>
          <w:spacing w:val="-1"/>
          <w:sz w:val="28"/>
        </w:rPr>
        <w:t>《交通运输部高速公路建设标准化管理指南》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521"/>
        </w:tabs>
        <w:spacing w:before="0" w:after="0" w:line="240" w:lineRule="auto"/>
        <w:ind w:left="1521" w:right="0" w:hanging="841"/>
        <w:jc w:val="left"/>
        <w:rPr>
          <w:sz w:val="28"/>
        </w:rPr>
      </w:pPr>
      <w:r>
        <w:rPr>
          <w:spacing w:val="-1"/>
          <w:sz w:val="28"/>
        </w:rPr>
        <w:t>《 省公路工程平安工地建设考核评分标准》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1521"/>
        </w:tabs>
        <w:spacing w:before="0" w:after="0" w:line="240" w:lineRule="auto"/>
        <w:ind w:left="1521" w:right="0" w:hanging="841"/>
        <w:jc w:val="left"/>
        <w:rPr>
          <w:sz w:val="28"/>
        </w:rPr>
      </w:pPr>
      <w:r>
        <w:rPr>
          <w:sz w:val="28"/>
        </w:rPr>
        <w:t>《 省高速公路建设标准化管理规定（试行</w:t>
      </w:r>
      <w:r>
        <w:rPr>
          <w:spacing w:val="-140"/>
          <w:sz w:val="28"/>
        </w:rPr>
        <w:t>）</w:t>
      </w:r>
      <w:r>
        <w:rPr>
          <w:spacing w:val="-10"/>
          <w:sz w:val="28"/>
        </w:rPr>
        <w:t>》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600" w:right="1440" w:bottom="1160" w:left="1680" w:header="0" w:footer="970"/>
          <w:pgNumType w:start="3"/>
          <w:cols w:space="708"/>
        </w:sectPr>
      </w:pP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37" w:after="0" w:line="240" w:lineRule="auto"/>
        <w:ind w:left="1521" w:right="0" w:hanging="841"/>
        <w:jc w:val="left"/>
        <w:rPr>
          <w:sz w:val="28"/>
        </w:rPr>
      </w:pPr>
      <w:r>
        <w:rPr>
          <w:spacing w:val="-1"/>
          <w:sz w:val="28"/>
        </w:rPr>
        <w:t>法律、法规和规范性文件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1" w:after="0" w:line="240" w:lineRule="auto"/>
        <w:ind w:left="1521" w:right="0" w:hanging="841"/>
        <w:jc w:val="left"/>
        <w:rPr>
          <w:sz w:val="28"/>
        </w:rPr>
      </w:pPr>
      <w:r>
        <w:rPr>
          <w:spacing w:val="-1"/>
          <w:sz w:val="28"/>
        </w:rPr>
        <w:t>合同文件、设计图纸、专项施工方案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1" w:after="0" w:line="240" w:lineRule="auto"/>
        <w:ind w:left="1521" w:right="0" w:hanging="841"/>
        <w:jc w:val="left"/>
        <w:rPr>
          <w:sz w:val="28"/>
        </w:rPr>
      </w:pPr>
      <w:r>
        <w:rPr>
          <w:sz w:val="28"/>
        </w:rPr>
        <w:t>《建筑施工安全检查标准》(JGJ59-</w:t>
      </w:r>
      <w:r>
        <w:rPr>
          <w:spacing w:val="-2"/>
          <w:sz w:val="28"/>
        </w:rPr>
        <w:t>2011)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1" w:after="0" w:line="240" w:lineRule="auto"/>
        <w:ind w:left="1521" w:right="0" w:hanging="841"/>
        <w:jc w:val="left"/>
        <w:rPr>
          <w:sz w:val="28"/>
        </w:rPr>
      </w:pPr>
      <w:r>
        <w:rPr>
          <w:sz w:val="28"/>
        </w:rPr>
        <w:t>《混凝土搅拌站（楼</w:t>
      </w:r>
      <w:r>
        <w:rPr>
          <w:spacing w:val="-140"/>
          <w:sz w:val="28"/>
        </w:rPr>
        <w:t>）</w:t>
      </w:r>
      <w:r>
        <w:rPr>
          <w:sz w:val="28"/>
        </w:rPr>
        <w:t>》(GB/T1071-</w:t>
      </w:r>
      <w:r>
        <w:rPr>
          <w:spacing w:val="-2"/>
          <w:sz w:val="28"/>
        </w:rPr>
        <w:t>2005)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1" w:after="0" w:line="240" w:lineRule="auto"/>
        <w:ind w:left="1521" w:right="0" w:hanging="841"/>
        <w:jc w:val="left"/>
        <w:rPr>
          <w:sz w:val="28"/>
        </w:rPr>
      </w:pPr>
      <w:r>
        <w:rPr>
          <w:sz w:val="28"/>
        </w:rPr>
        <w:t>《混凝土搅拌机标准》(GB/T9142-</w:t>
      </w:r>
      <w:r>
        <w:rPr>
          <w:spacing w:val="-2"/>
          <w:sz w:val="28"/>
        </w:rPr>
        <w:t>2000)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1" w:after="0" w:line="240" w:lineRule="auto"/>
        <w:ind w:left="1521" w:right="0" w:hanging="841"/>
        <w:jc w:val="left"/>
        <w:rPr>
          <w:sz w:val="28"/>
        </w:rPr>
      </w:pPr>
      <w:r>
        <w:rPr>
          <w:sz w:val="28"/>
        </w:rPr>
        <w:t>《钢结构工程施工规范》(GB50755-</w:t>
      </w:r>
      <w:r>
        <w:rPr>
          <w:spacing w:val="-2"/>
          <w:sz w:val="28"/>
        </w:rPr>
        <w:t>2012)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1" w:after="0" w:line="240" w:lineRule="auto"/>
        <w:ind w:left="1521" w:right="0" w:hanging="841"/>
        <w:jc w:val="left"/>
        <w:rPr>
          <w:sz w:val="28"/>
        </w:rPr>
      </w:pPr>
      <w:r>
        <w:rPr>
          <w:sz w:val="28"/>
        </w:rPr>
        <w:t>《带式输送机施工技术规范》(GB50431-</w:t>
      </w:r>
      <w:r>
        <w:rPr>
          <w:spacing w:val="-2"/>
          <w:sz w:val="28"/>
        </w:rPr>
        <w:t>2008)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1" w:after="0" w:line="240" w:lineRule="auto"/>
        <w:ind w:left="1521" w:right="0" w:hanging="841"/>
        <w:jc w:val="left"/>
        <w:rPr>
          <w:sz w:val="28"/>
        </w:rPr>
      </w:pPr>
      <w:r>
        <w:rPr>
          <w:sz w:val="28"/>
        </w:rPr>
        <w:t>《起重机械安全规程》(GB6067.1-</w:t>
      </w:r>
      <w:r>
        <w:rPr>
          <w:spacing w:val="-2"/>
          <w:sz w:val="28"/>
        </w:rPr>
        <w:t>2010)</w:t>
      </w:r>
    </w:p>
    <w:p>
      <w:pPr>
        <w:pStyle w:val="BodyText"/>
      </w:pPr>
    </w:p>
    <w:p>
      <w:pPr>
        <w:pStyle w:val="BodyText"/>
        <w:rPr>
          <w:sz w:val="26"/>
        </w:rPr>
      </w:pPr>
    </w:p>
    <w:p>
      <w:pPr>
        <w:spacing w:before="1"/>
        <w:ind w:left="120" w:right="0" w:firstLine="0"/>
        <w:jc w:val="left"/>
        <w:rPr>
          <w:rFonts w:ascii="宋体" w:eastAsia="宋体"/>
          <w:sz w:val="24"/>
        </w:rPr>
      </w:pPr>
      <w:r>
        <w:rPr>
          <w:rFonts w:ascii="宋体" w:eastAsia="宋体"/>
          <w:spacing w:val="-2"/>
          <w:sz w:val="24"/>
        </w:rPr>
        <w:t>三、工程概况</w:t>
      </w:r>
    </w:p>
    <w:p>
      <w:pPr>
        <w:pStyle w:val="BodyText"/>
        <w:rPr>
          <w:rFonts w:ascii="宋体"/>
          <w:sz w:val="24"/>
        </w:rPr>
      </w:pPr>
    </w:p>
    <w:p>
      <w:pPr>
        <w:pStyle w:val="BodyText"/>
        <w:spacing w:before="4"/>
        <w:rPr>
          <w:rFonts w:ascii="宋体"/>
          <w:sz w:val="29"/>
        </w:rPr>
      </w:pPr>
    </w:p>
    <w:p>
      <w:pPr>
        <w:pStyle w:val="BodyText"/>
        <w:ind w:left="680"/>
      </w:pPr>
      <w:r>
        <w:t>1</w:t>
      </w:r>
      <w:r>
        <w:rPr>
          <w:spacing w:val="-2"/>
        </w:rPr>
        <w:t>、路线起讫点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680" w:right="3835"/>
      </w:pPr>
      <w:r>
        <w:rPr>
          <w:spacing w:val="-8"/>
        </w:rPr>
        <w:t xml:space="preserve">本标段主体为路线全长 </w:t>
      </w:r>
      <w:r>
        <w:rPr>
          <w:spacing w:val="-2"/>
        </w:rPr>
        <w:t>1.9754km</w:t>
      </w:r>
      <w:r>
        <w:rPr>
          <w:spacing w:val="-2"/>
        </w:rPr>
        <w:t>。 2、主要工程规模</w:t>
      </w:r>
    </w:p>
    <w:p>
      <w:pPr>
        <w:pStyle w:val="BodyText"/>
        <w:spacing w:line="417" w:lineRule="auto"/>
        <w:ind w:left="120" w:right="358" w:firstLine="840"/>
        <w:jc w:val="both"/>
      </w:pPr>
      <w:r>
        <w:rPr>
          <w:spacing w:val="-6"/>
        </w:rPr>
        <w:t>特大桥主桥上部结构（</w:t>
      </w:r>
      <w:r>
        <w:rPr>
          <w:spacing w:val="-15"/>
        </w:rPr>
        <w:t xml:space="preserve">第 </w:t>
      </w:r>
      <w:r>
        <w:rPr>
          <w:spacing w:val="-6"/>
        </w:rPr>
        <w:t>9</w:t>
      </w:r>
      <w:r>
        <w:rPr>
          <w:spacing w:val="-15"/>
        </w:rPr>
        <w:t xml:space="preserve"> 联</w:t>
      </w:r>
      <w:r>
        <w:rPr>
          <w:spacing w:val="-6"/>
        </w:rPr>
        <w:t>）采用(77+3×130+82)m</w:t>
      </w:r>
      <w:r>
        <w:rPr>
          <w:spacing w:val="-12"/>
        </w:rPr>
        <w:t xml:space="preserve"> 预应力</w:t>
      </w:r>
      <w:r>
        <w:rPr>
          <w:spacing w:val="-6"/>
        </w:rPr>
        <w:t xml:space="preserve">混凝土刚构-连续梁组合体系；引桥第 </w:t>
      </w:r>
      <w:r>
        <w:rPr>
          <w:spacing w:val="-4"/>
        </w:rPr>
        <w:t>1-7</w:t>
      </w:r>
      <w:r>
        <w:rPr>
          <w:spacing w:val="-20"/>
        </w:rPr>
        <w:t xml:space="preserve"> 及 </w:t>
      </w:r>
      <w:r>
        <w:rPr>
          <w:spacing w:val="-4"/>
        </w:rPr>
        <w:t>11</w:t>
      </w:r>
      <w:r>
        <w:rPr>
          <w:spacing w:val="-14"/>
        </w:rPr>
        <w:t xml:space="preserve"> 联、</w:t>
      </w:r>
      <w:r>
        <w:rPr>
          <w:spacing w:val="-4"/>
        </w:rPr>
        <w:t>12</w:t>
      </w:r>
      <w:r>
        <w:rPr>
          <w:spacing w:val="-10"/>
        </w:rPr>
        <w:t xml:space="preserve"> 联上部结构</w:t>
      </w:r>
      <w:r>
        <w:rPr>
          <w:spacing w:val="-12"/>
        </w:rPr>
        <w:t xml:space="preserve">采用装配式部分预应力混凝土连续箱梁，其中第 </w:t>
      </w:r>
      <w:r>
        <w:rPr>
          <w:spacing w:val="-4"/>
        </w:rPr>
        <w:t>2</w:t>
      </w:r>
      <w:r>
        <w:rPr>
          <w:spacing w:val="-25"/>
        </w:rPr>
        <w:t xml:space="preserve"> 联跨径布置为</w:t>
      </w:r>
      <w:r>
        <w:rPr>
          <w:spacing w:val="-4"/>
        </w:rPr>
        <w:t>（2× 31.1+30）m</w:t>
      </w:r>
      <w:r>
        <w:rPr>
          <w:spacing w:val="-12"/>
        </w:rPr>
        <w:t xml:space="preserve">，第 </w:t>
      </w:r>
      <w:r>
        <w:rPr>
          <w:spacing w:val="-4"/>
        </w:rPr>
        <w:t>7</w:t>
      </w:r>
      <w:r>
        <w:rPr>
          <w:spacing w:val="-9"/>
        </w:rPr>
        <w:t xml:space="preserve"> 联跨径布置为</w:t>
      </w:r>
      <w:r>
        <w:rPr>
          <w:spacing w:val="-4"/>
        </w:rPr>
        <w:t>（34+39+24）m</w:t>
      </w:r>
      <w:r>
        <w:rPr>
          <w:spacing w:val="-9"/>
        </w:rPr>
        <w:t xml:space="preserve">，其余为 </w:t>
      </w:r>
      <w:r>
        <w:rPr>
          <w:spacing w:val="-4"/>
        </w:rPr>
        <w:t>30m</w:t>
      </w:r>
      <w:r>
        <w:rPr>
          <w:spacing w:val="-11"/>
        </w:rPr>
        <w:t xml:space="preserve"> 标准跨</w:t>
      </w:r>
      <w:r>
        <w:rPr>
          <w:spacing w:val="-9"/>
        </w:rPr>
        <w:t xml:space="preserve">径；引桥第 </w:t>
      </w:r>
      <w:r>
        <w:t>8</w:t>
      </w:r>
      <w:r>
        <w:rPr>
          <w:spacing w:val="-22"/>
        </w:rPr>
        <w:t xml:space="preserve"> 联、第 </w:t>
      </w:r>
      <w:r>
        <w:t>10</w:t>
      </w:r>
      <w:r>
        <w:rPr>
          <w:spacing w:val="-13"/>
        </w:rPr>
        <w:t xml:space="preserve"> 联上部结构采用 </w:t>
      </w:r>
      <w:r>
        <w:t>50m</w:t>
      </w:r>
      <w:r>
        <w:rPr>
          <w:spacing w:val="-22"/>
        </w:rPr>
        <w:t xml:space="preserve"> 预应力 </w:t>
      </w:r>
      <w:r>
        <w:t>T</w:t>
      </w:r>
      <w:r>
        <w:rPr>
          <w:spacing w:val="-18"/>
        </w:rPr>
        <w:t xml:space="preserve"> 梁。</w:t>
      </w:r>
    </w:p>
    <w:p>
      <w:pPr>
        <w:pStyle w:val="BodyText"/>
        <w:spacing w:line="417" w:lineRule="auto"/>
        <w:ind w:left="120" w:right="335" w:firstLine="700"/>
        <w:jc w:val="both"/>
      </w:pPr>
      <w:r>
        <w:rPr>
          <w:spacing w:val="-2"/>
        </w:rPr>
        <w:t>河特大桥主桥下部结构主墩（33#～36#墩）为深水基础，承台</w:t>
      </w:r>
      <w:r>
        <w:rPr>
          <w:spacing w:val="-4"/>
        </w:rPr>
        <w:t xml:space="preserve">设置于河床底，采用空心薄壁墩，其中 </w:t>
      </w:r>
      <w:r>
        <w:rPr>
          <w:spacing w:val="-2"/>
        </w:rPr>
        <w:t>34#、35#墩为固结墩，33#</w:t>
      </w:r>
      <w:r>
        <w:rPr>
          <w:spacing w:val="-2"/>
        </w:rPr>
        <w:t>、 36#墩为连续墩，过渡墩（32#、37#墩）为实体墩；引桥下部结构采</w:t>
      </w:r>
      <w:r>
        <w:rPr>
          <w:spacing w:val="-5"/>
        </w:rPr>
        <w:t>用柱式墩、肋板式台；主桥及引桥桩基均采用钻孔灌注桩基础。孔深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440" w:bottom="1160" w:left="1680" w:header="0" w:footer="970"/>
          <w:pgNumType w:start="4"/>
          <w:cols w:space="708"/>
        </w:sectPr>
      </w:pPr>
    </w:p>
    <w:p>
      <w:pPr>
        <w:pStyle w:val="BodyText"/>
        <w:spacing w:before="37"/>
        <w:ind w:left="120"/>
        <w:jc w:val="both"/>
      </w:pPr>
      <w:r>
        <w:rPr>
          <w:spacing w:val="-35"/>
        </w:rPr>
        <w:t xml:space="preserve">近 </w:t>
      </w:r>
      <w:r>
        <w:t>120</w:t>
      </w:r>
      <w:r>
        <w:rPr>
          <w:spacing w:val="-25"/>
        </w:rPr>
        <w:t xml:space="preserve"> 米，桩长 </w:t>
      </w:r>
      <w:r>
        <w:t>99</w:t>
      </w:r>
      <w:r>
        <w:rPr>
          <w:spacing w:val="-22"/>
        </w:rPr>
        <w:t xml:space="preserve"> 米多，总共 </w:t>
      </w:r>
      <w:r>
        <w:t>496</w:t>
      </w:r>
      <w:r>
        <w:rPr>
          <w:spacing w:val="-27"/>
        </w:rPr>
        <w:t xml:space="preserve"> 根。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65" w:firstLine="700"/>
        <w:jc w:val="both"/>
      </w:pPr>
      <w:r>
        <w:rPr>
          <w:spacing w:val="-2"/>
        </w:rPr>
        <w:t>河特大桥（32#、37#墩）为水中墩，水上施工借助主栈桥、支</w:t>
      </w:r>
      <w:r>
        <w:rPr>
          <w:spacing w:val="-2"/>
        </w:rPr>
        <w:t>栈桥、钻孔平台为施工材料运输通道，钻孔平台用于水中钻孔桩施工</w:t>
      </w:r>
      <w:r>
        <w:rPr>
          <w:spacing w:val="-10"/>
        </w:rPr>
        <w:t xml:space="preserve">作业， 河大桥钢栈桥在通航口处断开，分南北栈桥，栈桥全长 </w:t>
      </w:r>
      <w:r>
        <w:t>510.6</w:t>
      </w:r>
      <w:r>
        <w:rPr>
          <w:spacing w:val="-9"/>
        </w:rPr>
        <w:t xml:space="preserve">米南栈桥长 </w:t>
      </w:r>
      <w:r>
        <w:rPr>
          <w:spacing w:val="-4"/>
        </w:rPr>
        <w:t>372.5</w:t>
      </w:r>
      <w:r>
        <w:rPr>
          <w:spacing w:val="-13"/>
        </w:rPr>
        <w:t xml:space="preserve"> 米、北栈桥长 </w:t>
      </w:r>
      <w:r>
        <w:rPr>
          <w:spacing w:val="-4"/>
        </w:rPr>
        <w:t>138</w:t>
      </w:r>
      <w:r>
        <w:rPr>
          <w:spacing w:val="-12"/>
        </w:rPr>
        <w:t xml:space="preserve"> 米，栈桥单孔每跨长 </w:t>
      </w:r>
      <w:r>
        <w:rPr>
          <w:spacing w:val="-4"/>
        </w:rPr>
        <w:t>12</w:t>
      </w:r>
      <w:r>
        <w:rPr>
          <w:spacing w:val="-12"/>
        </w:rPr>
        <w:t xml:space="preserve"> 米栈桥</w:t>
      </w:r>
      <w:r>
        <w:rPr>
          <w:spacing w:val="-11"/>
        </w:rPr>
        <w:t xml:space="preserve">行车通道净宽 </w:t>
      </w:r>
      <w:r>
        <w:rPr>
          <w:spacing w:val="-8"/>
        </w:rPr>
        <w:t>8</w:t>
      </w:r>
      <w:r>
        <w:rPr>
          <w:spacing w:val="-15"/>
        </w:rPr>
        <w:t xml:space="preserve"> 米，通航河道宽 </w:t>
      </w:r>
      <w:r>
        <w:rPr>
          <w:spacing w:val="-8"/>
        </w:rPr>
        <w:t>80</w:t>
      </w:r>
      <w:r>
        <w:rPr>
          <w:spacing w:val="-15"/>
        </w:rPr>
        <w:t xml:space="preserve"> 米，上游设航标 </w:t>
      </w:r>
      <w:r>
        <w:rPr>
          <w:spacing w:val="-8"/>
        </w:rPr>
        <w:t>4</w:t>
      </w:r>
      <w:r>
        <w:rPr>
          <w:spacing w:val="-21"/>
        </w:rPr>
        <w:t xml:space="preserve"> 组 </w:t>
      </w:r>
      <w:r>
        <w:rPr>
          <w:spacing w:val="-8"/>
        </w:rPr>
        <w:t>8</w:t>
      </w:r>
      <w:r>
        <w:rPr>
          <w:spacing w:val="-13"/>
        </w:rPr>
        <w:t xml:space="preserve"> 个，距栈</w:t>
      </w:r>
      <w:r>
        <w:rPr>
          <w:spacing w:val="-18"/>
        </w:rPr>
        <w:t xml:space="preserve">桥 </w:t>
      </w:r>
      <w:r>
        <w:rPr>
          <w:spacing w:val="-12"/>
        </w:rPr>
        <w:t>160</w:t>
      </w:r>
      <w:r>
        <w:rPr>
          <w:spacing w:val="-32"/>
        </w:rPr>
        <w:t xml:space="preserve"> 米、</w:t>
      </w:r>
      <w:r>
        <w:rPr>
          <w:spacing w:val="-12"/>
        </w:rPr>
        <w:t>460</w:t>
      </w:r>
      <w:r>
        <w:rPr>
          <w:spacing w:val="-32"/>
        </w:rPr>
        <w:t xml:space="preserve"> 米、</w:t>
      </w:r>
      <w:r>
        <w:rPr>
          <w:spacing w:val="-12"/>
        </w:rPr>
        <w:t>800</w:t>
      </w:r>
      <w:r>
        <w:rPr>
          <w:spacing w:val="-32"/>
        </w:rPr>
        <w:t xml:space="preserve"> 米、</w:t>
      </w:r>
      <w:r>
        <w:rPr>
          <w:spacing w:val="-12"/>
        </w:rPr>
        <w:t>1200</w:t>
      </w:r>
      <w:r>
        <w:rPr>
          <w:spacing w:val="-21"/>
        </w:rPr>
        <w:t xml:space="preserve"> 米，下游设航标 </w:t>
      </w:r>
      <w:r>
        <w:rPr>
          <w:spacing w:val="-12"/>
        </w:rPr>
        <w:t>2</w:t>
      </w:r>
      <w:r>
        <w:rPr>
          <w:spacing w:val="-20"/>
        </w:rPr>
        <w:t xml:space="preserve"> 组 </w:t>
      </w:r>
      <w:r>
        <w:rPr>
          <w:spacing w:val="-12"/>
        </w:rPr>
        <w:t>4</w:t>
      </w:r>
      <w:r>
        <w:rPr>
          <w:spacing w:val="-17"/>
        </w:rPr>
        <w:t xml:space="preserve"> 个距栈桥 </w:t>
      </w:r>
      <w:r>
        <w:rPr>
          <w:spacing w:val="-12"/>
        </w:rPr>
        <w:t>200</w:t>
      </w:r>
      <w:r>
        <w:rPr>
          <w:spacing w:val="-35"/>
        </w:rPr>
        <w:t xml:space="preserve">米 </w:t>
      </w:r>
      <w:r>
        <w:t>500</w:t>
      </w:r>
      <w:r>
        <w:rPr>
          <w:spacing w:val="-10"/>
        </w:rPr>
        <w:t xml:space="preserve"> 米，航标为喇叭口型布设，南北栈桥端头通航口处设防撞墩。</w:t>
      </w:r>
    </w:p>
    <w:p>
      <w:pPr>
        <w:pStyle w:val="BodyText"/>
        <w:spacing w:before="3"/>
        <w:rPr>
          <w:sz w:val="33"/>
        </w:rPr>
      </w:pPr>
    </w:p>
    <w:p>
      <w:pPr>
        <w:spacing w:before="0"/>
        <w:ind w:left="120" w:right="0" w:firstLine="0"/>
        <w:jc w:val="left"/>
        <w:rPr>
          <w:rFonts w:ascii="宋体" w:eastAsia="宋体"/>
          <w:sz w:val="24"/>
        </w:rPr>
      </w:pPr>
      <w:r>
        <w:rPr>
          <w:rFonts w:ascii="宋体" w:eastAsia="宋体"/>
          <w:spacing w:val="-1"/>
          <w:sz w:val="24"/>
        </w:rPr>
        <w:t>四、安全监理管理目标</w:t>
      </w:r>
    </w:p>
    <w:p>
      <w:pPr>
        <w:pStyle w:val="BodyText"/>
        <w:rPr>
          <w:rFonts w:ascii="宋体"/>
          <w:sz w:val="24"/>
        </w:rPr>
      </w:pPr>
    </w:p>
    <w:p>
      <w:pPr>
        <w:pStyle w:val="BodyText"/>
        <w:spacing w:before="4"/>
        <w:rPr>
          <w:rFonts w:ascii="宋体"/>
          <w:sz w:val="29"/>
        </w:rPr>
      </w:pPr>
    </w:p>
    <w:p>
      <w:pPr>
        <w:pStyle w:val="BodyText"/>
        <w:spacing w:line="417" w:lineRule="auto"/>
        <w:ind w:left="120" w:right="218" w:firstLine="560"/>
      </w:pPr>
      <w:r>
        <w:rPr>
          <w:spacing w:val="-19"/>
        </w:rPr>
        <w:t>结合指挥部工程管理制度要求，落实双标管理，创建“平安工地</w:t>
      </w:r>
      <w:r>
        <w:rPr>
          <w:spacing w:val="-113"/>
        </w:rPr>
        <w:t>”，</w:t>
      </w:r>
      <w:r>
        <w:rPr>
          <w:spacing w:val="-2"/>
        </w:rPr>
        <w:t>筑造品质工程，安全管理总体目标为减少一般安全生产事故，歇止较</w:t>
      </w:r>
      <w:r>
        <w:rPr>
          <w:spacing w:val="-2"/>
        </w:rPr>
        <w:t>大安全生产事故，杜绝重大安全生产事故，无火灾、爆炸、中毒、管</w:t>
      </w:r>
      <w:r>
        <w:rPr>
          <w:spacing w:val="-2"/>
        </w:rPr>
        <w:t>线破坏等社会影响较大的事故发生安全监理目标为：</w:t>
      </w:r>
    </w:p>
    <w:p>
      <w:pPr>
        <w:pStyle w:val="BodyText"/>
        <w:spacing w:line="358" w:lineRule="exact"/>
        <w:ind w:left="680"/>
      </w:pPr>
      <w:r>
        <w:t>1</w:t>
      </w:r>
      <w:r>
        <w:rPr>
          <w:spacing w:val="-7"/>
        </w:rPr>
        <w:t xml:space="preserve">、责任事故重伤率为 </w:t>
      </w:r>
      <w:r>
        <w:rPr>
          <w:spacing w:val="-5"/>
        </w:rPr>
        <w:t>0；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680"/>
      </w:pPr>
      <w:r>
        <w:t>2</w:t>
      </w:r>
      <w:r>
        <w:rPr>
          <w:spacing w:val="-7"/>
        </w:rPr>
        <w:t xml:space="preserve">、责任事故死亡率为 </w:t>
      </w:r>
      <w:r>
        <w:rPr>
          <w:spacing w:val="-5"/>
        </w:rPr>
        <w:t>0；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680"/>
      </w:pPr>
      <w:r>
        <w:t>3</w:t>
      </w:r>
      <w:r>
        <w:rPr>
          <w:spacing w:val="-3"/>
        </w:rPr>
        <w:t xml:space="preserve">、为全体参建人员提供健康工作环境，因 职业病发病率为 </w:t>
      </w:r>
      <w:r>
        <w:rPr>
          <w:spacing w:val="-5"/>
        </w:rPr>
        <w:t>0；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680"/>
      </w:pPr>
      <w:r>
        <w:t>4、一次设备责任事故直接经济损失≤50000</w:t>
      </w:r>
      <w:r>
        <w:rPr>
          <w:spacing w:val="-27"/>
        </w:rPr>
        <w:t xml:space="preserve"> 元；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680"/>
      </w:pPr>
      <w:r>
        <w:rPr>
          <w:spacing w:val="-2"/>
        </w:rPr>
        <w:t>5</w:t>
      </w:r>
      <w:r>
        <w:rPr>
          <w:spacing w:val="-6"/>
        </w:rPr>
        <w:t>、工程、公务、交通运输车辆无发生同等及以上责任死亡事故；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680"/>
      </w:pPr>
      <w:r>
        <w:t>6</w:t>
      </w:r>
      <w:r>
        <w:rPr>
          <w:spacing w:val="-1"/>
        </w:rPr>
        <w:t>、无发生一般及以上火灾事故；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58" w:firstLine="560"/>
      </w:pPr>
      <w:r>
        <w:rPr>
          <w:spacing w:val="-4"/>
        </w:rPr>
        <w:t>7</w:t>
      </w:r>
      <w:r>
        <w:rPr>
          <w:spacing w:val="-18"/>
        </w:rPr>
        <w:t xml:space="preserve"> </w:t>
      </w:r>
      <w:r>
        <w:rPr>
          <w:b/>
          <w:spacing w:val="-140"/>
        </w:rPr>
        <w:t>、</w:t>
      </w:r>
      <w:r>
        <w:rPr>
          <w:spacing w:val="-10"/>
        </w:rPr>
        <w:t xml:space="preserve">“平安工地”考核评分 </w:t>
      </w:r>
      <w:r>
        <w:rPr>
          <w:spacing w:val="-4"/>
        </w:rPr>
        <w:t>90</w:t>
      </w:r>
      <w:r>
        <w:rPr>
          <w:spacing w:val="-13"/>
        </w:rPr>
        <w:t xml:space="preserve"> 分以上，满足“平安工地”示范工</w:t>
      </w:r>
      <w:r>
        <w:rPr>
          <w:spacing w:val="-4"/>
        </w:rPr>
        <w:t>程要求；</w:t>
      </w:r>
    </w:p>
    <w:p>
      <w:pPr>
        <w:spacing w:after="0" w:line="417" w:lineRule="auto"/>
        <w:sectPr>
          <w:footerReference w:type="default" r:id="rId9"/>
          <w:pgSz w:w="11910" w:h="16840"/>
          <w:pgMar w:top="1520" w:right="1440" w:bottom="1160" w:left="1680" w:header="0" w:footer="970"/>
          <w:pgNumType w:start="5"/>
          <w:cols w:space="708"/>
        </w:sectPr>
      </w:pPr>
    </w:p>
    <w:p>
      <w:pPr>
        <w:pStyle w:val="BodyText"/>
        <w:spacing w:before="37"/>
        <w:ind w:left="680"/>
      </w:pPr>
      <w:r>
        <w:t>8</w:t>
      </w:r>
      <w:r>
        <w:rPr>
          <w:spacing w:val="-1"/>
        </w:rPr>
        <w:t>、取得交通运输部“平安工程”冠名。</w:t>
      </w:r>
    </w:p>
    <w:p>
      <w:pPr>
        <w:pStyle w:val="BodyText"/>
      </w:pPr>
    </w:p>
    <w:p>
      <w:pPr>
        <w:pStyle w:val="BodyText"/>
        <w:rPr>
          <w:sz w:val="26"/>
        </w:rPr>
      </w:pPr>
    </w:p>
    <w:p>
      <w:pPr>
        <w:spacing w:before="1"/>
        <w:ind w:left="120" w:right="0" w:firstLine="0"/>
        <w:jc w:val="left"/>
        <w:rPr>
          <w:rFonts w:ascii="宋体" w:eastAsia="宋体"/>
          <w:sz w:val="24"/>
        </w:rPr>
      </w:pPr>
      <w:r>
        <w:rPr>
          <w:rFonts w:ascii="宋体" w:eastAsia="宋体"/>
          <w:spacing w:val="-1"/>
          <w:sz w:val="24"/>
        </w:rPr>
        <w:t>五、组织机构与职责权限</w:t>
      </w:r>
    </w:p>
    <w:p>
      <w:pPr>
        <w:pStyle w:val="BodyText"/>
        <w:rPr>
          <w:rFonts w:ascii="宋体"/>
          <w:sz w:val="24"/>
        </w:rPr>
      </w:pPr>
    </w:p>
    <w:p>
      <w:pPr>
        <w:pStyle w:val="BodyText"/>
        <w:spacing w:before="4"/>
        <w:rPr>
          <w:rFonts w:ascii="宋体"/>
          <w:sz w:val="29"/>
        </w:rPr>
      </w:pPr>
    </w:p>
    <w:p>
      <w:pPr>
        <w:pStyle w:val="BodyText"/>
        <w:ind w:left="680"/>
      </w:pPr>
      <w:r>
        <w:t>（一</w:t>
      </w:r>
      <w:r>
        <w:rPr>
          <w:spacing w:val="-140"/>
        </w:rPr>
        <w:t>）</w:t>
      </w:r>
      <w:r>
        <w:rPr>
          <w:spacing w:val="-2"/>
        </w:rPr>
        <w:t>、安全监理组织机构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125" w:firstLine="560"/>
      </w:pPr>
      <w:r>
        <w:rPr>
          <w:spacing w:val="-4"/>
        </w:rPr>
        <w:t>经 公司批准 第一总监办成立安全生产监督领导小组，安全生产</w:t>
      </w:r>
      <w:r>
        <w:rPr>
          <w:spacing w:val="-11"/>
        </w:rPr>
        <w:t>监督领导小组由总监理工程师任组长、任分管安全的副总监为副组长、</w:t>
      </w:r>
      <w:r>
        <w:rPr>
          <w:spacing w:val="-2"/>
        </w:rPr>
        <w:t>各专业监理工程师为成员，组织机构如下：</w:t>
      </w:r>
    </w:p>
    <w:p>
      <w:pPr>
        <w:pStyle w:val="BodyText"/>
        <w:spacing w:line="417" w:lineRule="auto"/>
        <w:ind w:left="680" w:right="6985"/>
        <w:jc w:val="both"/>
      </w:pPr>
      <w:r>
        <w:t>组 长：</w:t>
      </w:r>
      <w:r>
        <w:rPr>
          <w:spacing w:val="-4"/>
        </w:rPr>
        <w:t>副组长：</w:t>
      </w:r>
      <w:r>
        <w:t>成</w:t>
      </w:r>
      <w:r>
        <w:rPr>
          <w:spacing w:val="70"/>
          <w:w w:val="150"/>
        </w:rPr>
        <w:t xml:space="preserve"> </w:t>
      </w:r>
      <w:r>
        <w:rPr>
          <w:spacing w:val="-5"/>
        </w:rPr>
        <w:t>员：</w:t>
      </w:r>
    </w:p>
    <w:p>
      <w:pPr>
        <w:pStyle w:val="BodyText"/>
        <w:spacing w:line="417" w:lineRule="auto"/>
        <w:ind w:left="680" w:right="1385"/>
      </w:pPr>
      <w:r>
        <w:rPr>
          <w:spacing w:val="-2"/>
        </w:rPr>
        <w:t>总监办下设安全领导小组办公室，办公室设在安环部；</w:t>
      </w:r>
      <w:r>
        <w:rPr>
          <w:spacing w:val="-4"/>
        </w:rPr>
        <w:t>主任：</w:t>
      </w:r>
    </w:p>
    <w:p>
      <w:pPr>
        <w:pStyle w:val="BodyText"/>
        <w:spacing w:line="358" w:lineRule="exact"/>
        <w:ind w:left="680"/>
      </w:pPr>
      <w:r>
        <w:rPr>
          <w:spacing w:val="-2"/>
        </w:rPr>
        <w:t>安全信息员：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58" w:firstLine="700"/>
      </w:pPr>
      <w:r>
        <w:t>第一总监办安全生产领导小组组织机构，上报 南北公路接线</w:t>
      </w:r>
      <w:r>
        <w:rPr>
          <w:spacing w:val="-2"/>
        </w:rPr>
        <w:t>工程指挥部公司备案。</w:t>
      </w:r>
    </w:p>
    <w:p>
      <w:pPr>
        <w:pStyle w:val="BodyText"/>
        <w:spacing w:line="417" w:lineRule="auto"/>
        <w:ind w:left="120" w:right="358" w:firstLine="560"/>
        <w:jc w:val="both"/>
      </w:pPr>
      <w:r>
        <w:rPr>
          <w:spacing w:val="-7"/>
        </w:rPr>
        <w:t>总监理工程师为其监理项目安全生产的第一责任人，安全副总监</w:t>
      </w:r>
      <w:r>
        <w:rPr>
          <w:spacing w:val="-6"/>
        </w:rPr>
        <w:t>理工程师为其驻地监理项目的安全生产的直接责任人。总监办按合同</w:t>
      </w:r>
      <w:r>
        <w:rPr>
          <w:spacing w:val="-2"/>
        </w:rPr>
        <w:t>规定配备专职安全监理工程师和安全监理员。</w:t>
      </w:r>
    </w:p>
    <w:p>
      <w:pPr>
        <w:pStyle w:val="BodyText"/>
        <w:spacing w:line="417" w:lineRule="auto"/>
        <w:ind w:left="120" w:right="358" w:firstLine="560"/>
        <w:jc w:val="both"/>
      </w:pPr>
      <w:r>
        <w:rPr>
          <w:spacing w:val="-2"/>
        </w:rPr>
        <w:t>专职安全监理由通过交通部或相关主管部门举办的安全教育培</w:t>
      </w:r>
      <w:r>
        <w:rPr>
          <w:spacing w:val="-4"/>
        </w:rPr>
        <w:t>训考核，并取得安全资质，持证上岗，交通部安全培训资质证和注册</w:t>
      </w:r>
      <w:r>
        <w:rPr>
          <w:spacing w:val="-2"/>
        </w:rPr>
        <w:t xml:space="preserve">安全工程师或安全工程师证件上岗，且有 </w:t>
      </w:r>
      <w:r>
        <w:t>5</w:t>
      </w:r>
      <w:r>
        <w:rPr>
          <w:spacing w:val="-5"/>
        </w:rPr>
        <w:t xml:space="preserve"> 年以上相关工作经验。</w:t>
      </w:r>
    </w:p>
    <w:p>
      <w:pPr>
        <w:pStyle w:val="BodyText"/>
        <w:spacing w:line="358" w:lineRule="exact"/>
        <w:ind w:left="680"/>
      </w:pPr>
      <w:r>
        <w:t>（二</w:t>
      </w:r>
      <w:r>
        <w:rPr>
          <w:spacing w:val="-140"/>
        </w:rPr>
        <w:t>）</w:t>
      </w:r>
      <w:r>
        <w:rPr>
          <w:spacing w:val="-1"/>
        </w:rPr>
        <w:t>、安全监理工作安排及设备配置</w:t>
      </w:r>
    </w:p>
    <w:p>
      <w:pPr>
        <w:spacing w:after="0" w:line="358" w:lineRule="exact"/>
        <w:sectPr>
          <w:footerReference w:type="default" r:id="rId10"/>
          <w:pgSz w:w="11910" w:h="16840"/>
          <w:pgMar w:top="1520" w:right="1440" w:bottom="1160" w:left="1680" w:header="0" w:footer="970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125" w:firstLine="560"/>
      </w:pPr>
      <w:r>
        <w:pict>
          <v:group id="_x0000_s1025" style="width:539pt;height:233.3pt;margin-top:324.9pt;margin-left:10.9pt;mso-position-horizontal-relative:page;mso-position-vertical-relative:page;position:absolute;z-index:251658240" coordorigin="218,6498" coordsize="10780,4666">
            <v:line id="_x0000_s1026" style="position:absolute" from="5607,7178" to="5585,7852" stroked="t" strokecolor="black" strokeweight="0.5pt">
              <v:stroke dashstyle="solid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165;height:157;left:5507;position:absolute;top:7708" stroked="f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2169;height:705;left:4511;position:absolute;top:7865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95"/>
                      <w:ind w:left="11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副组长：</w:t>
                    </w:r>
                  </w:p>
                </w:txbxContent>
              </v:textbox>
            </v:shape>
            <v:shape id="_x0000_s1029" type="#_x0000_t202" style="width:2169;height:675;left:4511;position:absolute;top:6503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95"/>
                      <w:ind w:left="17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组长：</w:t>
                    </w:r>
                  </w:p>
                </w:txbxContent>
              </v:textbox>
            </v:shape>
            <v:line id="_x0000_s1030" style="position:absolute" from="5585,8570" to="5578,9322" stroked="t" strokecolor="black" strokeweight="0.5pt">
              <v:stroke dashstyle="solid"/>
            </v:line>
            <v:shape id="_x0000_s1031" type="#_x0000_t75" style="width:165;height:155;left:5497;position:absolute;top:9180" stroked="f">
              <v:imagedata r:id="rId12" o:title=""/>
            </v:shape>
            <v:line id="_x0000_s1032" style="position:absolute" from="1048,9305" to="10183,9305" stroked="t" strokecolor="black" strokeweight="0.5pt">
              <v:stroke dashstyle="solid"/>
            </v:line>
            <v:line id="_x0000_s1033" style="position:absolute" from="1071,9353" to="1027,10225" stroked="t" strokecolor="black" strokeweight="0.5pt">
              <v:stroke dashstyle="solid"/>
            </v:line>
            <v:shape id="_x0000_s1034" type="#_x0000_t75" style="width:165;height:158;left:951;position:absolute;top:10080" stroked="f">
              <v:imagedata r:id="rId13" o:title=""/>
            </v:shape>
            <v:line id="_x0000_s1035" style="position:absolute" from="3216,9353" to="3201,10210" stroked="t" strokecolor="black" strokeweight="0.5pt">
              <v:stroke dashstyle="solid"/>
            </v:line>
            <v:shape id="_x0000_s1036" type="#_x0000_t75" style="width:165;height:156;left:3121;position:absolute;top:10067" stroked="f">
              <v:imagedata r:id="rId14" o:title=""/>
            </v:shape>
            <v:line id="_x0000_s1037" style="position:absolute" from="5586,9350" to="5586,10207" stroked="t" strokecolor="black" strokeweight="0.5pt">
              <v:stroke dashstyle="solid"/>
            </v:line>
            <v:shape id="_x0000_s1038" type="#_x0000_t75" style="width:165;height:154;left:5504;position:absolute;top:10066" stroked="f">
              <v:imagedata r:id="rId15" o:title=""/>
            </v:shape>
            <v:line id="_x0000_s1039" style="position:absolute" from="7806,9335" to="7806,10237" stroked="t" strokecolor="black" strokeweight="0.5pt">
              <v:stroke dashstyle="solid"/>
            </v:line>
            <v:shape id="_x0000_s1040" type="#_x0000_t75" style="width:165;height:154;left:7724;position:absolute;top:10096" stroked="f">
              <v:imagedata r:id="rId15" o:title=""/>
            </v:shape>
            <v:line id="_x0000_s1041" style="position:absolute" from="10161,9320" to="10191,10237" stroked="t" strokecolor="black" strokeweight="0.5pt">
              <v:stroke dashstyle="solid"/>
            </v:line>
            <v:shape id="_x0000_s1042" type="#_x0000_t75" style="width:165;height:157;left:10104;position:absolute;top:10093" stroked="f">
              <v:imagedata r:id="rId16" o:title=""/>
            </v:shape>
            <v:shape id="_x0000_s1043" type="#_x0000_t202" style="width:1605;height:928;left:9388;position:absolute;top:10231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13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成员：</w:t>
                    </w:r>
                  </w:p>
                </w:txbxContent>
              </v:textbox>
            </v:shape>
            <v:shape id="_x0000_s1044" type="#_x0000_t202" style="width:1605;height:928;left:7003;position:absolute;top:10231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13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成员：</w:t>
                    </w:r>
                  </w:p>
                </w:txbxContent>
              </v:textbox>
            </v:shape>
            <v:shape id="_x0000_s1045" type="#_x0000_t202" style="width:1605;height:922;left:4783;position:absolute;top:10231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83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成员：</w:t>
                    </w:r>
                  </w:p>
                </w:txbxContent>
              </v:textbox>
            </v:shape>
            <v:shape id="_x0000_s1046" type="#_x0000_t202" style="width:1605;height:909;left:2398;position:absolute;top:10231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86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成员：</w:t>
                    </w:r>
                  </w:p>
                </w:txbxContent>
              </v:textbox>
            </v:shape>
            <v:shape id="_x0000_s1047" type="#_x0000_t202" style="width:1605;height:915;left:223;position:absolute;top:10231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01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成员：</w:t>
                    </w:r>
                  </w:p>
                </w:txbxContent>
              </v:textbox>
            </v:shape>
          </v:group>
        </w:pict>
      </w:r>
      <w:r>
        <w:t>WFS-JL-1</w:t>
      </w:r>
      <w:r>
        <w:rPr>
          <w:spacing w:val="-4"/>
        </w:rPr>
        <w:t xml:space="preserve"> 总监办总监理工程师对本项目安全管理工作负总则，</w:t>
      </w:r>
      <w:r>
        <w:rPr>
          <w:spacing w:val="5"/>
        </w:rPr>
        <w:t>安全副总监理工程师在总监的领导下协助总监负责本项目的安全监</w:t>
      </w:r>
      <w:r>
        <w:t>理全面工作，安全监理工程师 负责安全生产监理具体工作配备的安</w:t>
      </w:r>
      <w:r>
        <w:rPr>
          <w:spacing w:val="-11"/>
        </w:rPr>
        <w:t>全监理员负责内业信息沟通工作，各专业监理工程师配合安全部工作，</w:t>
      </w:r>
      <w:r>
        <w:rPr>
          <w:spacing w:val="-16"/>
        </w:rPr>
        <w:t>做到“一岗双责”。</w:t>
      </w:r>
    </w:p>
    <w:p>
      <w:pPr>
        <w:pStyle w:val="BodyText"/>
        <w:spacing w:line="417" w:lineRule="auto"/>
        <w:ind w:left="120" w:right="358" w:firstLine="560"/>
      </w:pPr>
      <w:r>
        <w:rPr>
          <w:spacing w:val="-8"/>
        </w:rPr>
        <w:t>为了高效更好的开展安全监理工作，总监办为安全部配备了台式</w:t>
      </w:r>
      <w:r>
        <w:rPr>
          <w:spacing w:val="-8"/>
        </w:rPr>
        <w:t xml:space="preserve">电脑 </w:t>
      </w:r>
      <w:r>
        <w:t>2</w:t>
      </w:r>
      <w:r>
        <w:rPr>
          <w:spacing w:val="-5"/>
        </w:rPr>
        <w:t xml:space="preserve"> 台，打印机一台，单反相机一架，安全巡视检查专车一辆。</w:t>
      </w:r>
    </w:p>
    <w:p>
      <w:pPr>
        <w:pStyle w:val="BodyText"/>
        <w:spacing w:line="358" w:lineRule="exact"/>
        <w:ind w:left="680"/>
      </w:pPr>
      <w:r>
        <w:t>WFS-JL-1</w:t>
      </w:r>
      <w:r>
        <w:rPr>
          <w:spacing w:val="-10"/>
        </w:rPr>
        <w:t xml:space="preserve"> 总监办组织机构框图</w:t>
      </w:r>
    </w:p>
    <w:p>
      <w:pPr>
        <w:spacing w:after="0" w:line="358" w:lineRule="exact"/>
        <w:sectPr>
          <w:footerReference w:type="default" r:id="rId17"/>
          <w:pgSz w:w="11910" w:h="16840"/>
          <w:pgMar w:top="1520" w:right="1440" w:bottom="1160" w:left="1680" w:header="0" w:footer="970"/>
          <w:pgNumType w:start="7"/>
          <w:cols w:space="708"/>
        </w:sectPr>
      </w:pPr>
    </w:p>
    <w:p>
      <w:pPr>
        <w:pStyle w:val="BodyText"/>
        <w:spacing w:before="37"/>
        <w:ind w:left="680"/>
      </w:pPr>
      <w:r>
        <w:t>（三</w:t>
      </w:r>
      <w:r>
        <w:rPr>
          <w:spacing w:val="-140"/>
        </w:rPr>
        <w:t>）</w:t>
      </w:r>
      <w:r>
        <w:rPr>
          <w:spacing w:val="-1"/>
        </w:rPr>
        <w:t>、安全监理工作程序框图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  <w:r>
        <w:pict>
          <v:group id="_x0000_s1048" style="width:369.85pt;height:344pt;margin-top:8.02pt;margin-left:135.62pt;mso-position-horizontal-relative:page;mso-wrap-distance-left:0;mso-wrap-distance-right:0;position:absolute;z-index:-251657216" coordorigin="2712,160" coordsize="7397,6880">
            <v:rect id="_x0000_s1049" style="width:2520;height:624;left:3259;position:absolute;top:2352" filled="f" stroked="t" strokecolor="black" strokeweight="0.75pt">
              <v:stroke dashstyle="solid"/>
            </v:rect>
            <v:shape id="_x0000_s1050" style="width:15;height:15;left:4872;position:absolute;top:2188" coordorigin="4872,2188" coordsize="15,15" path="m4872,2196l4875,2201,4880,2203,4885,2201,4887,2196,4885,2191,4880,2188,4875,2191,4872,2196xe" filled="t" fillcolor="black" stroked="f">
              <v:fill type="solid"/>
              <v:path arrowok="t"/>
            </v:shape>
            <v:line id="_x0000_s1051" style="position:absolute" from="4520,2196" to="8660,2196" stroked="t" strokecolor="black" strokeweight="0.75pt">
              <v:stroke dashstyle="solid"/>
            </v:line>
            <v:line id="_x0000_s1052" style="position:absolute" from="6500,1884" to="6500,2173" stroked="t" strokecolor="black" strokeweight="0.75pt">
              <v:stroke dashstyle="solid"/>
            </v:line>
            <v:shape id="_x0000_s1053" style="width:120;height:120;left:6439;position:absolute;top:2075" coordorigin="6440,2076" coordsize="120,120" path="m6500,2196l6440,2076,6560,2076,6500,2196xe" filled="t" fillcolor="black" stroked="f">
              <v:fill type="solid"/>
              <v:path arrowok="t"/>
            </v:shape>
            <v:line id="_x0000_s1054" style="position:absolute" from="4520,2196" to="4520,2330" stroked="t" strokecolor="black" strokeweight="0.75pt">
              <v:stroke dashstyle="solid"/>
            </v:line>
            <v:shape id="_x0000_s1055" style="width:120;height:120;left:4459;position:absolute;top:2232" coordorigin="4460,2232" coordsize="120,120" path="m4520,2352l4460,2232,4580,2232,4520,2352xe" filled="t" fillcolor="black" stroked="f">
              <v:fill type="solid"/>
              <v:path arrowok="t"/>
            </v:shape>
            <v:rect id="_x0000_s1056" style="width:2161;height:624;left:7579;position:absolute;top:2352" filled="f" stroked="t" strokecolor="black" strokeweight="0.75pt">
              <v:stroke dashstyle="solid"/>
            </v:rect>
            <v:line id="_x0000_s1057" style="position:absolute" from="8660,2196" to="8660,2330" stroked="t" strokecolor="black" strokeweight="0.75pt">
              <v:stroke dashstyle="solid"/>
            </v:line>
            <v:shape id="_x0000_s1058" style="width:120;height:120;left:8600;position:absolute;top:2232" coordorigin="8600,2232" coordsize="120,120" path="m8660,2352l8600,2232,8720,2232,8660,2352xe" filled="t" fillcolor="black" stroked="f">
              <v:fill type="solid"/>
              <v:path arrowok="t"/>
            </v:shape>
            <v:rect id="_x0000_s1059" style="width:2161;height:624;left:2719;position:absolute;top:3912" filled="f" stroked="t" strokecolor="black" strokeweight="0.75pt">
              <v:stroke dashstyle="solid"/>
            </v:rect>
            <v:line id="_x0000_s1060" style="position:absolute" from="3800,2976" to="3800,3889" stroked="t" strokecolor="black" strokeweight="0.75pt">
              <v:stroke dashstyle="solid"/>
            </v:line>
            <v:shape id="_x0000_s1061" style="width:120;height:120;left:3740;position:absolute;top:3791" coordorigin="3740,3792" coordsize="120,120" path="m3800,3912l3740,3792,3860,3792,3800,3912xe" filled="t" fillcolor="black" stroked="f">
              <v:fill type="solid"/>
              <v:path arrowok="t"/>
            </v:shape>
            <v:line id="_x0000_s1062" style="position:absolute" from="9020,2976" to="9020,3889" stroked="t" strokecolor="black" strokeweight="0.75pt">
              <v:stroke dashstyle="solid"/>
            </v:line>
            <v:shape id="_x0000_s1063" style="width:120;height:120;left:8960;position:absolute;top:3791" coordorigin="8960,3792" coordsize="120,120" path="m9020,3912l8960,3792,9080,3792,9020,3912xe" filled="t" fillcolor="black" stroked="f">
              <v:fill type="solid"/>
              <v:path arrowok="t"/>
            </v:shape>
            <v:line id="_x0000_s1064" style="position:absolute" from="6320,3444" to="9020,3444" stroked="t" strokecolor="black" strokeweight="0.75pt">
              <v:stroke dashstyle="solid"/>
            </v:line>
            <v:rect id="_x0000_s1065" style="width:2161;height:624;left:5239;position:absolute;top:3912" filled="f" stroked="t" strokecolor="black" strokeweight="0.75pt">
              <v:stroke dashstyle="solid"/>
            </v:rect>
            <v:line id="_x0000_s1066" style="position:absolute" from="6320,3444" to="6320,3890" stroked="t" strokecolor="black" strokeweight="0.75pt">
              <v:stroke dashstyle="solid"/>
            </v:line>
            <v:shape id="_x0000_s1067" style="width:120;height:120;left:6259;position:absolute;top:3792" coordorigin="6260,3792" coordsize="120,120" path="m6320,3912l6260,3792,6380,3792,6320,3912xe" filled="t" fillcolor="black" stroked="f">
              <v:fill type="solid"/>
              <v:path arrowok="t"/>
            </v:shape>
            <v:rect id="_x0000_s1068" style="width:2340;height:624;left:5240;position:absolute;top:5003" filled="f" stroked="t" strokecolor="black" strokeweight="0.75pt">
              <v:stroke dashstyle="solid"/>
            </v:rect>
            <v:line id="_x0000_s1069" style="position:absolute" from="6320,4536" to="6320,4981" stroked="t" strokecolor="black" strokeweight="0.75pt">
              <v:stroke dashstyle="solid"/>
            </v:line>
            <v:shape id="_x0000_s1070" style="width:120;height:120;left:6259;position:absolute;top:4883" coordorigin="6260,4884" coordsize="120,120" path="m6320,5004l6260,4884,6380,4884,6320,5004xe" filled="t" fillcolor="black" stroked="f">
              <v:fill type="solid"/>
              <v:path arrowok="t"/>
            </v:shape>
            <v:line id="_x0000_s1071" style="position:absolute" from="3800,5940" to="8840,5940" stroked="t" strokecolor="black" strokeweight="0.75pt">
              <v:stroke dashstyle="solid"/>
            </v:line>
            <v:line id="_x0000_s1072" style="position:absolute" from="6320,5628" to="6320,5918" stroked="t" strokecolor="black" strokeweight="0.75pt">
              <v:stroke dashstyle="solid"/>
            </v:line>
            <v:shape id="_x0000_s1073" style="width:120;height:120;left:6259;position:absolute;top:5820" coordorigin="6260,5820" coordsize="120,120" path="m6320,5940l6260,5820,6380,5820,6320,5940xe" filled="t" fillcolor="black" stroked="f">
              <v:fill type="solid"/>
              <v:path arrowok="t"/>
            </v:shape>
            <v:line id="_x0000_s1074" style="position:absolute" from="3800,5940" to="3800,6386" stroked="t" strokecolor="black" strokeweight="0.75pt">
              <v:stroke dashstyle="solid"/>
            </v:line>
            <v:shape id="_x0000_s1075" style="width:120;height:120;left:3740;position:absolute;top:6288" coordorigin="3740,6288" coordsize="120,120" path="m3800,6408l3740,6288,3860,6288,3800,6408xe" filled="t" fillcolor="black" stroked="f">
              <v:fill type="solid"/>
              <v:path arrowok="t"/>
            </v:shape>
            <v:line id="_x0000_s1076" style="position:absolute" from="8840,5940" to="8840,6386" stroked="t" strokecolor="black" strokeweight="0.75pt">
              <v:stroke dashstyle="solid"/>
            </v:line>
            <v:shape id="_x0000_s1077" style="width:120;height:120;left:8779;position:absolute;top:6288" coordorigin="8780,6288" coordsize="120,120" path="m8840,6408l8780,6288,8900,6288,8840,6408xe" filled="t" fillcolor="black" stroked="f">
              <v:fill type="solid"/>
              <v:path arrowok="t"/>
            </v:shape>
            <v:line id="_x0000_s1078" style="position:absolute" from="3784,4542" to="3784,5313" stroked="t" strokecolor="black" strokeweight="0.75pt">
              <v:stroke dashstyle="solid"/>
            </v:line>
            <v:line id="_x0000_s1079" style="position:absolute" from="3784,5322" to="5218,5322" stroked="t" strokecolor="black" strokeweight="0.75pt">
              <v:stroke dashstyle="solid"/>
            </v:line>
            <v:shape id="_x0000_s1080" style="width:120;height:120;left:5120;position:absolute;top:5262" coordorigin="5120,5262" coordsize="120,120" path="m5120,5382l5120,5262,5240,5322,5120,5382xe" filled="t" fillcolor="black" stroked="f">
              <v:fill type="solid"/>
              <v:path arrowok="t"/>
            </v:shape>
            <v:shape id="_x0000_s1081" type="#_x0000_t202" style="width:1910;height:210;left:3574;position:absolute;top:2483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一般安全隐患、问题</w:t>
                    </w:r>
                  </w:p>
                </w:txbxContent>
              </v:textbox>
            </v:shape>
            <v:shape id="_x0000_s1082" type="#_x0000_t202" style="width:1280;height:210;left:8030;position:absolute;top:2483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严重安全隐患</w:t>
                    </w:r>
                  </w:p>
                </w:txbxContent>
              </v:textbox>
            </v:shape>
            <v:shape id="_x0000_s1083" type="#_x0000_t202" style="width:1280;height:210;left:3170;position:absolute;top:4043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开具整改指令</w:t>
                    </w:r>
                  </w:p>
                </w:txbxContent>
              </v:textbox>
            </v:shape>
            <v:shape id="_x0000_s1084" type="#_x0000_t202" style="width:1490;height:210;left:5585;position:absolute;top:4043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下达工程暂停令</w:t>
                    </w:r>
                  </w:p>
                </w:txbxContent>
              </v:textbox>
            </v:shape>
            <v:shape id="_x0000_s1085" type="#_x0000_t202" style="width:1910;height:210;left:5465;position:absolute;top:5135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监督、检查整改结果</w:t>
                    </w:r>
                  </w:p>
                </w:txbxContent>
              </v:textbox>
            </v:shape>
            <v:shape id="_x0000_s1086" type="#_x0000_t202" style="width:2701;height:624;left:7399;position:absolute;top:640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4"/>
                      <w:ind w:left="188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"/>
                        <w:sz w:val="21"/>
                      </w:rPr>
                      <w:t>向有关行政主管部门报告</w:t>
                    </w:r>
                  </w:p>
                </w:txbxContent>
              </v:textbox>
            </v:shape>
            <v:shape id="_x0000_s1087" type="#_x0000_t202" style="width:2520;height:624;left:2719;position:absolute;top:640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4"/>
                      <w:ind w:left="307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签署复查或复工意见</w:t>
                    </w:r>
                  </w:p>
                </w:txbxContent>
              </v:textbox>
            </v:shape>
            <v:shape id="_x0000_s1088" type="#_x0000_t202" style="width:2161;height:624;left:7940;position:absolute;top:391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4"/>
                      <w:ind w:left="4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报告建设单位</w:t>
                    </w:r>
                  </w:p>
                </w:txbxContent>
              </v:textbox>
            </v:shape>
            <v:line id="_x0000_s1089" style="position:absolute" from="6500,792" to="6501,1237" stroked="t" strokecolor="black" strokeweight="0.75pt">
              <v:stroke dashstyle="solid"/>
            </v:line>
            <v:shape id="_x0000_s1090" style="width:120;height:121;left:6440;position:absolute;top:1139" coordorigin="6441,1140" coordsize="120,121" path="m6501,1260l6441,1140,6561,1140,6501,1260xe" filled="t" fillcolor="black" stroked="f">
              <v:fill type="solid"/>
              <v:path arrowok="t"/>
            </v:shape>
            <v:shape id="_x0000_s1091" type="#_x0000_t202" style="width:2161;height:624;left:5419;position:absolute;top:126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4"/>
                      <w:ind w:left="4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各类安全隐患</w:t>
                    </w:r>
                  </w:p>
                </w:txbxContent>
              </v:textbox>
            </v:shape>
            <v:shape id="_x0000_s1092" type="#_x0000_t202" style="width:2161;height:624;left:5419;position:absolute;top:167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4"/>
                      <w:ind w:left="338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安全巡查、检查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before="66"/>
        <w:ind w:left="120" w:right="0" w:firstLine="0"/>
        <w:jc w:val="left"/>
        <w:rPr>
          <w:rFonts w:ascii="宋体" w:eastAsia="宋体"/>
          <w:sz w:val="24"/>
        </w:rPr>
      </w:pPr>
      <w:r>
        <w:rPr>
          <w:rFonts w:ascii="宋体" w:eastAsia="宋体"/>
          <w:spacing w:val="-1"/>
          <w:sz w:val="24"/>
        </w:rPr>
        <w:t>六、拌合站安拆安全监理内容及要点：</w:t>
      </w:r>
    </w:p>
    <w:p>
      <w:pPr>
        <w:pStyle w:val="BodyText"/>
        <w:rPr>
          <w:rFonts w:ascii="宋体"/>
          <w:sz w:val="24"/>
        </w:rPr>
      </w:pPr>
    </w:p>
    <w:p>
      <w:pPr>
        <w:pStyle w:val="BodyText"/>
        <w:spacing w:before="5"/>
        <w:rPr>
          <w:rFonts w:ascii="宋体"/>
          <w:sz w:val="29"/>
        </w:rPr>
      </w:pPr>
    </w:p>
    <w:p>
      <w:pPr>
        <w:pStyle w:val="BodyText"/>
        <w:ind w:left="120"/>
        <w:rPr>
          <w:rFonts w:ascii="宋体" w:eastAsia="宋体"/>
        </w:rPr>
      </w:pPr>
      <w:r>
        <w:rPr>
          <w:rFonts w:ascii="Calibri" w:eastAsia="Calibri"/>
        </w:rPr>
        <w:t>1</w:t>
      </w:r>
      <w:r>
        <w:rPr>
          <w:rFonts w:ascii="宋体" w:eastAsia="宋体"/>
          <w:spacing w:val="-2"/>
        </w:rPr>
        <w:t>、安全监理内容</w:t>
      </w:r>
    </w:p>
    <w:p>
      <w:pPr>
        <w:pStyle w:val="BodyText"/>
        <w:spacing w:before="10"/>
        <w:rPr>
          <w:rFonts w:ascii="宋体"/>
          <w:sz w:val="25"/>
        </w:rPr>
      </w:pPr>
    </w:p>
    <w:p>
      <w:pPr>
        <w:pStyle w:val="BodyText"/>
        <w:spacing w:line="400" w:lineRule="auto"/>
        <w:ind w:left="120" w:right="125" w:firstLine="560"/>
      </w:pPr>
      <w:r>
        <w:rPr>
          <w:spacing w:val="-4"/>
        </w:rPr>
        <w:t>监理安全控制工作主要是控制施工人员的不安全行为，控制物的</w:t>
      </w:r>
      <w:r>
        <w:rPr>
          <w:spacing w:val="-11"/>
        </w:rPr>
        <w:t>不安全状态，督促施工单位做好作业环境的防护工作。在水泥砼拌和</w:t>
      </w:r>
      <w:r>
        <w:rPr>
          <w:spacing w:val="-14"/>
        </w:rPr>
        <w:t>设备装拆安全监理中，监督施工单位按照建筑施工安全生产法规、公</w:t>
      </w:r>
      <w:r>
        <w:rPr>
          <w:spacing w:val="-19"/>
        </w:rPr>
        <w:t>路工程施工安全技术规程、以及上报的安全专项的方案组织文明施工，</w:t>
      </w:r>
      <w:r>
        <w:rPr>
          <w:spacing w:val="-4"/>
        </w:rPr>
        <w:t>消除设备装拆过程中的危害性和操作过程中的冒险性、盲目性及随意</w:t>
      </w:r>
      <w:r>
        <w:rPr>
          <w:spacing w:val="-12"/>
        </w:rPr>
        <w:t>性，落实各项安全技术措施，确保龙门吊安装过程中不出现安全问题</w:t>
      </w:r>
    </w:p>
    <w:p>
      <w:pPr>
        <w:spacing w:after="0" w:line="400" w:lineRule="auto"/>
        <w:sectPr>
          <w:footerReference w:type="default" r:id="rId18"/>
          <w:pgSz w:w="11910" w:h="16840"/>
          <w:pgMar w:top="1520" w:right="1440" w:bottom="1160" w:left="1680" w:header="0" w:footer="970"/>
          <w:pgNumType w:start="8"/>
          <w:cols w:space="708"/>
        </w:sectPr>
      </w:pPr>
    </w:p>
    <w:p>
      <w:pPr>
        <w:pStyle w:val="BodyText"/>
        <w:spacing w:before="42" w:line="400" w:lineRule="auto"/>
        <w:ind w:left="120" w:right="358"/>
        <w:jc w:val="both"/>
      </w:pPr>
      <w:r>
        <w:rPr>
          <w:spacing w:val="-4"/>
        </w:rPr>
        <w:t>及隐患。监理办安全监理工程师经常巡查现场，对其安全生产进行检</w:t>
      </w:r>
      <w:r>
        <w:rPr>
          <w:spacing w:val="-4"/>
        </w:rPr>
        <w:t>查监督，防范危险源，发现问题及时采取措施，消除施工中存在的安</w:t>
      </w:r>
      <w:r>
        <w:rPr>
          <w:spacing w:val="-2"/>
        </w:rPr>
        <w:t>全隐患和杜绝安全事故。</w:t>
      </w:r>
    </w:p>
    <w:p>
      <w:pPr>
        <w:pStyle w:val="BodyText"/>
        <w:spacing w:before="158"/>
        <w:ind w:left="680"/>
      </w:pPr>
      <w:r>
        <w:t>2</w:t>
      </w:r>
      <w:r>
        <w:rPr>
          <w:spacing w:val="-2"/>
        </w:rPr>
        <w:t>、安全监理要点</w:t>
      </w:r>
    </w:p>
    <w:p>
      <w:pPr>
        <w:pStyle w:val="BodyText"/>
        <w:rPr>
          <w:sz w:val="31"/>
        </w:rPr>
      </w:pPr>
    </w:p>
    <w:p>
      <w:pPr>
        <w:pStyle w:val="BodyText"/>
        <w:ind w:left="120"/>
      </w:pPr>
      <w:r>
        <w:t>（一）</w:t>
      </w:r>
      <w:r>
        <w:rPr>
          <w:spacing w:val="-1"/>
        </w:rPr>
        <w:t>施工前准备安全监理要点</w:t>
      </w:r>
    </w:p>
    <w:p>
      <w:pPr>
        <w:pStyle w:val="BodyText"/>
        <w:spacing w:before="202" w:line="364" w:lineRule="auto"/>
        <w:ind w:left="120" w:right="358" w:firstLine="560"/>
      </w:pPr>
      <w:r>
        <w:rPr>
          <w:spacing w:val="-2"/>
        </w:rPr>
        <w:t>1、施工场地事先进行硬化处理，场地开阔没有与装拆施工相干</w:t>
      </w:r>
      <w:r>
        <w:rPr>
          <w:spacing w:val="-2"/>
        </w:rPr>
        <w:t>涉的障碍物，吊车工作区域地基坚实可靠。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2、施工人员必须熟悉施工现场，熟悉安装方案，技术人员做好</w:t>
      </w:r>
      <w:r>
        <w:rPr>
          <w:spacing w:val="-2"/>
        </w:rPr>
        <w:t>施工工序的技术安全交底。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3、对配合安装吊车及人员进行资历审核及安全技术交底，配合</w:t>
      </w:r>
      <w:r>
        <w:rPr>
          <w:spacing w:val="-2"/>
        </w:rPr>
        <w:t>机具进行全面检查。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4、对所有用于装拆作业的工器具进行全面检查，所有的安全装</w:t>
      </w:r>
      <w:r>
        <w:rPr>
          <w:spacing w:val="-2"/>
        </w:rPr>
        <w:t>置必须齐全可靠。</w:t>
      </w:r>
    </w:p>
    <w:p>
      <w:pPr>
        <w:pStyle w:val="BodyText"/>
        <w:spacing w:line="358" w:lineRule="exact"/>
        <w:ind w:left="680"/>
      </w:pPr>
      <w:r>
        <w:t>5</w:t>
      </w:r>
      <w:r>
        <w:rPr>
          <w:spacing w:val="-1"/>
        </w:rPr>
        <w:t>、作业中使用的安全带、保险绳应检验合格。</w:t>
      </w:r>
    </w:p>
    <w:p>
      <w:pPr>
        <w:pStyle w:val="BodyText"/>
        <w:spacing w:before="182"/>
        <w:ind w:left="120"/>
      </w:pPr>
      <w:r>
        <w:t>（二）</w:t>
      </w:r>
      <w:r>
        <w:rPr>
          <w:spacing w:val="-1"/>
        </w:rPr>
        <w:t>装拆施工安全监理要点</w:t>
      </w:r>
    </w:p>
    <w:p>
      <w:pPr>
        <w:pStyle w:val="BodyText"/>
        <w:spacing w:before="186"/>
        <w:ind w:left="680"/>
      </w:pPr>
      <w:r>
        <w:rPr>
          <w:spacing w:val="-1"/>
        </w:rPr>
        <w:t>起重吊装作业安全监理要点：</w:t>
      </w:r>
    </w:p>
    <w:p>
      <w:pPr>
        <w:pStyle w:val="BodyText"/>
        <w:spacing w:before="186" w:line="364" w:lineRule="auto"/>
        <w:ind w:left="120" w:right="358" w:firstLine="560"/>
      </w:pPr>
      <w:r>
        <w:rPr>
          <w:spacing w:val="-2"/>
        </w:rPr>
        <w:t>1、所有起重设备和机具必须服从统一调配和安全管理，遵守起</w:t>
      </w:r>
      <w:r>
        <w:rPr>
          <w:spacing w:val="-2"/>
        </w:rPr>
        <w:t>重十不吊安全操作规程。</w:t>
      </w:r>
    </w:p>
    <w:p>
      <w:pPr>
        <w:pStyle w:val="BodyText"/>
        <w:spacing w:line="364" w:lineRule="auto"/>
        <w:ind w:left="120" w:right="359" w:firstLine="560"/>
        <w:jc w:val="both"/>
      </w:pPr>
      <w:r>
        <w:rPr>
          <w:spacing w:val="-2"/>
        </w:rPr>
        <w:t>2、起重机械设备安全防护装置必须保证齐全、灵敏、可靠，并</w:t>
      </w:r>
      <w:r>
        <w:rPr>
          <w:spacing w:val="-4"/>
        </w:rPr>
        <w:t>定期进行检查、调整和测试，指定专人进行管理，作好各种记录。</w:t>
      </w:r>
      <w:hyperlink r:id="rId19">
        <w:r>
          <w:rPr>
            <w:spacing w:val="-4"/>
          </w:rPr>
          <w:t>起</w:t>
        </w:r>
      </w:hyperlink>
      <w:hyperlink r:id="rId19">
        <w:r>
          <w:rPr>
            <w:spacing w:val="-2"/>
          </w:rPr>
          <w:t>重机械设备必须严格履行安装验收手续</w:t>
        </w:r>
      </w:hyperlink>
      <w:r>
        <w:rPr>
          <w:spacing w:val="-13"/>
        </w:rPr>
        <w:t>，并在明显部位悬挂安全操作</w:t>
      </w:r>
      <w:r>
        <w:rPr>
          <w:spacing w:val="-2"/>
        </w:rPr>
        <w:t>规程及设备负责人标牌。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3、起重机械设备严禁超负荷和带病运行，</w:t>
      </w:r>
      <w:hyperlink r:id="rId20">
        <w:r>
          <w:rPr>
            <w:spacing w:val="-2"/>
          </w:rPr>
          <w:t>机械</w:t>
        </w:r>
      </w:hyperlink>
      <w:r>
        <w:rPr>
          <w:spacing w:val="-2"/>
        </w:rPr>
        <w:t>运行中禁止维修</w:t>
      </w:r>
      <w:r>
        <w:rPr>
          <w:spacing w:val="-5"/>
        </w:rPr>
        <w:t>保养。电气设备检修时必须停机断电，锁闭箱门，挂警示牌并设监护</w:t>
      </w:r>
    </w:p>
    <w:p>
      <w:pPr>
        <w:spacing w:after="0" w:line="364" w:lineRule="auto"/>
        <w:sectPr>
          <w:footerReference w:type="default" r:id="rId21"/>
          <w:pgSz w:w="11910" w:h="16840"/>
          <w:pgMar w:top="1580" w:right="1440" w:bottom="1160" w:left="1680" w:header="0" w:footer="970"/>
          <w:pgNumType w:start="9"/>
          <w:cols w:space="708"/>
        </w:sectPr>
      </w:pPr>
    </w:p>
    <w:p>
      <w:pPr>
        <w:pStyle w:val="BodyText"/>
        <w:spacing w:before="46" w:line="364" w:lineRule="auto"/>
        <w:ind w:left="120" w:right="218"/>
      </w:pPr>
      <w:r>
        <w:rPr>
          <w:spacing w:val="-18"/>
        </w:rPr>
        <w:t>人。操作人员离机或作业中途停电时，必须取下启动钥匙，切断电源，</w:t>
      </w:r>
      <w:r>
        <w:rPr>
          <w:spacing w:val="-2"/>
        </w:rPr>
        <w:t>锁闭箱门。</w:t>
      </w:r>
    </w:p>
    <w:p>
      <w:pPr>
        <w:pStyle w:val="BodyText"/>
        <w:spacing w:line="364" w:lineRule="auto"/>
        <w:ind w:left="120" w:right="358" w:firstLine="560"/>
        <w:jc w:val="both"/>
      </w:pPr>
      <w:r>
        <w:rPr>
          <w:spacing w:val="-2"/>
        </w:rPr>
        <w:t>4、作业前必须检查作业周边环境、吊索具、防护用品。吊装区</w:t>
      </w:r>
      <w:r>
        <w:rPr>
          <w:spacing w:val="-4"/>
        </w:rPr>
        <w:t>域无闲散人员，清理障碍物，吊索具无缺陷，捆绑正确牢固，被吊物</w:t>
      </w:r>
      <w:r>
        <w:rPr>
          <w:spacing w:val="-2"/>
        </w:rPr>
        <w:t>与其它物体无连接，确认安全后方可作业。</w:t>
      </w:r>
    </w:p>
    <w:p>
      <w:pPr>
        <w:pStyle w:val="BodyText"/>
        <w:spacing w:line="357" w:lineRule="exact"/>
        <w:ind w:left="680"/>
      </w:pPr>
      <w:r>
        <w:t>5</w:t>
      </w:r>
      <w:r>
        <w:rPr>
          <w:spacing w:val="-1"/>
        </w:rPr>
        <w:t>、作业中起重臂仰角不得超过规定，起重臂下严禁站人。</w:t>
      </w:r>
    </w:p>
    <w:p>
      <w:pPr>
        <w:pStyle w:val="BodyText"/>
        <w:spacing w:before="185"/>
        <w:ind w:left="680"/>
      </w:pPr>
      <w:r>
        <w:t>6</w:t>
      </w:r>
      <w:r>
        <w:rPr>
          <w:spacing w:val="-1"/>
        </w:rPr>
        <w:t>、作业中禁止搬动支腿操作阀。</w:t>
      </w:r>
    </w:p>
    <w:p>
      <w:pPr>
        <w:pStyle w:val="BodyText"/>
        <w:spacing w:before="186" w:line="364" w:lineRule="auto"/>
        <w:ind w:left="120" w:right="358" w:firstLine="560"/>
      </w:pPr>
      <w:r>
        <w:rPr>
          <w:spacing w:val="-2"/>
        </w:rPr>
        <w:t>7、在进行吊装作业时，驾驶室内不得有人将室门锁住，防止碰</w:t>
      </w:r>
      <w:r>
        <w:rPr>
          <w:spacing w:val="-2"/>
        </w:rPr>
        <w:t>动操作杆出现意外事故。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8、出现支腿沉陷、起重机倾斜等情况时，必须立即放下吊物。</w:t>
      </w:r>
      <w:r>
        <w:rPr>
          <w:spacing w:val="-2"/>
        </w:rPr>
        <w:t>经调整，消除不安全因素后方可继续作业。</w:t>
      </w:r>
    </w:p>
    <w:p>
      <w:pPr>
        <w:pStyle w:val="BodyText"/>
        <w:spacing w:line="358" w:lineRule="exact"/>
        <w:ind w:left="680"/>
      </w:pPr>
      <w:r>
        <w:t>9</w:t>
      </w:r>
      <w:r>
        <w:rPr>
          <w:spacing w:val="-1"/>
        </w:rPr>
        <w:t>、作业中变幅应平稳，严禁猛起猛落。</w:t>
      </w:r>
    </w:p>
    <w:p>
      <w:pPr>
        <w:pStyle w:val="BodyText"/>
        <w:spacing w:before="184" w:line="364" w:lineRule="auto"/>
        <w:ind w:left="120" w:right="358" w:firstLine="560"/>
      </w:pPr>
      <w:r>
        <w:rPr>
          <w:spacing w:val="-4"/>
        </w:rPr>
        <w:t>10、作业前应伸出全部支腿，撑脚板下方必须垫方木，调整好机</w:t>
      </w:r>
      <w:r>
        <w:rPr>
          <w:spacing w:val="-2"/>
        </w:rPr>
        <w:t>体水平度，支腿定位销必须插上。</w:t>
      </w:r>
    </w:p>
    <w:p>
      <w:pPr>
        <w:pStyle w:val="BodyText"/>
        <w:spacing w:line="358" w:lineRule="exact"/>
        <w:ind w:left="680"/>
      </w:pPr>
      <w:r>
        <w:t>11</w:t>
      </w:r>
      <w:r>
        <w:rPr>
          <w:spacing w:val="-2"/>
        </w:rPr>
        <w:t>、严禁酒后作业。</w:t>
      </w:r>
    </w:p>
    <w:p>
      <w:pPr>
        <w:pStyle w:val="BodyText"/>
        <w:spacing w:before="186" w:line="364" w:lineRule="auto"/>
        <w:ind w:left="120" w:right="358" w:firstLine="560"/>
      </w:pPr>
      <w:r>
        <w:rPr>
          <w:spacing w:val="-4"/>
        </w:rPr>
        <w:t>12、遇有恶劣气候如大雨、大雾和五级以上强风时，必须停止吊</w:t>
      </w:r>
      <w:r>
        <w:rPr>
          <w:spacing w:val="-4"/>
        </w:rPr>
        <w:t>装作业。</w:t>
      </w:r>
    </w:p>
    <w:p>
      <w:pPr>
        <w:pStyle w:val="BodyText"/>
        <w:spacing w:line="364" w:lineRule="auto"/>
        <w:ind w:left="120" w:right="358" w:firstLine="560"/>
        <w:jc w:val="both"/>
      </w:pPr>
      <w:r>
        <w:rPr>
          <w:spacing w:val="-4"/>
        </w:rPr>
        <w:t>13、起重机的吊钩和吊环严禁补焊，有下列情形之一者，应当更</w:t>
      </w:r>
      <w:r>
        <w:rPr>
          <w:spacing w:val="-4"/>
        </w:rPr>
        <w:t>换：危险断面和钩颈有永久变形；表面有裂纹；挂绳处断面磨损超过</w:t>
      </w:r>
      <w:r>
        <w:rPr>
          <w:spacing w:val="-10"/>
        </w:rPr>
        <w:t xml:space="preserve">高度的 </w:t>
      </w:r>
      <w:r>
        <w:rPr>
          <w:spacing w:val="-2"/>
        </w:rPr>
        <w:t>10%</w:t>
      </w:r>
      <w:r>
        <w:rPr>
          <w:spacing w:val="-5"/>
        </w:rPr>
        <w:t xml:space="preserve">；吊钩衬套磨损超过原厚度 </w:t>
      </w:r>
      <w:r>
        <w:rPr>
          <w:spacing w:val="-2"/>
        </w:rPr>
        <w:t>50%；心轴（销子）磨损超过</w:t>
      </w:r>
      <w:r>
        <w:rPr>
          <w:spacing w:val="-9"/>
        </w:rPr>
        <w:t xml:space="preserve">其直径的 </w:t>
      </w:r>
      <w:r>
        <w:t>3%～5%。</w:t>
      </w:r>
    </w:p>
    <w:p>
      <w:pPr>
        <w:pStyle w:val="BodyText"/>
        <w:spacing w:line="356" w:lineRule="exact"/>
        <w:ind w:left="680"/>
      </w:pPr>
      <w:r>
        <w:rPr>
          <w:spacing w:val="-1"/>
        </w:rPr>
        <w:t>机械作业安全监理要点：</w:t>
      </w:r>
    </w:p>
    <w:p>
      <w:pPr>
        <w:pStyle w:val="BodyText"/>
        <w:spacing w:before="185" w:line="364" w:lineRule="auto"/>
        <w:ind w:left="120" w:right="358" w:firstLine="560"/>
        <w:jc w:val="both"/>
      </w:pPr>
      <w:r>
        <w:rPr>
          <w:spacing w:val="-2"/>
        </w:rPr>
        <w:t>1、各种机械操作人员和车辆驾驶员，必须取得操作合格证，不</w:t>
      </w:r>
      <w:r>
        <w:rPr>
          <w:spacing w:val="-10"/>
        </w:rPr>
        <w:t>准操作与证不相符的机械，不准将机械设备交给无本机操作证的人员</w:t>
      </w:r>
      <w:r>
        <w:rPr>
          <w:spacing w:val="-2"/>
        </w:rPr>
        <w:t>操作，对机械操作人员要建立档案，专人管理。</w:t>
      </w:r>
    </w:p>
    <w:p>
      <w:pPr>
        <w:spacing w:after="0" w:line="364" w:lineRule="auto"/>
        <w:jc w:val="both"/>
        <w:sectPr>
          <w:footerReference w:type="default" r:id="rId22"/>
          <w:pgSz w:w="11910" w:h="16840"/>
          <w:pgMar w:top="1380" w:right="1440" w:bottom="1160" w:left="1680" w:header="0" w:footer="970"/>
          <w:pgNumType w:start="10"/>
          <w:cols w:space="708"/>
        </w:sectPr>
      </w:pPr>
    </w:p>
    <w:p>
      <w:pPr>
        <w:pStyle w:val="BodyText"/>
        <w:spacing w:before="46" w:line="364" w:lineRule="auto"/>
        <w:ind w:left="120" w:right="358" w:firstLine="560"/>
      </w:pPr>
      <w:r>
        <w:rPr>
          <w:spacing w:val="-2"/>
        </w:rPr>
        <w:t>2、操作人员必须按照本机说明书规定，严格执行工作前的检查</w:t>
      </w:r>
      <w:r>
        <w:rPr>
          <w:spacing w:val="-2"/>
        </w:rPr>
        <w:t>制度和工作中注意观察及工作后的检查保养制度。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3、驾驶室或操作室应保持整洁，严禁存放易燃、易爆物品，严</w:t>
      </w:r>
      <w:r>
        <w:rPr>
          <w:spacing w:val="-2"/>
        </w:rPr>
        <w:t>禁酒后操作机械，严禁机械带病运转或超负荷运转。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4、机械设备在施工现场停放时，应选择安全的停放地点，夜间</w:t>
      </w:r>
      <w:r>
        <w:rPr>
          <w:spacing w:val="-2"/>
        </w:rPr>
        <w:t>应有专人看管。</w:t>
      </w:r>
    </w:p>
    <w:p>
      <w:pPr>
        <w:pStyle w:val="BodyText"/>
        <w:spacing w:line="358" w:lineRule="exact"/>
        <w:ind w:left="680"/>
      </w:pPr>
      <w:r>
        <w:t>5</w:t>
      </w:r>
      <w:r>
        <w:rPr>
          <w:spacing w:val="-1"/>
        </w:rPr>
        <w:t>、严禁对运转中的机械设备进行维修、保养、调整等作业。</w:t>
      </w:r>
    </w:p>
    <w:p>
      <w:pPr>
        <w:pStyle w:val="BodyText"/>
        <w:spacing w:before="184" w:line="364" w:lineRule="auto"/>
        <w:ind w:left="120" w:right="358" w:firstLine="560"/>
      </w:pPr>
      <w:r>
        <w:rPr>
          <w:spacing w:val="-2"/>
        </w:rPr>
        <w:t>6、指挥施工机械作业人员，必须站在可让人了望的安全地点并</w:t>
      </w:r>
      <w:r>
        <w:rPr>
          <w:spacing w:val="-2"/>
        </w:rPr>
        <w:t>应明确规定指挥联络信号。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7、使用钢丝绳的机械，在运行中严禁用手套或其他物件接触钢</w:t>
      </w:r>
      <w:r>
        <w:rPr>
          <w:spacing w:val="-2"/>
        </w:rPr>
        <w:t>丝绳。用钢丝绳拖拉机械或重物时，人员应远离钢丝绳。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8、操作人员应严格执行指挥人员的信号，在进行各项动作前，</w:t>
      </w:r>
      <w:r>
        <w:rPr>
          <w:spacing w:val="-2"/>
        </w:rPr>
        <w:t>应鸣声示意。</w:t>
      </w:r>
    </w:p>
    <w:p>
      <w:pPr>
        <w:pStyle w:val="BodyText"/>
        <w:spacing w:line="358" w:lineRule="exact"/>
        <w:ind w:left="680"/>
      </w:pPr>
      <w:r>
        <w:rPr>
          <w:spacing w:val="-1"/>
        </w:rPr>
        <w:t>高空作业安全监理要点：</w:t>
      </w:r>
    </w:p>
    <w:p>
      <w:pPr>
        <w:pStyle w:val="BodyText"/>
        <w:spacing w:before="183" w:line="364" w:lineRule="auto"/>
        <w:ind w:left="120" w:right="218" w:firstLine="560"/>
      </w:pPr>
      <w:r>
        <w:rPr>
          <w:spacing w:val="-2"/>
        </w:rPr>
        <w:t>1</w:t>
      </w:r>
      <w:r>
        <w:rPr>
          <w:spacing w:val="-13"/>
        </w:rPr>
        <w:t>、施工负责人应对高处作业安全技术负责并建立相应的责任制。</w:t>
      </w:r>
      <w:r>
        <w:rPr>
          <w:spacing w:val="-2"/>
        </w:rPr>
        <w:t>施工前，逐级进行安全技术教育及交底，落实所有安全技术措施和人</w:t>
      </w:r>
      <w:r>
        <w:rPr>
          <w:spacing w:val="-2"/>
        </w:rPr>
        <w:t>身防护用品，未经落实时不得进行施工。</w:t>
      </w:r>
    </w:p>
    <w:p>
      <w:pPr>
        <w:pStyle w:val="BodyText"/>
        <w:spacing w:line="357" w:lineRule="exact"/>
        <w:ind w:left="680"/>
      </w:pPr>
      <w:r>
        <w:t>2</w:t>
      </w:r>
      <w:r>
        <w:rPr>
          <w:spacing w:val="-1"/>
        </w:rPr>
        <w:t>、各种特种作业操作人员必须持证上岗。</w:t>
      </w:r>
    </w:p>
    <w:p>
      <w:pPr>
        <w:pStyle w:val="BodyText"/>
        <w:spacing w:before="186" w:line="364" w:lineRule="auto"/>
        <w:ind w:left="120" w:right="358" w:firstLine="560"/>
        <w:jc w:val="both"/>
      </w:pPr>
      <w:r>
        <w:rPr>
          <w:spacing w:val="-2"/>
        </w:rPr>
        <w:t>3、从事高处作业的人员上岗前要进行体检。凡经医师诊断为高</w:t>
      </w:r>
      <w:r>
        <w:rPr>
          <w:spacing w:val="-4"/>
        </w:rPr>
        <w:t>血压、贫血、心脏病、癫痫以及其他不适宜高处作业人员，不得从事</w:t>
      </w:r>
      <w:r>
        <w:rPr>
          <w:spacing w:val="-2"/>
        </w:rPr>
        <w:t>高处作业。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4、高处作业前，必须对相关防护设施及个人安全防护用品进行</w:t>
      </w:r>
      <w:r>
        <w:rPr>
          <w:spacing w:val="-2"/>
        </w:rPr>
        <w:t>检查，不得在存在安全隐患的情况下强令或强行冒险作业。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5、作业时衣着要灵便，禁止穿硬鞋、带钉和易滑的鞋，穿好防</w:t>
      </w:r>
      <w:r>
        <w:rPr>
          <w:spacing w:val="-5"/>
        </w:rPr>
        <w:t>滑鞋。高处作业必须按规定使用安全带，扎紧带好劳动工具。安全带</w:t>
      </w:r>
    </w:p>
    <w:p>
      <w:pPr>
        <w:spacing w:after="0" w:line="364" w:lineRule="auto"/>
        <w:sectPr>
          <w:footerReference w:type="default" r:id="rId23"/>
          <w:pgSz w:w="11910" w:h="16840"/>
          <w:pgMar w:top="1380" w:right="1440" w:bottom="1160" w:left="1680" w:header="0" w:footer="970"/>
          <w:pgNumType w:start="11"/>
          <w:cols w:space="708"/>
        </w:sectPr>
      </w:pPr>
    </w:p>
    <w:p>
      <w:pPr>
        <w:pStyle w:val="BodyText"/>
        <w:spacing w:before="46" w:line="364" w:lineRule="auto"/>
        <w:ind w:left="680" w:right="3905" w:hanging="560"/>
      </w:pPr>
      <w:r>
        <w:rPr>
          <w:spacing w:val="-2"/>
        </w:rPr>
        <w:t>必须高挂低用，挂设点必须安全可靠。</w:t>
      </w:r>
      <w:r>
        <w:rPr>
          <w:spacing w:val="-2"/>
        </w:rPr>
        <w:t>用电施工安全监理要点：</w:t>
      </w:r>
    </w:p>
    <w:p>
      <w:pPr>
        <w:pStyle w:val="BodyText"/>
        <w:spacing w:line="364" w:lineRule="auto"/>
        <w:ind w:left="120" w:right="358" w:firstLine="560"/>
      </w:pPr>
      <w:r>
        <w:rPr>
          <w:spacing w:val="-2"/>
        </w:rPr>
        <w:t>1、需停电施工的项目，必须完成停电-验电-悬挂标识牌和装设</w:t>
      </w:r>
      <w:r>
        <w:rPr>
          <w:spacing w:val="-2"/>
        </w:rPr>
        <w:t>遮栏牌三项措施。</w:t>
      </w:r>
    </w:p>
    <w:p>
      <w:pPr>
        <w:pStyle w:val="BodyText"/>
        <w:spacing w:line="364" w:lineRule="auto"/>
        <w:ind w:left="120" w:right="358" w:firstLine="560"/>
        <w:jc w:val="both"/>
      </w:pPr>
      <w:r>
        <w:rPr>
          <w:spacing w:val="-2"/>
        </w:rPr>
        <w:t>2、电焊机的外壳必须可靠接地。焊钳及二次线的绝缘应可靠接</w:t>
      </w:r>
      <w:r>
        <w:rPr>
          <w:spacing w:val="-4"/>
        </w:rPr>
        <w:t>地。倒换电焊机接头，转换作业地点，发生故障或焊工离开作业场所</w:t>
      </w:r>
      <w:r>
        <w:rPr>
          <w:spacing w:val="-2"/>
        </w:rPr>
        <w:t>时，必须切断电源。</w:t>
      </w:r>
    </w:p>
    <w:p>
      <w:pPr>
        <w:pStyle w:val="BodyText"/>
        <w:spacing w:line="357" w:lineRule="exact"/>
        <w:ind w:left="680"/>
      </w:pPr>
      <w:r>
        <w:t>3</w:t>
      </w:r>
      <w:r>
        <w:rPr>
          <w:spacing w:val="-1"/>
        </w:rPr>
        <w:t>、严禁非电工拆、装施工用电设备。</w:t>
      </w:r>
    </w:p>
    <w:p>
      <w:pPr>
        <w:pStyle w:val="BodyText"/>
        <w:spacing w:before="184"/>
        <w:ind w:left="680"/>
      </w:pPr>
      <w:r>
        <w:t>4</w:t>
      </w:r>
      <w:r>
        <w:rPr>
          <w:spacing w:val="-1"/>
        </w:rPr>
        <w:t>、严禁将电源线直接勾挂在空开上或直接插入插座内使用。</w:t>
      </w:r>
    </w:p>
    <w:p>
      <w:pPr>
        <w:pStyle w:val="BodyText"/>
        <w:spacing w:before="185" w:line="364" w:lineRule="auto"/>
        <w:ind w:left="120" w:right="358" w:firstLine="560"/>
      </w:pPr>
      <w:r>
        <w:rPr>
          <w:spacing w:val="-2"/>
        </w:rPr>
        <w:t>5、严禁一个开关接多台电动设备，防止开关超负荷发生火灾及</w:t>
      </w:r>
      <w:r>
        <w:rPr>
          <w:spacing w:val="-2"/>
        </w:rPr>
        <w:t>触电事故。</w:t>
      </w:r>
    </w:p>
    <w:p>
      <w:pPr>
        <w:pStyle w:val="BodyText"/>
        <w:spacing w:before="7"/>
        <w:rPr>
          <w:sz w:val="41"/>
        </w:rPr>
      </w:pPr>
    </w:p>
    <w:p>
      <w:pPr>
        <w:pStyle w:val="BodyText"/>
        <w:ind w:left="120"/>
        <w:rPr>
          <w:rFonts w:ascii="宋体" w:eastAsia="宋体"/>
        </w:rPr>
      </w:pPr>
      <w:r>
        <w:rPr>
          <w:rFonts w:ascii="宋体" w:eastAsia="宋体"/>
          <w:spacing w:val="-2"/>
        </w:rPr>
        <w:t>八、安全及环保措施</w:t>
      </w:r>
    </w:p>
    <w:p>
      <w:pPr>
        <w:pStyle w:val="BodyText"/>
        <w:rPr>
          <w:rFonts w:ascii="宋体"/>
        </w:rPr>
      </w:pPr>
    </w:p>
    <w:p>
      <w:pPr>
        <w:pStyle w:val="BodyText"/>
        <w:spacing w:before="4"/>
        <w:rPr>
          <w:rFonts w:ascii="宋体"/>
          <w:sz w:val="23"/>
        </w:rPr>
      </w:pPr>
    </w:p>
    <w:p>
      <w:pPr>
        <w:pStyle w:val="BodyText"/>
        <w:ind w:left="680"/>
      </w:pPr>
      <w:r>
        <w:t>1</w:t>
      </w:r>
      <w:r>
        <w:rPr>
          <w:spacing w:val="-2"/>
        </w:rPr>
        <w:t>、安全措施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1381"/>
        </w:tabs>
        <w:spacing w:before="0" w:after="0" w:line="417" w:lineRule="auto"/>
        <w:ind w:left="120" w:right="358" w:firstLine="560"/>
        <w:jc w:val="left"/>
        <w:rPr>
          <w:sz w:val="28"/>
        </w:rPr>
      </w:pPr>
      <w:r>
        <w:rPr>
          <w:spacing w:val="-2"/>
          <w:sz w:val="28"/>
        </w:rPr>
        <w:t>、禁止非专业人员进入作业区，作业前对所有参建人员进</w:t>
      </w:r>
      <w:r>
        <w:rPr>
          <w:spacing w:val="-2"/>
          <w:sz w:val="28"/>
        </w:rPr>
        <w:t>行相关安全教育培训及技术交底，使作业工人了解安全知识；</w:t>
      </w:r>
    </w:p>
    <w:p>
      <w:pPr>
        <w:pStyle w:val="ListParagraph"/>
        <w:numPr>
          <w:ilvl w:val="0"/>
          <w:numId w:val="8"/>
        </w:numPr>
        <w:tabs>
          <w:tab w:val="left" w:pos="1381"/>
        </w:tabs>
        <w:spacing w:before="0" w:after="0" w:line="358" w:lineRule="exact"/>
        <w:ind w:left="1381" w:right="0" w:hanging="701"/>
        <w:jc w:val="left"/>
        <w:rPr>
          <w:sz w:val="28"/>
        </w:rPr>
      </w:pPr>
      <w:r>
        <w:rPr>
          <w:spacing w:val="-1"/>
          <w:sz w:val="28"/>
        </w:rPr>
        <w:t>、人员进入现场必须按要求佩带安全帽、穿救生衣；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1381"/>
        </w:tabs>
        <w:spacing w:before="0" w:after="0" w:line="417" w:lineRule="auto"/>
        <w:ind w:left="120" w:right="358" w:firstLine="560"/>
        <w:jc w:val="left"/>
        <w:rPr>
          <w:sz w:val="28"/>
        </w:rPr>
      </w:pPr>
      <w:r>
        <w:rPr>
          <w:spacing w:val="-2"/>
          <w:sz w:val="28"/>
        </w:rPr>
        <w:t>、严格执行安全用电制度，所有线路规范架设，所有用电</w:t>
      </w:r>
      <w:r>
        <w:rPr>
          <w:spacing w:val="-2"/>
          <w:sz w:val="28"/>
        </w:rPr>
        <w:t>设备必须按一机一箱一闸一保护原则。</w:t>
      </w:r>
    </w:p>
    <w:p>
      <w:pPr>
        <w:pStyle w:val="ListParagraph"/>
        <w:numPr>
          <w:ilvl w:val="0"/>
          <w:numId w:val="8"/>
        </w:numPr>
        <w:tabs>
          <w:tab w:val="left" w:pos="1381"/>
        </w:tabs>
        <w:spacing w:before="0" w:after="0" w:line="358" w:lineRule="exact"/>
        <w:ind w:left="1381" w:right="0" w:hanging="701"/>
        <w:jc w:val="left"/>
        <w:rPr>
          <w:sz w:val="28"/>
        </w:rPr>
      </w:pPr>
      <w:r>
        <w:rPr>
          <w:spacing w:val="-18"/>
          <w:sz w:val="28"/>
        </w:rPr>
        <w:t>、施工前进行设备安全性能检查，确保安全后方可开展施工；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1381"/>
        </w:tabs>
        <w:spacing w:before="0" w:after="0" w:line="417" w:lineRule="auto"/>
        <w:ind w:left="120" w:right="358" w:firstLine="560"/>
        <w:jc w:val="both"/>
        <w:rPr>
          <w:sz w:val="28"/>
        </w:rPr>
        <w:sectPr>
          <w:footerReference w:type="default" r:id="rId24"/>
          <w:pgSz w:w="11910" w:h="16840"/>
          <w:pgMar w:top="1380" w:right="1440" w:bottom="1160" w:left="1680" w:header="0" w:footer="970"/>
          <w:pgNumType w:start="12"/>
          <w:cols w:space="708"/>
        </w:sectPr>
      </w:pPr>
      <w:r>
        <w:rPr>
          <w:spacing w:val="-2"/>
          <w:sz w:val="28"/>
        </w:rPr>
        <w:t>、施工期间，及时掌握当地气象情况，准备必要的工具及</w:t>
      </w:r>
      <w:r>
        <w:rPr>
          <w:spacing w:val="-4"/>
          <w:sz w:val="28"/>
        </w:rPr>
        <w:t>物资设备，做好防洪准备工作。遇有暴雨或台风到来时，要有组织地</w:t>
      </w:r>
      <w:r>
        <w:rPr>
          <w:spacing w:val="-4"/>
          <w:sz w:val="28"/>
        </w:rPr>
        <w:t>进行检查、排洪、抢救物资、保护成品、加固设施等工作，并留有专</w:t>
      </w:r>
    </w:p>
    <w:p>
      <w:pPr>
        <w:pStyle w:val="ListParagraph"/>
        <w:numPr>
          <w:ilvl w:val="0"/>
          <w:numId w:val="0"/>
        </w:numPr>
        <w:tabs>
          <w:tab w:val="left" w:pos="1381"/>
        </w:tabs>
        <w:spacing w:before="0" w:after="0" w:line="417" w:lineRule="auto"/>
        <w:ind w:left="120" w:right="358" w:firstLine="560"/>
        <w:jc w:val="both"/>
        <w:rPr>
          <w:sz w:val="28"/>
        </w:rPr>
      </w:pPr>
      <w:r>
        <w:rPr>
          <w:spacing w:val="-10"/>
          <w:sz w:val="28"/>
        </w:rPr>
        <w:t>人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25"/>
          <w:type w:val="nextPage"/>
          <w:pgSz w:w="11910" w:h="16840"/>
          <w:pgMar w:top="1380" w:right="1440" w:bottom="1160" w:left="1680" w:header="0" w:footer="970"/>
          <w:pgNumType w:start="13"/>
          <w:cols w:space="708"/>
          <w:titlePg w:val="0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负责巡逻检查。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1381"/>
        </w:tabs>
        <w:spacing w:before="1" w:after="0" w:line="417" w:lineRule="auto"/>
        <w:ind w:left="120" w:right="358" w:firstLine="560"/>
        <w:jc w:val="left"/>
        <w:rPr>
          <w:sz w:val="28"/>
        </w:rPr>
      </w:pPr>
      <w:r>
        <w:rPr>
          <w:spacing w:val="-2"/>
          <w:sz w:val="28"/>
        </w:rPr>
        <w:t>、动火作业严格按消防管理制度，作业人员保持上岗，持</w:t>
      </w:r>
      <w:r>
        <w:rPr>
          <w:spacing w:val="-2"/>
          <w:sz w:val="28"/>
        </w:rPr>
        <w:t>动火证，现场所有监护人有预防措施。</w:t>
      </w:r>
    </w:p>
    <w:p>
      <w:pPr>
        <w:pStyle w:val="BodyText"/>
        <w:spacing w:line="358" w:lineRule="exact"/>
        <w:ind w:left="680"/>
      </w:pPr>
      <w:r>
        <w:t>2</w:t>
      </w:r>
      <w:r>
        <w:rPr>
          <w:spacing w:val="-2"/>
        </w:rPr>
        <w:t>、环保措施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1381"/>
        </w:tabs>
        <w:spacing w:before="1" w:after="0" w:line="240" w:lineRule="auto"/>
        <w:ind w:left="1381" w:right="0" w:hanging="701"/>
        <w:jc w:val="left"/>
        <w:rPr>
          <w:sz w:val="28"/>
        </w:rPr>
      </w:pPr>
      <w:r>
        <w:rPr>
          <w:spacing w:val="-6"/>
          <w:sz w:val="28"/>
        </w:rPr>
        <w:t>、职工进场前组织进行岗前培训，认真学习《环境保护法》</w:t>
      </w:r>
      <w:r>
        <w:rPr>
          <w:sz w:val="28"/>
        </w:rPr>
        <w:t>、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58"/>
      </w:pPr>
      <w:r>
        <w:rPr>
          <w:spacing w:val="-4"/>
        </w:rPr>
        <w:t>《水土保护法》及分项目部编制的有针对性的环保措施，强化环保意</w:t>
      </w:r>
      <w:r>
        <w:rPr>
          <w:spacing w:val="-2"/>
        </w:rPr>
        <w:t>识，使大家认识到环境保护工作的重要性和必要性。</w:t>
      </w:r>
    </w:p>
    <w:p>
      <w:pPr>
        <w:pStyle w:val="ListParagraph"/>
        <w:numPr>
          <w:ilvl w:val="0"/>
          <w:numId w:val="7"/>
        </w:numPr>
        <w:tabs>
          <w:tab w:val="left" w:pos="1381"/>
        </w:tabs>
        <w:spacing w:before="0" w:after="0" w:line="417" w:lineRule="auto"/>
        <w:ind w:left="120" w:right="358" w:firstLine="560"/>
        <w:jc w:val="left"/>
        <w:rPr>
          <w:sz w:val="28"/>
        </w:rPr>
      </w:pPr>
      <w:r>
        <w:rPr>
          <w:spacing w:val="-2"/>
          <w:sz w:val="28"/>
        </w:rPr>
        <w:t>、现场要求施工方设置沉淀池，所有泥浆必须进行用泥浆</w:t>
      </w:r>
      <w:r>
        <w:rPr>
          <w:spacing w:val="-4"/>
          <w:sz w:val="28"/>
        </w:rPr>
        <w:t>车运走；</w:t>
      </w:r>
    </w:p>
    <w:p>
      <w:pPr>
        <w:pStyle w:val="BodyText"/>
        <w:spacing w:line="358" w:lineRule="exact"/>
        <w:ind w:left="680"/>
      </w:pPr>
      <w:r>
        <w:rPr>
          <w:spacing w:val="-1"/>
        </w:rPr>
        <w:t>采取降尘措施，防止水泥扬尘；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1381"/>
        </w:tabs>
        <w:spacing w:before="0" w:after="0" w:line="417" w:lineRule="auto"/>
        <w:ind w:left="120" w:right="358" w:firstLine="560"/>
        <w:jc w:val="left"/>
        <w:rPr>
          <w:sz w:val="28"/>
        </w:rPr>
      </w:pPr>
      <w:r>
        <w:rPr>
          <w:spacing w:val="-2"/>
          <w:sz w:val="28"/>
        </w:rPr>
        <w:t>、加强废旧料、报废材料的回收和管理，减少污染，保护</w:t>
      </w:r>
      <w:r>
        <w:rPr>
          <w:spacing w:val="-4"/>
          <w:sz w:val="28"/>
        </w:rPr>
        <w:t>环境。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ind w:left="120"/>
        <w:rPr>
          <w:rFonts w:ascii="宋体" w:eastAsia="宋体"/>
        </w:rPr>
      </w:pPr>
      <w:r>
        <w:rPr>
          <w:rFonts w:ascii="宋体" w:eastAsia="宋体"/>
          <w:spacing w:val="-1"/>
        </w:rPr>
        <w:t>九、拌合站安拆施工安全监理方法、措施</w:t>
      </w:r>
    </w:p>
    <w:p>
      <w:pPr>
        <w:pStyle w:val="BodyText"/>
        <w:rPr>
          <w:rFonts w:ascii="宋体"/>
        </w:rPr>
      </w:pPr>
    </w:p>
    <w:p>
      <w:pPr>
        <w:pStyle w:val="BodyText"/>
        <w:spacing w:before="2"/>
        <w:rPr>
          <w:rFonts w:ascii="宋体"/>
          <w:sz w:val="22"/>
        </w:rPr>
      </w:pPr>
    </w:p>
    <w:p>
      <w:pPr>
        <w:pStyle w:val="BodyText"/>
        <w:ind w:left="540"/>
      </w:pPr>
      <w:r>
        <w:t>（一）</w:t>
      </w:r>
      <w:r>
        <w:rPr>
          <w:spacing w:val="-2"/>
        </w:rPr>
        <w:t>安全监理的方法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1" w:line="333" w:lineRule="auto"/>
        <w:ind w:left="120" w:right="218" w:firstLine="420"/>
      </w:pPr>
      <w:r>
        <w:rPr>
          <w:spacing w:val="-4"/>
        </w:rPr>
        <w:t>施工过程中的安全监理的方法：包括日常巡视、旁站、安全检查、</w:t>
      </w:r>
      <w:r>
        <w:rPr>
          <w:spacing w:val="-2"/>
        </w:rPr>
        <w:t>监理例会、安全专题会议、监理指令、监理报告</w:t>
      </w:r>
    </w:p>
    <w:p>
      <w:pPr>
        <w:pStyle w:val="BodyText"/>
        <w:spacing w:before="173" w:line="417" w:lineRule="auto"/>
        <w:ind w:left="120" w:right="358" w:firstLine="540"/>
      </w:pPr>
      <w:r>
        <w:rPr>
          <w:spacing w:val="-2"/>
        </w:rPr>
        <w:t>监理人员对承包单位提交的安全资质证书和施工组织设计中有</w:t>
      </w:r>
      <w:r>
        <w:rPr>
          <w:spacing w:val="-2"/>
        </w:rPr>
        <w:t>关安全技术措施，实行审核，审批、签字制度。</w:t>
      </w:r>
    </w:p>
    <w:p>
      <w:pPr>
        <w:pStyle w:val="BodyText"/>
        <w:spacing w:line="358" w:lineRule="exact"/>
        <w:ind w:left="660"/>
      </w:pPr>
      <w:r>
        <w:t>1</w:t>
      </w:r>
      <w:r>
        <w:rPr>
          <w:spacing w:val="-2"/>
        </w:rPr>
        <w:t>、日常巡视</w:t>
      </w:r>
    </w:p>
    <w:p>
      <w:pPr>
        <w:pStyle w:val="BodyText"/>
        <w:spacing w:before="135" w:line="364" w:lineRule="auto"/>
        <w:ind w:left="120" w:right="125" w:firstLine="560"/>
      </w:pPr>
      <w:r>
        <w:rPr>
          <w:spacing w:val="-12"/>
        </w:rPr>
        <w:t>监理人员在施工现场巡视检查，发现安全隐患应及时向总监汇报。</w:t>
      </w:r>
      <w:r>
        <w:rPr>
          <w:spacing w:val="-2"/>
        </w:rPr>
        <w:t>如在施工中，发生重大安全事故或工程施工安全有重大影响的事故，</w:t>
      </w:r>
    </w:p>
    <w:p>
      <w:pPr>
        <w:spacing w:after="0" w:line="364" w:lineRule="auto"/>
        <w:sectPr>
          <w:footerReference w:type="default" r:id="rId26"/>
          <w:pgSz w:w="11910" w:h="16840"/>
          <w:pgMar w:top="1520" w:right="1440" w:bottom="1160" w:left="1680" w:header="0" w:footer="970"/>
          <w:pgNumType w:start="14"/>
          <w:cols w:space="708"/>
        </w:sectPr>
      </w:pPr>
    </w:p>
    <w:p>
      <w:pPr>
        <w:pStyle w:val="BodyText"/>
        <w:spacing w:before="46"/>
        <w:ind w:left="120"/>
      </w:pPr>
      <w:r>
        <w:rPr>
          <w:spacing w:val="-1"/>
        </w:rPr>
        <w:t>应及时上报单位主管安全的领导。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ind w:left="660"/>
      </w:pPr>
      <w:r>
        <w:t>2</w:t>
      </w:r>
      <w:r>
        <w:rPr>
          <w:spacing w:val="-3"/>
        </w:rPr>
        <w:t>、 旁站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85" w:firstLine="540"/>
      </w:pPr>
      <w:r>
        <w:rPr>
          <w:spacing w:val="-2"/>
        </w:rPr>
        <w:t>重点部位和关键环节监理人员应按照《公路工程施工监理规范》</w:t>
      </w:r>
      <w:r>
        <w:rPr>
          <w:spacing w:val="-2"/>
        </w:rPr>
        <w:t>有关规定和要求旁站。</w:t>
      </w:r>
    </w:p>
    <w:p>
      <w:pPr>
        <w:pStyle w:val="BodyText"/>
        <w:spacing w:line="358" w:lineRule="exact"/>
        <w:ind w:left="660"/>
      </w:pPr>
      <w:r>
        <w:t>3</w:t>
      </w:r>
      <w:r>
        <w:rPr>
          <w:spacing w:val="-2"/>
        </w:rPr>
        <w:t>、安全检查</w:t>
      </w:r>
    </w:p>
    <w:p>
      <w:pPr>
        <w:pStyle w:val="ListParagraph"/>
        <w:numPr>
          <w:ilvl w:val="0"/>
          <w:numId w:val="12"/>
        </w:numPr>
        <w:tabs>
          <w:tab w:val="left" w:pos="1381"/>
        </w:tabs>
        <w:spacing w:before="135" w:after="0" w:line="240" w:lineRule="auto"/>
        <w:ind w:left="1381" w:right="0" w:hanging="701"/>
        <w:jc w:val="left"/>
        <w:rPr>
          <w:sz w:val="28"/>
        </w:rPr>
      </w:pPr>
      <w:r>
        <w:rPr>
          <w:spacing w:val="-1"/>
          <w:sz w:val="28"/>
        </w:rPr>
        <w:t>定期组织安全生产检查，经常性地进行巡查或抽查。</w:t>
      </w:r>
    </w:p>
    <w:p>
      <w:pPr>
        <w:pStyle w:val="ListParagraph"/>
        <w:numPr>
          <w:ilvl w:val="0"/>
          <w:numId w:val="12"/>
        </w:numPr>
        <w:tabs>
          <w:tab w:val="left" w:pos="1384"/>
        </w:tabs>
        <w:spacing w:before="186" w:after="0" w:line="364" w:lineRule="auto"/>
        <w:ind w:left="120" w:right="265" w:firstLine="560"/>
        <w:jc w:val="both"/>
        <w:rPr>
          <w:sz w:val="28"/>
        </w:rPr>
      </w:pPr>
      <w:r>
        <w:rPr>
          <w:spacing w:val="-2"/>
          <w:sz w:val="28"/>
        </w:rPr>
        <w:t>检查承包单位安全生产管理体系，安全生产责任制的落实</w:t>
      </w:r>
      <w:r>
        <w:rPr>
          <w:spacing w:val="-2"/>
          <w:sz w:val="28"/>
        </w:rPr>
        <w:t>情况，组织承包单位进行安全生产、文明施工检查，对检查中存在的</w:t>
      </w:r>
      <w:r>
        <w:rPr>
          <w:spacing w:val="-2"/>
          <w:sz w:val="28"/>
        </w:rPr>
        <w:t>问题，以安全整改通知单形式通知承包单位，并建立整改回复制度。</w:t>
      </w:r>
    </w:p>
    <w:p>
      <w:pPr>
        <w:pStyle w:val="ListParagraph"/>
        <w:numPr>
          <w:ilvl w:val="0"/>
          <w:numId w:val="12"/>
        </w:numPr>
        <w:tabs>
          <w:tab w:val="left" w:pos="1384"/>
        </w:tabs>
        <w:spacing w:before="0" w:after="0" w:line="364" w:lineRule="auto"/>
        <w:ind w:left="120" w:right="265" w:firstLine="560"/>
        <w:jc w:val="left"/>
        <w:rPr>
          <w:sz w:val="28"/>
        </w:rPr>
      </w:pPr>
      <w:r>
        <w:rPr>
          <w:spacing w:val="-2"/>
          <w:sz w:val="28"/>
        </w:rPr>
        <w:t>监理工程师应当按照法律、法规和工程建设强制性标准实</w:t>
      </w:r>
      <w:r>
        <w:rPr>
          <w:spacing w:val="-2"/>
          <w:sz w:val="28"/>
        </w:rPr>
        <w:t>施监理。在实施过程中承包单位对安全隐患拒不整改或不停止施工，</w:t>
      </w:r>
      <w:r>
        <w:rPr>
          <w:spacing w:val="-2"/>
          <w:sz w:val="28"/>
        </w:rPr>
        <w:t>监理工程师应及时向指挥部单位报告。</w:t>
      </w:r>
    </w:p>
    <w:p>
      <w:pPr>
        <w:pStyle w:val="ListParagraph"/>
        <w:numPr>
          <w:ilvl w:val="0"/>
          <w:numId w:val="12"/>
        </w:numPr>
        <w:tabs>
          <w:tab w:val="left" w:pos="1384"/>
        </w:tabs>
        <w:spacing w:before="0" w:after="0" w:line="364" w:lineRule="auto"/>
        <w:ind w:left="120" w:right="358" w:firstLine="560"/>
        <w:jc w:val="both"/>
        <w:rPr>
          <w:sz w:val="28"/>
        </w:rPr>
      </w:pPr>
      <w:r>
        <w:rPr>
          <w:spacing w:val="-2"/>
          <w:sz w:val="28"/>
        </w:rPr>
        <w:t>日常安全生产检查。要经常深入工地巡查、检查安全生产</w:t>
      </w:r>
      <w:r>
        <w:rPr>
          <w:spacing w:val="-4"/>
          <w:sz w:val="28"/>
        </w:rPr>
        <w:t>情况，及时发现隐患做好记录，通知有关责任人进行整改并检查整改</w:t>
      </w:r>
      <w:r>
        <w:rPr>
          <w:spacing w:val="-4"/>
          <w:sz w:val="28"/>
        </w:rPr>
        <w:t>结果。</w:t>
      </w:r>
    </w:p>
    <w:p>
      <w:pPr>
        <w:pStyle w:val="BodyText"/>
        <w:spacing w:before="125"/>
        <w:ind w:left="660"/>
      </w:pPr>
      <w:r>
        <w:t>3</w:t>
      </w:r>
      <w:r>
        <w:rPr>
          <w:spacing w:val="-2"/>
        </w:rPr>
        <w:t>、安全会议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57" w:firstLine="540"/>
      </w:pPr>
      <w:r>
        <w:rPr>
          <w:spacing w:val="-4"/>
        </w:rPr>
        <w:t>监理办及时召开安全会议：如安全检查反馈会、安全监理专题会</w:t>
      </w:r>
      <w:r>
        <w:rPr>
          <w:spacing w:val="-4"/>
        </w:rPr>
        <w:t>议等。</w:t>
      </w:r>
    </w:p>
    <w:p>
      <w:pPr>
        <w:pStyle w:val="BodyText"/>
        <w:spacing w:line="358" w:lineRule="exact"/>
        <w:ind w:left="660"/>
      </w:pPr>
      <w:r>
        <w:t>4</w:t>
      </w:r>
      <w:r>
        <w:rPr>
          <w:spacing w:val="-2"/>
        </w:rPr>
        <w:t>、安全监理日志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57" w:firstLine="540"/>
      </w:pPr>
      <w:r>
        <w:rPr>
          <w:spacing w:val="-4"/>
        </w:rPr>
        <w:t>监理日志应按照统一格式填写，不得缺漏项，记录有关安全监理</w:t>
      </w:r>
      <w:r>
        <w:rPr>
          <w:spacing w:val="-2"/>
        </w:rPr>
        <w:t>的内容，安全监理日志内容应及时、真实、具体、客观。</w:t>
      </w:r>
    </w:p>
    <w:p>
      <w:pPr>
        <w:pStyle w:val="BodyText"/>
        <w:spacing w:before="64"/>
        <w:ind w:left="680"/>
      </w:pPr>
      <w:r>
        <w:t>（二）</w:t>
      </w:r>
      <w:r>
        <w:rPr>
          <w:spacing w:val="-2"/>
        </w:rPr>
        <w:t>安全监理的措施</w:t>
      </w:r>
    </w:p>
    <w:p>
      <w:pPr>
        <w:pStyle w:val="BodyText"/>
        <w:spacing w:before="202" w:line="364" w:lineRule="auto"/>
        <w:ind w:left="120" w:right="358" w:firstLine="560"/>
      </w:pPr>
      <w:r>
        <w:rPr>
          <w:spacing w:val="-2"/>
        </w:rPr>
        <w:t>1、审查施工单位编制的水泥砼拌和设备装拆专项施工方案是否</w:t>
      </w:r>
      <w:r>
        <w:rPr>
          <w:spacing w:val="-2"/>
        </w:rPr>
        <w:t>符合强制性标准的要求，审查合格后方可同意开工。审查重点是：</w:t>
      </w:r>
    </w:p>
    <w:p>
      <w:pPr>
        <w:spacing w:after="0" w:line="36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https://d.book118.com/486221115124010054</w:t>
        </w:r>
      </w:hyperlink>
    </w:p>
    <w:p>
      <w:pPr>
        <w:spacing w:after="0" w:line="364" w:lineRule="auto"/>
      </w:pPr>
    </w:p>
    <w:sectPr>
      <w:footerReference w:type="default" r:id="rId28"/>
      <w:pgSz w:w="11910" w:h="16840"/>
      <w:pgMar w:top="1380" w:right="1440" w:bottom="1160" w:left="1680" w:header="0" w:footer="970"/>
      <w:pgNumType w:start="1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.15pt;height:11pt;margin-top:782.38pt;margin-left:290.0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1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.15pt;height:11pt;margin-top:782.38pt;margin-left:290.0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2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.15pt;height:11pt;margin-top:782.38pt;margin-left:290.0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3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.15pt;height:11pt;margin-top:782.38pt;margin-left:290.0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4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.15pt;height:11pt;margin-top:782.38pt;margin-left:290.0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5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.15pt;height:11pt;margin-top:782.38pt;margin-left:290.0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6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.15pt;height:11pt;margin-top:782.38pt;margin-left:290.0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7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.15pt;height:11pt;margin-top:782.38pt;margin-left:290.0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8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.15pt;height:11pt;margin-top:782.38pt;margin-left:290.0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.15pt;height:11pt;margin-top:782.38pt;margin-left:290.0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.15pt;height:11pt;margin-top:782.38pt;margin-left:290.0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.15pt;height:11pt;margin-top:782.38pt;margin-left:290.0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.15pt;height:11pt;margin-top:782.38pt;margin-left:290.0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6.15pt;height:11pt;margin-top:782.38pt;margin-left:290.0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14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6.15pt;height:11pt;margin-top:782.38pt;margin-left:290.0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spacing w:val="-5"/>
                    <w:sz w:val="18"/>
                  </w:rPr>
                  <w:t>16</w:t>
                </w:r>
                <w:r>
                  <w:rPr>
                    <w:rFonts w:ascii="Calibri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77DA70"/>
    <w:multiLevelType w:val="hybridMultilevel"/>
    <w:tmpl w:val="00000000"/>
    <w:lvl w:ilvl="0">
      <w:start w:val="1"/>
      <w:numFmt w:val="decimal"/>
      <w:lvlText w:val="（%1）"/>
      <w:lvlJc w:val="left"/>
      <w:pPr>
        <w:ind w:left="1471" w:hanging="7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（%2）"/>
      <w:lvlJc w:val="left"/>
      <w:pPr>
        <w:ind w:left="1773" w:hanging="754"/>
        <w:jc w:val="righ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0000FF"/>
        <w:spacing w:val="1"/>
        <w:w w:val="83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58" w:hanging="75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36" w:hanging="75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5" w:hanging="75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93" w:hanging="75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72" w:hanging="75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50" w:hanging="75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9" w:hanging="754"/>
      </w:pPr>
      <w:rPr>
        <w:rFonts w:hint="default"/>
        <w:lang w:val="en-US" w:eastAsia="zh-CN" w:bidi="ar-SA"/>
      </w:rPr>
    </w:lvl>
  </w:abstractNum>
  <w:abstractNum w:abstractNumId="1">
    <w:nsid w:val="1A1546D5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6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3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9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86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5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19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86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52" w:hanging="421"/>
      </w:pPr>
      <w:rPr>
        <w:rFonts w:hint="default"/>
        <w:lang w:val="en-US" w:eastAsia="zh-CN" w:bidi="ar-SA"/>
      </w:rPr>
    </w:lvl>
  </w:abstractNum>
  <w:abstractNum w:abstractNumId="2">
    <w:nsid w:val="28CBD385"/>
    <w:multiLevelType w:val="hybridMultilevel"/>
    <w:tmpl w:val="00000000"/>
    <w:lvl w:ilvl="0">
      <w:start w:val="1"/>
      <w:numFmt w:val="decimal"/>
      <w:lvlText w:val="（%1）"/>
      <w:lvlJc w:val="left"/>
      <w:pPr>
        <w:ind w:left="138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20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61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42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2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64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701"/>
      </w:pPr>
      <w:rPr>
        <w:rFonts w:hint="default"/>
        <w:lang w:val="en-US" w:eastAsia="zh-CN" w:bidi="ar-SA"/>
      </w:rPr>
    </w:lvl>
  </w:abstractNum>
  <w:abstractNum w:abstractNumId="3">
    <w:nsid w:val="2FDCF96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14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6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3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9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86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5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19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86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52" w:hanging="701"/>
      </w:pPr>
      <w:rPr>
        <w:rFonts w:hint="default"/>
        <w:lang w:val="en-US" w:eastAsia="zh-CN" w:bidi="ar-SA"/>
      </w:rPr>
    </w:lvl>
  </w:abstractNum>
  <w:abstractNum w:abstractNumId="4">
    <w:nsid w:val="3622D1D2"/>
    <w:multiLevelType w:val="hybridMultilevel"/>
    <w:tmpl w:val="00000000"/>
    <w:lvl w:ilvl="0">
      <w:start w:val="1"/>
      <w:numFmt w:val="decimal"/>
      <w:lvlText w:val="（%1）"/>
      <w:lvlJc w:val="left"/>
      <w:pPr>
        <w:ind w:left="138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14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20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61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42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2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64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701"/>
      </w:pPr>
      <w:rPr>
        <w:rFonts w:hint="default"/>
        <w:lang w:val="en-US" w:eastAsia="zh-CN" w:bidi="ar-SA"/>
      </w:rPr>
    </w:lvl>
  </w:abstractNum>
  <w:abstractNum w:abstractNumId="5">
    <w:nsid w:val="3D5A7A5C"/>
    <w:multiLevelType w:val="hybridMultilevel"/>
    <w:tmpl w:val="00000000"/>
    <w:lvl w:ilvl="0">
      <w:start w:val="1"/>
      <w:numFmt w:val="decimal"/>
      <w:lvlText w:val="（%1）"/>
      <w:lvlJc w:val="left"/>
      <w:pPr>
        <w:ind w:left="138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20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61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42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2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64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701"/>
      </w:pPr>
      <w:rPr>
        <w:rFonts w:hint="default"/>
        <w:lang w:val="en-US" w:eastAsia="zh-CN" w:bidi="ar-SA"/>
      </w:rPr>
    </w:lvl>
  </w:abstractNum>
  <w:abstractNum w:abstractNumId="6">
    <w:nsid w:val="674D595C"/>
    <w:multiLevelType w:val="hybridMultilevel"/>
    <w:tmpl w:val="00000000"/>
    <w:lvl w:ilvl="0">
      <w:start w:val="1"/>
      <w:numFmt w:val="decimal"/>
      <w:lvlText w:val="（%1）"/>
      <w:lvlJc w:val="left"/>
      <w:pPr>
        <w:ind w:left="138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20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61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42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2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64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701"/>
      </w:pPr>
      <w:rPr>
        <w:rFonts w:hint="default"/>
        <w:lang w:val="en-US" w:eastAsia="zh-CN" w:bidi="ar-SA"/>
      </w:rPr>
    </w:lvl>
  </w:abstractNum>
  <w:abstractNum w:abstractNumId="7">
    <w:nsid w:val="6C0440A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6" w:hanging="3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3" w:hanging="3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9" w:hanging="3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86" w:hanging="3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53" w:hanging="3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19" w:hanging="3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86" w:hanging="3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52" w:hanging="301"/>
      </w:pPr>
      <w:rPr>
        <w:rFonts w:hint="default"/>
        <w:lang w:val="en-US" w:eastAsia="zh-CN" w:bidi="ar-SA"/>
      </w:rPr>
    </w:lvl>
  </w:abstractNum>
  <w:abstractNum w:abstractNumId="8">
    <w:nsid w:val="743593DA"/>
    <w:multiLevelType w:val="hybridMultilevel"/>
    <w:tmpl w:val="00000000"/>
    <w:lvl w:ilvl="0">
      <w:start w:val="1"/>
      <w:numFmt w:val="decimal"/>
      <w:lvlText w:val="（%1）"/>
      <w:lvlJc w:val="left"/>
      <w:pPr>
        <w:ind w:left="138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14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20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61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42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2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64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701"/>
      </w:pPr>
      <w:rPr>
        <w:rFonts w:hint="default"/>
        <w:lang w:val="en-US" w:eastAsia="zh-CN" w:bidi="ar-SA"/>
      </w:rPr>
    </w:lvl>
  </w:abstractNum>
  <w:abstractNum w:abstractNumId="9">
    <w:nsid w:val="7A431EF9"/>
    <w:multiLevelType w:val="hybridMultilevel"/>
    <w:tmpl w:val="00000000"/>
    <w:lvl w:ilvl="0">
      <w:start w:val="1"/>
      <w:numFmt w:val="decimal"/>
      <w:lvlText w:val="（%1）"/>
      <w:lvlJc w:val="left"/>
      <w:pPr>
        <w:ind w:left="138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14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20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61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42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2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64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701"/>
      </w:pPr>
      <w:rPr>
        <w:rFonts w:hint="default"/>
        <w:lang w:val="en-US" w:eastAsia="zh-CN" w:bidi="ar-SA"/>
      </w:rPr>
    </w:lvl>
  </w:abstractNum>
  <w:abstractNum w:abstractNumId="10">
    <w:nsid w:val="7C6F9205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14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6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3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9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86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5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19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86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52" w:hanging="701"/>
      </w:pPr>
      <w:rPr>
        <w:rFonts w:hint="default"/>
        <w:lang w:val="en-US" w:eastAsia="zh-CN" w:bidi="ar-SA"/>
      </w:rPr>
    </w:lvl>
  </w:abstractNum>
  <w:abstractNum w:abstractNumId="11">
    <w:nsid w:val="7E018CDD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righ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(%2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3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9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86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5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19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86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52" w:hanging="421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11"/>
  </w:num>
  <w:num w:numId="6">
    <w:abstractNumId w:val="6"/>
  </w:num>
  <w:num w:numId="7">
    <w:abstractNumId w:val="8"/>
  </w:num>
  <w:num w:numId="8">
    <w:abstractNumId w:val="10"/>
  </w:num>
  <w:num w:numId="9">
    <w:abstractNumId w:val="4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773" w:hanging="754"/>
      <w:outlineLvl w:val="0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ind w:right="240"/>
      <w:jc w:val="center"/>
    </w:pPr>
    <w:rPr>
      <w:rFonts w:ascii="Microsoft JhengHei" w:eastAsia="Microsoft JhengHei" w:hAnsi="Microsoft JhengHei" w:cs="Microsoft JhengHei"/>
      <w:b/>
      <w:bCs/>
      <w:sz w:val="56"/>
      <w:szCs w:val="5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firstLine="56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image" Target="media/image1.png" /><Relationship Id="rId12" Type="http://schemas.openxmlformats.org/officeDocument/2006/relationships/image" Target="media/image2.png" /><Relationship Id="rId13" Type="http://schemas.openxmlformats.org/officeDocument/2006/relationships/image" Target="media/image3.png" /><Relationship Id="rId14" Type="http://schemas.openxmlformats.org/officeDocument/2006/relationships/image" Target="media/image4.png" /><Relationship Id="rId15" Type="http://schemas.openxmlformats.org/officeDocument/2006/relationships/image" Target="media/image5.png" /><Relationship Id="rId16" Type="http://schemas.openxmlformats.org/officeDocument/2006/relationships/image" Target="media/image6.png" /><Relationship Id="rId17" Type="http://schemas.openxmlformats.org/officeDocument/2006/relationships/footer" Target="footer7.xml" /><Relationship Id="rId18" Type="http://schemas.openxmlformats.org/officeDocument/2006/relationships/footer" Target="footer8.xml" /><Relationship Id="rId19" Type="http://schemas.openxmlformats.org/officeDocument/2006/relationships/hyperlink" Target="http://cpro.baidu.com/cpro/ui/uijs.php?rs=1&amp;u=http%3A//bd.hbrc.com/rczx/news-3365829.html&amp;p=baidu&amp;c=news&amp;n=10&amp;t=tpclicked3_hc&amp;q=zhaoying_cpr&amp;k=%25C6%25F0%25D6%D8%BB%25FA%D0%B5&amp;k0=%25C6%25F0%25D6%D8%BB%25FA%D0%B5&amp;k1=%25B5%25F5%D7%B0&amp;k2=%25B8%25D6%CB%BF%25C9%25FE&amp;k3=%25C6%25F0%25D6%D8%BB%25FA&amp;k4=%25B5%25E7%25BA%25F9%C2%AB&amp;k5=%25C6%25F0%25D6%25D8%25C9%E8%B1%B8&amp;sid=75f0598022f7af11&amp;ch=0&amp;tu=u1615271&amp;jk=3b272fe04e821040&amp;cf=29&amp;fv=11&amp;stid=9&amp;urlid=0&amp;luki=2&amp;seller_id=1&amp;di=8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://cpro.baidu.com/cpro/ui/uijs.php?rs=1&amp;u=http%3A//bd.hbrc.com/rczx/news-3365829.html&amp;p=baidu&amp;c=news&amp;n=10&amp;t=tpclicked3_hc&amp;q=zhaoying_cpr&amp;k=%25BB%25FA%D0%B5&amp;k0=%25BB%25FA%D0%B5&amp;k1=%25B0%25B2%C8%AB%25C9%25FA%25B2%25FA&amp;k2=%25C6%25F0%25D6%25D8&amp;k3=%25C6%25F0%25D6%D8%BB%25FA%D0%B5&amp;k4=%25B5%25F5%D7%B0&amp;k5=%25B8%25D6%CB%BF%25C9%25FE&amp;sid=75f0598022f7af11&amp;ch=0&amp;tu=u1615271&amp;jk=3b272fe04e821040&amp;cf=29&amp;fv=11&amp;stid=9&amp;urlid=0&amp;luki=9&amp;seller_id=1&amp;di=8" TargetMode="External" /><Relationship Id="rId21" Type="http://schemas.openxmlformats.org/officeDocument/2006/relationships/footer" Target="footer9.xml" /><Relationship Id="rId22" Type="http://schemas.openxmlformats.org/officeDocument/2006/relationships/footer" Target="footer10.xml" /><Relationship Id="rId23" Type="http://schemas.openxmlformats.org/officeDocument/2006/relationships/footer" Target="footer11.xml" /><Relationship Id="rId24" Type="http://schemas.openxmlformats.org/officeDocument/2006/relationships/footer" Target="footer12.xml" /><Relationship Id="rId25" Type="http://schemas.openxmlformats.org/officeDocument/2006/relationships/footer" Target="footer13.xml" /><Relationship Id="rId26" Type="http://schemas.openxmlformats.org/officeDocument/2006/relationships/footer" Target="footer14.xml" /><Relationship Id="rId27" Type="http://schemas.openxmlformats.org/officeDocument/2006/relationships/hyperlink" Target="https://d.book118.com/486221115124010054" TargetMode="External" /><Relationship Id="rId28" Type="http://schemas.openxmlformats.org/officeDocument/2006/relationships/footer" Target="footer15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http://www.zsepb.gov.cn/flfg/dfxfg/200810/t20081027_1142.jsp" TargetMode="Externa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2024-03-01T15:34:44Z</dcterms:created>
  <dcterms:modified xsi:type="dcterms:W3CDTF">2024-03-01T15:34:44Z</dcterms:modified>
</cp:coreProperties>
</file>