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329" w:line="193" w:lineRule="auto"/>
        <w:ind w:left="940"/>
        <w:rPr>
          <w:rFonts w:ascii="Microsoft YaHei" w:eastAsia="Microsoft YaHei" w:hAnsi="Microsoft YaHei" w:cs="Microsoft YaHei"/>
          <w:sz w:val="44"/>
          <w:szCs w:val="44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08.7pt;height:27pt;margin-top:18.6pt;margin-left:251.61pt;position:absolute;z-index:251659264" filled="f" stroked="f">
            <o:lock v:ext="edit" aspectratio="f"/>
            <v:textbox inset="0,0,0,0">
              <w:txbxContent>
                <w:p>
                  <w:pPr>
                    <w:spacing w:before="20" w:line="194" w:lineRule="auto"/>
                    <w:ind w:left="20"/>
                    <w:rPr>
                      <w:rFonts w:ascii="Microsoft YaHei" w:eastAsia="Microsoft YaHei" w:hAnsi="Microsoft YaHei" w:cs="Microsoft YaHei"/>
                      <w:sz w:val="36"/>
                      <w:szCs w:val="36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7F7F7F"/>
                      <w:spacing w:val="-4"/>
                      <w:sz w:val="36"/>
                      <w:szCs w:val="36"/>
                    </w:rPr>
                    <w:t>固定收益报告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9852476</wp:posOffset>
            </wp:positionH>
            <wp:positionV relativeFrom="page">
              <wp:posOffset>330200</wp:posOffset>
            </wp:positionV>
            <wp:extent cx="2022207" cy="44450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22207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color w:val="7F7F7F"/>
          <w:spacing w:val="36"/>
          <w:sz w:val="44"/>
          <w:szCs w:val="44"/>
        </w:rPr>
        <w:t>证券研究报告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343" w:line="194" w:lineRule="auto"/>
        <w:ind w:left="1534"/>
        <w:outlineLvl w:val="0"/>
        <w:rPr>
          <w:rFonts w:ascii="Microsoft YaHei" w:eastAsia="Microsoft YaHei" w:hAnsi="Microsoft YaHei" w:cs="Microsoft YaHei"/>
          <w:sz w:val="80"/>
          <w:szCs w:val="80"/>
        </w:rPr>
      </w:pPr>
      <w:r>
        <w:rPr>
          <w:rFonts w:ascii="Microsoft YaHei" w:eastAsia="Microsoft YaHei" w:hAnsi="Microsoft YaHei" w:cs="Microsoft YaHei"/>
          <w:b/>
          <w:bCs/>
          <w:color w:val="DF2023"/>
          <w:spacing w:val="-3"/>
          <w:sz w:val="80"/>
          <w:szCs w:val="80"/>
        </w:rPr>
        <w:t>可为期的变与不变</w:t>
      </w:r>
    </w:p>
    <w:p>
      <w:pPr>
        <w:spacing w:before="311" w:line="219" w:lineRule="auto"/>
        <w:ind w:left="1063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color w:val="DF2023"/>
          <w:spacing w:val="2"/>
          <w:sz w:val="40"/>
          <w:szCs w:val="40"/>
          <w14:textOutline w14:w="7266">
            <w14:solidFill>
              <w14:srgbClr w14:val="DF2023"/>
            </w14:solidFill>
            <w14:prstDash w14:val="solid"/>
            <w14:miter w14:lim="10"/>
          </w14:textOutline>
        </w:rPr>
        <w:t>——可转债2023年复盘&amp;2024年一季度展望</w:t>
      </w:r>
    </w:p>
    <w:p>
      <w:pPr>
        <w:spacing w:line="349" w:lineRule="auto"/>
        <w:rPr>
          <w:rFonts w:ascii="Arial"/>
          <w:sz w:val="21"/>
        </w:rPr>
      </w:pPr>
    </w:p>
    <w:p>
      <w:pPr>
        <w:spacing w:line="349" w:lineRule="auto"/>
        <w:rPr>
          <w:rFonts w:ascii="Arial"/>
          <w:sz w:val="21"/>
        </w:rPr>
      </w:pPr>
    </w:p>
    <w:p>
      <w:pPr>
        <w:spacing w:before="120" w:line="505" w:lineRule="exact"/>
        <w:ind w:left="136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b/>
          <w:bCs/>
          <w:color w:val="6D6D6D"/>
          <w:spacing w:val="-1"/>
          <w:position w:val="16"/>
          <w:sz w:val="28"/>
          <w:szCs w:val="28"/>
        </w:rPr>
        <w:t>分析师：黄伟平（S0190514080003）</w:t>
      </w:r>
    </w:p>
    <w:p>
      <w:pPr>
        <w:spacing w:before="1" w:line="189" w:lineRule="auto"/>
        <w:ind w:left="252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b/>
          <w:bCs/>
          <w:color w:val="6D6D6D"/>
          <w:spacing w:val="-1"/>
          <w:sz w:val="28"/>
          <w:szCs w:val="28"/>
        </w:rPr>
        <w:t>左大勇（S0190516070005）</w:t>
      </w:r>
    </w:p>
    <w:p>
      <w:pPr>
        <w:spacing w:before="123" w:line="190" w:lineRule="auto"/>
        <w:ind w:left="2519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b/>
          <w:bCs/>
          <w:color w:val="6D6D6D"/>
          <w:spacing w:val="-1"/>
          <w:sz w:val="28"/>
          <w:szCs w:val="28"/>
        </w:rPr>
        <w:t>蔡琨</w:t>
      </w:r>
      <w:r>
        <w:rPr>
          <w:rFonts w:ascii="Microsoft YaHei" w:eastAsia="Microsoft YaHei" w:hAnsi="Microsoft YaHei" w:cs="Microsoft YaHei"/>
          <w:b/>
          <w:bCs/>
          <w:color w:val="6D6D6D"/>
          <w:spacing w:val="46"/>
          <w:sz w:val="28"/>
          <w:szCs w:val="28"/>
        </w:rPr>
        <w:t xml:space="preserve">  </w:t>
      </w:r>
      <w:r>
        <w:rPr>
          <w:rFonts w:ascii="Microsoft YaHei" w:eastAsia="Microsoft YaHei" w:hAnsi="Microsoft YaHei" w:cs="Microsoft YaHei"/>
          <w:b/>
          <w:bCs/>
          <w:color w:val="6D6D6D"/>
          <w:spacing w:val="-1"/>
          <w:sz w:val="28"/>
          <w:szCs w:val="28"/>
        </w:rPr>
        <w:t>（S0190520080005）</w:t>
      </w:r>
    </w:p>
    <w:p>
      <w:pPr>
        <w:spacing w:before="123" w:line="190" w:lineRule="auto"/>
        <w:ind w:left="252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b/>
          <w:bCs/>
          <w:color w:val="6D6D6D"/>
          <w:spacing w:val="-1"/>
          <w:sz w:val="28"/>
          <w:szCs w:val="28"/>
        </w:rPr>
        <w:t>常月</w:t>
      </w:r>
      <w:r>
        <w:rPr>
          <w:rFonts w:ascii="Microsoft YaHei" w:eastAsia="Microsoft YaHei" w:hAnsi="Microsoft YaHei" w:cs="Microsoft YaHei"/>
          <w:b/>
          <w:bCs/>
          <w:color w:val="6D6D6D"/>
          <w:spacing w:val="42"/>
          <w:sz w:val="28"/>
          <w:szCs w:val="28"/>
        </w:rPr>
        <w:t xml:space="preserve">  </w:t>
      </w:r>
      <w:r>
        <w:rPr>
          <w:rFonts w:ascii="Microsoft YaHei" w:eastAsia="Microsoft YaHei" w:hAnsi="Microsoft YaHei" w:cs="Microsoft YaHei"/>
          <w:b/>
          <w:bCs/>
          <w:color w:val="6D6D6D"/>
          <w:spacing w:val="-1"/>
          <w:sz w:val="28"/>
          <w:szCs w:val="28"/>
        </w:rPr>
        <w:t>（S0190521050001）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20" w:line="194" w:lineRule="auto"/>
        <w:ind w:left="1518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b/>
          <w:bCs/>
          <w:color w:val="6D6D6D"/>
          <w:spacing w:val="-15"/>
          <w:sz w:val="28"/>
          <w:szCs w:val="28"/>
        </w:rPr>
        <w:t>报告日期：</w:t>
      </w:r>
      <w:r>
        <w:rPr>
          <w:rFonts w:ascii="Microsoft YaHei" w:eastAsia="Microsoft YaHei" w:hAnsi="Microsoft YaHei" w:cs="Microsoft YaHei"/>
          <w:b/>
          <w:bCs/>
          <w:color w:val="6D6D6D"/>
          <w:spacing w:val="17"/>
          <w:sz w:val="28"/>
          <w:szCs w:val="28"/>
        </w:rPr>
        <w:t xml:space="preserve">  </w:t>
      </w:r>
      <w:r>
        <w:rPr>
          <w:rFonts w:ascii="Microsoft YaHei" w:eastAsia="Microsoft YaHei" w:hAnsi="Microsoft YaHei" w:cs="Microsoft YaHei"/>
          <w:b/>
          <w:bCs/>
          <w:color w:val="6D6D6D"/>
          <w:spacing w:val="-15"/>
          <w:sz w:val="28"/>
          <w:szCs w:val="28"/>
        </w:rPr>
        <w:t>2024年1月2日</w:t>
      </w:r>
    </w:p>
    <w:p>
      <w:pPr>
        <w:spacing w:line="194" w:lineRule="auto"/>
        <w:rPr>
          <w:rFonts w:ascii="Microsoft YaHei" w:eastAsia="Microsoft YaHei" w:hAnsi="Microsoft YaHei" w:cs="Microsoft YaHei"/>
          <w:sz w:val="28"/>
          <w:szCs w:val="28"/>
        </w:rPr>
        <w:sectPr>
          <w:headerReference w:type="default" r:id="rId5"/>
          <w:pgSz w:w="19200" w:h="10800"/>
          <w:pgMar w:top="400" w:right="0" w:bottom="0" w:left="0" w:header="0" w:footer="0" w:gutter="0"/>
          <w:cols w:space="708"/>
        </w:sectPr>
      </w:pPr>
    </w:p>
    <w:p>
      <w:pPr>
        <w:spacing w:line="290" w:lineRule="auto"/>
        <w:rPr>
          <w:rFonts w:ascii="Arial"/>
          <w:sz w:val="21"/>
        </w:rPr>
      </w:pPr>
      <w:r>
        <w:pict>
          <v:shape id="_x0000_s1026" type="#_x0000_t202" style="width:152.5pt;height:31.95pt;margin-top:44.79pt;margin-left:213.99pt;mso-position-horizontal-relative:page;mso-position-vertical-relative:page;position:absolute;z-index:25166028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1" w:line="167" w:lineRule="auto"/>
                    <w:ind w:left="20"/>
                    <w:rPr>
                      <w:sz w:val="50"/>
                      <w:szCs w:val="50"/>
                    </w:rPr>
                  </w:pPr>
                  <w:r>
                    <w:rPr>
                      <w:b/>
                      <w:bCs/>
                      <w:i/>
                      <w:iCs/>
                      <w:color w:val="DF2023"/>
                      <w:spacing w:val="6"/>
                      <w:sz w:val="50"/>
                      <w:szCs w:val="50"/>
                    </w:rPr>
                    <w:t>KEY</w:t>
                  </w:r>
                  <w:r>
                    <w:rPr>
                      <w:b/>
                      <w:bCs/>
                      <w:color w:val="DF2023"/>
                      <w:spacing w:val="-82"/>
                      <w:sz w:val="50"/>
                      <w:szCs w:val="50"/>
                    </w:rPr>
                    <w:t xml:space="preserve"> </w:t>
                  </w:r>
                  <w:r>
                    <w:rPr>
                      <w:b/>
                      <w:bCs/>
                      <w:i/>
                      <w:iCs/>
                      <w:color w:val="DF2023"/>
                      <w:spacing w:val="6"/>
                      <w:sz w:val="50"/>
                      <w:szCs w:val="50"/>
                    </w:rPr>
                    <w:t>POINTS</w:t>
                  </w:r>
                </w:p>
              </w:txbxContent>
            </v:textbox>
          </v:shape>
        </w:pict>
      </w:r>
    </w:p>
    <w:p>
      <w:pPr>
        <w:pStyle w:val="BodyText"/>
        <w:spacing w:line="780" w:lineRule="exact"/>
        <w:ind w:firstLine="1471"/>
      </w:pPr>
      <w:r>
        <w:rPr>
          <w:position w:val="-15"/>
        </w:rPr>
        <w:pict>
          <v:shape id="_x0000_i1027" type="#_x0000_t202" style="width:131pt;height:39pt;mso-position-horizontal-relative:char;mso-position-vertical-relative:line" filled="t" fillcolor="#df2023" stroked="f">
            <o:lock v:ext="edit" aspectratio="f"/>
            <v:textbox inset="0,0,0,0">
              <w:txbxContent>
                <w:p>
                  <w:pPr>
                    <w:spacing w:before="172" w:line="194" w:lineRule="auto"/>
                    <w:ind w:left="356"/>
                    <w:rPr>
                      <w:rFonts w:ascii="Microsoft YaHei" w:eastAsia="Microsoft YaHei" w:hAnsi="Microsoft YaHei" w:cs="Microsoft YaHei"/>
                      <w:sz w:val="48"/>
                      <w:szCs w:val="48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2"/>
                      <w:sz w:val="48"/>
                      <w:szCs w:val="48"/>
                    </w:rPr>
                    <w:t>投资要点</w:t>
                  </w:r>
                </w:p>
              </w:txbxContent>
            </v:textbox>
            <w10:wrap type="none"/>
          </v:shape>
        </w:pic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28" w:line="193" w:lineRule="auto"/>
        <w:ind w:left="1489"/>
      </w:pPr>
      <w:r>
        <w:rPr>
          <w:b/>
          <w:bCs/>
          <w:color w:val="E10000"/>
          <w:spacing w:val="-1"/>
        </w:rPr>
        <w:t>2023年转债市场回顾：波动向下，但不缺机会</w:t>
      </w:r>
    </w:p>
    <w:p>
      <w:pPr>
        <w:pStyle w:val="BodyText"/>
        <w:spacing w:before="31" w:line="192" w:lineRule="auto"/>
        <w:ind w:left="1499"/>
      </w:pPr>
      <w:r>
        <w:rPr>
          <w:position w:val="2"/>
        </w:rPr>
        <w:drawing>
          <wp:inline distT="0" distB="0" distL="0" distR="0">
            <wp:extent cx="110299" cy="112014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0299" cy="112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 </w:t>
      </w:r>
      <w:r>
        <w:rPr>
          <w:b/>
          <w:bCs/>
          <w:spacing w:val="-1"/>
        </w:rPr>
        <w:t>2023年权益市场整体震荡走弱，市场流</w:t>
      </w:r>
      <w:r>
        <w:rPr>
          <w:b/>
          <w:bCs/>
          <w:spacing w:val="-2"/>
        </w:rPr>
        <w:t>动性保持宽松，转债市场主要受制于权益市场的波动；</w:t>
      </w:r>
    </w:p>
    <w:p>
      <w:pPr>
        <w:pStyle w:val="BodyText"/>
        <w:spacing w:line="190" w:lineRule="auto"/>
        <w:ind w:left="1499"/>
      </w:pPr>
      <w:r>
        <w:rPr>
          <w:position w:val="2"/>
        </w:rPr>
        <w:drawing>
          <wp:inline distT="0" distB="0" distL="0" distR="0">
            <wp:extent cx="110299" cy="112014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299" cy="112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 </w:t>
      </w:r>
      <w:r>
        <w:rPr>
          <w:b/>
          <w:bCs/>
          <w:spacing w:val="-2"/>
        </w:rPr>
        <w:t>2023年转债的赚钱效应在年初，亏钱效应在8月</w:t>
      </w:r>
      <w:r>
        <w:rPr>
          <w:b/>
          <w:bCs/>
          <w:spacing w:val="-3"/>
        </w:rPr>
        <w:t>以后；</w:t>
      </w:r>
    </w:p>
    <w:p>
      <w:pPr>
        <w:pStyle w:val="BodyText"/>
        <w:spacing w:line="192" w:lineRule="auto"/>
        <w:ind w:left="1499"/>
      </w:pPr>
      <w:r>
        <w:rPr>
          <w:position w:val="2"/>
        </w:rPr>
        <w:drawing>
          <wp:inline distT="0" distB="0" distL="0" distR="0">
            <wp:extent cx="110299" cy="112014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299" cy="112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pacing w:val="46"/>
        </w:rPr>
        <w:t xml:space="preserve">  </w:t>
      </w:r>
      <w:r>
        <w:rPr>
          <w:b/>
          <w:bCs/>
          <w:spacing w:val="-8"/>
        </w:rPr>
        <w:t>全年来看，</w:t>
      </w:r>
      <w:r>
        <w:rPr>
          <w:b/>
          <w:bCs/>
          <w:spacing w:val="26"/>
        </w:rPr>
        <w:t xml:space="preserve">  </w:t>
      </w:r>
      <w:r>
        <w:rPr>
          <w:b/>
          <w:bCs/>
          <w:spacing w:val="-8"/>
        </w:rPr>
        <w:t>1-4月&amp;6月&amp;10-11月的AI行情，是反复获得催化的核心方向；</w:t>
      </w:r>
    </w:p>
    <w:p>
      <w:pPr>
        <w:pStyle w:val="BodyText"/>
        <w:spacing w:before="1" w:line="192" w:lineRule="auto"/>
        <w:ind w:left="1499"/>
      </w:pPr>
      <w:r>
        <w:rPr>
          <w:position w:val="2"/>
        </w:rPr>
        <w:drawing>
          <wp:inline distT="0" distB="0" distL="0" distR="0">
            <wp:extent cx="110299" cy="112014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0299" cy="112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 </w:t>
      </w:r>
      <w:r>
        <w:rPr>
          <w:b/>
          <w:bCs/>
          <w:spacing w:val="-2"/>
        </w:rPr>
        <w:t>除了退市转债，新能源产业链品种是2023年受</w:t>
      </w:r>
      <w:r>
        <w:rPr>
          <w:b/>
          <w:bCs/>
          <w:spacing w:val="-3"/>
        </w:rPr>
        <w:t>损最严重的方向。</w:t>
      </w:r>
    </w:p>
    <w:p>
      <w:pPr>
        <w:pStyle w:val="BodyText"/>
        <w:spacing w:before="96" w:line="194" w:lineRule="auto"/>
        <w:ind w:left="1489"/>
      </w:pPr>
      <w:r>
        <w:rPr>
          <w:b/>
          <w:bCs/>
          <w:color w:val="FF0000"/>
          <w:spacing w:val="-2"/>
        </w:rPr>
        <w:t>2023年收益来源分析</w:t>
      </w:r>
    </w:p>
    <w:p>
      <w:pPr>
        <w:pStyle w:val="BodyText"/>
        <w:spacing w:before="24" w:line="192" w:lineRule="auto"/>
        <w:ind w:left="1499"/>
      </w:pPr>
      <w:r>
        <w:rPr>
          <w:position w:val="2"/>
        </w:rPr>
        <w:drawing>
          <wp:inline distT="0" distB="0" distL="0" distR="0">
            <wp:extent cx="110299" cy="112014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299" cy="112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pacing w:val="1"/>
        </w:rPr>
        <w:t xml:space="preserve">   </w:t>
      </w:r>
      <w:r>
        <w:rPr>
          <w:b/>
          <w:bCs/>
          <w:spacing w:val="-2"/>
        </w:rPr>
        <w:t>2023年权益市场小盘表现更优；整体收益上来说，转债表现相对权益更优；</w:t>
      </w:r>
    </w:p>
    <w:p>
      <w:pPr>
        <w:pStyle w:val="BodyText"/>
        <w:spacing w:before="2" w:line="191" w:lineRule="auto"/>
        <w:ind w:left="1499"/>
      </w:pPr>
      <w:r>
        <w:rPr>
          <w:position w:val="2"/>
        </w:rPr>
        <w:drawing>
          <wp:inline distT="0" distB="0" distL="0" distR="0">
            <wp:extent cx="110299" cy="112014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299" cy="112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 </w:t>
      </w:r>
      <w:r>
        <w:rPr>
          <w:b/>
          <w:bCs/>
          <w:spacing w:val="-1"/>
        </w:rPr>
        <w:t>2023年溢价率对转债市场的整体贡献很小，其中贡</w:t>
      </w:r>
      <w:r>
        <w:rPr>
          <w:b/>
          <w:bCs/>
          <w:spacing w:val="-2"/>
        </w:rPr>
        <w:t>献变小甚至为负主要是10月之后；</w:t>
      </w:r>
    </w:p>
    <w:p>
      <w:pPr>
        <w:pStyle w:val="BodyText"/>
        <w:spacing w:before="1" w:line="190" w:lineRule="auto"/>
        <w:ind w:left="1499"/>
      </w:pPr>
      <w:r>
        <w:rPr>
          <w:position w:val="2"/>
        </w:rPr>
        <w:drawing>
          <wp:inline distT="0" distB="0" distL="0" distR="0">
            <wp:extent cx="110483" cy="112200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0483" cy="11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pacing w:val="39"/>
        </w:rPr>
        <w:t xml:space="preserve">  </w:t>
      </w:r>
      <w:r>
        <w:rPr>
          <w:b/>
          <w:bCs/>
          <w:spacing w:val="-1"/>
        </w:rPr>
        <w:t>大规模的转债估值贡献走势在10月之前是增加的，小规模转债估值贡献震荡变动，之后均快速变小甚</w:t>
      </w:r>
      <w:r>
        <w:rPr>
          <w:b/>
          <w:bCs/>
          <w:spacing w:val="-2"/>
        </w:rPr>
        <w:t>至为负；</w:t>
      </w:r>
    </w:p>
    <w:p>
      <w:pPr>
        <w:pStyle w:val="BodyText"/>
        <w:spacing w:before="2" w:line="192" w:lineRule="auto"/>
        <w:ind w:left="1499"/>
      </w:pPr>
      <w:r>
        <w:rPr>
          <w:position w:val="2"/>
        </w:rPr>
        <w:drawing>
          <wp:inline distT="0" distB="0" distL="0" distR="0">
            <wp:extent cx="110299" cy="112013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299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pacing w:val="39"/>
        </w:rPr>
        <w:t xml:space="preserve">  </w:t>
      </w:r>
      <w:r>
        <w:rPr>
          <w:b/>
          <w:bCs/>
          <w:spacing w:val="-1"/>
        </w:rPr>
        <w:t>科技板块平价正向贡献程度最显著；新能源军工板块的估值负向明显；消费板块的估值和平</w:t>
      </w:r>
      <w:r>
        <w:rPr>
          <w:b/>
          <w:bCs/>
          <w:spacing w:val="-2"/>
        </w:rPr>
        <w:t>价相对来说均较优。</w:t>
      </w:r>
    </w:p>
    <w:p>
      <w:pPr>
        <w:pStyle w:val="BodyText"/>
        <w:spacing w:before="95" w:line="194" w:lineRule="auto"/>
        <w:ind w:left="1478"/>
      </w:pPr>
      <w:r>
        <w:rPr>
          <w:b/>
          <w:bCs/>
          <w:color w:val="E10000"/>
          <w:spacing w:val="-1"/>
        </w:rPr>
        <w:t>估值情况分析</w:t>
      </w:r>
    </w:p>
    <w:p>
      <w:pPr>
        <w:pStyle w:val="BodyText"/>
        <w:spacing w:before="26" w:line="191" w:lineRule="auto"/>
        <w:ind w:left="1499"/>
      </w:pPr>
      <w:r>
        <w:rPr>
          <w:position w:val="2"/>
        </w:rPr>
        <w:drawing>
          <wp:inline distT="0" distB="0" distL="0" distR="0">
            <wp:extent cx="110483" cy="112200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0483" cy="11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pacing w:val="39"/>
        </w:rPr>
        <w:t xml:space="preserve">  </w:t>
      </w:r>
      <w:r>
        <w:rPr>
          <w:b/>
          <w:bCs/>
          <w:spacing w:val="-1"/>
        </w:rPr>
        <w:t>得益于2023年最后三个交易日的反弹，价格中位数处于</w:t>
      </w:r>
      <w:r>
        <w:rPr>
          <w:b/>
          <w:bCs/>
          <w:spacing w:val="-2"/>
        </w:rPr>
        <w:t>2022年以来中枢位置附近；</w:t>
      </w:r>
    </w:p>
    <w:p>
      <w:pPr>
        <w:pStyle w:val="BodyText"/>
        <w:spacing w:line="192" w:lineRule="auto"/>
        <w:ind w:left="1499"/>
      </w:pPr>
      <w:r>
        <w:rPr>
          <w:position w:val="2"/>
        </w:rPr>
        <w:drawing>
          <wp:inline distT="0" distB="0" distL="0" distR="0">
            <wp:extent cx="110299" cy="112013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299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pacing w:val="39"/>
          <w:w w:val="101"/>
        </w:rPr>
        <w:t xml:space="preserve">  </w:t>
      </w:r>
      <w:r>
        <w:rPr>
          <w:b/>
          <w:bCs/>
          <w:spacing w:val="-3"/>
        </w:rPr>
        <w:t>纯债溢价率中位数处于历史较低位置；</w:t>
      </w:r>
    </w:p>
    <w:p>
      <w:pPr>
        <w:pStyle w:val="BodyText"/>
        <w:spacing w:before="1" w:line="192" w:lineRule="auto"/>
        <w:ind w:left="1499"/>
        <w:sectPr>
          <w:headerReference w:type="default" r:id="rId11"/>
          <w:pgSz w:w="19200" w:h="10800"/>
          <w:pgMar w:top="400" w:right="0" w:bottom="0" w:left="0" w:header="0" w:footer="0" w:gutter="0"/>
          <w:pgNumType w:start="2"/>
          <w:cols w:space="708"/>
        </w:sectPr>
      </w:pPr>
      <w:r>
        <w:rPr>
          <w:position w:val="2"/>
        </w:rPr>
        <w:drawing>
          <wp:inline distT="0" distB="0" distL="0" distR="0">
            <wp:extent cx="110299" cy="112013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299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pacing w:val="44"/>
        </w:rPr>
        <w:t xml:space="preserve">  </w:t>
      </w:r>
      <w:r>
        <w:rPr>
          <w:b/>
          <w:bCs/>
          <w:spacing w:val="-3"/>
        </w:rPr>
        <w:t>百元平价溢价率处于2022年以来低位；</w:t>
      </w:r>
    </w:p>
    <w:p>
      <w:pPr>
        <w:pStyle w:val="BodyText"/>
        <w:spacing w:before="1" w:line="190" w:lineRule="auto"/>
        <w:ind w:left="1499"/>
      </w:pPr>
      <w:r>
        <w:rPr>
          <w:position w:val="2"/>
        </w:rPr>
        <w:drawing>
          <wp:inline distT="0" distB="0" distL="0" distR="0">
            <wp:extent cx="110299" cy="112013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0299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pacing w:val="40"/>
          <w:w w:val="101"/>
        </w:rPr>
        <w:t xml:space="preserve">  </w:t>
      </w:r>
      <w:r>
        <w:rPr>
          <w:b/>
          <w:bCs/>
          <w:spacing w:val="-2"/>
        </w:rPr>
        <w:t>各个平价对比，低价转债处于2022年以来相对更高位置；</w:t>
      </w:r>
    </w:p>
    <w:p>
      <w:pPr>
        <w:pStyle w:val="BodyText"/>
        <w:spacing w:line="192" w:lineRule="auto"/>
        <w:ind w:left="1499"/>
      </w:pPr>
      <w:r>
        <w:rPr>
          <w:position w:val="2"/>
        </w:rPr>
        <w:drawing>
          <wp:inline distT="0" distB="0" distL="0" distR="0">
            <wp:extent cx="110299" cy="112013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299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pacing w:val="44"/>
        </w:rPr>
        <w:t xml:space="preserve">  </w:t>
      </w:r>
      <w:r>
        <w:rPr>
          <w:b/>
          <w:bCs/>
          <w:spacing w:val="-3"/>
        </w:rPr>
        <w:t>规模较大的转债价格和溢价率处于更低位置；</w:t>
      </w:r>
    </w:p>
    <w:p>
      <w:pPr>
        <w:pStyle w:val="BodyText"/>
        <w:spacing w:line="190" w:lineRule="auto"/>
        <w:ind w:left="1499"/>
      </w:pPr>
      <w:r>
        <w:rPr>
          <w:position w:val="2"/>
        </w:rPr>
        <w:drawing>
          <wp:inline distT="0" distB="0" distL="0" distR="0">
            <wp:extent cx="110299" cy="112013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299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pacing w:val="39"/>
        </w:rPr>
        <w:t xml:space="preserve">  </w:t>
      </w:r>
      <w:r>
        <w:rPr>
          <w:b/>
          <w:bCs/>
          <w:spacing w:val="-5"/>
        </w:rPr>
        <w:t>相对于2021年、</w:t>
      </w:r>
      <w:r>
        <w:rPr>
          <w:b/>
          <w:bCs/>
          <w:spacing w:val="27"/>
        </w:rPr>
        <w:t xml:space="preserve"> </w:t>
      </w:r>
      <w:r>
        <w:rPr>
          <w:b/>
          <w:bCs/>
          <w:spacing w:val="-5"/>
        </w:rPr>
        <w:t>2022年，</w:t>
      </w:r>
      <w:r>
        <w:rPr>
          <w:b/>
          <w:bCs/>
          <w:spacing w:val="27"/>
        </w:rPr>
        <w:t xml:space="preserve"> </w:t>
      </w:r>
      <w:r>
        <w:rPr>
          <w:b/>
          <w:bCs/>
          <w:spacing w:val="-5"/>
        </w:rPr>
        <w:t>2023年各个板块的走势分化</w:t>
      </w:r>
      <w:r>
        <w:rPr>
          <w:b/>
          <w:bCs/>
          <w:spacing w:val="-6"/>
        </w:rPr>
        <w:t>更加清晰，红利低估板块相对更低，科技板块相对更高；</w:t>
      </w:r>
    </w:p>
    <w:p>
      <w:pPr>
        <w:pStyle w:val="BodyText"/>
        <w:spacing w:before="2" w:line="191" w:lineRule="auto"/>
        <w:ind w:left="1499"/>
      </w:pPr>
      <w:r>
        <w:rPr>
          <w:position w:val="2"/>
        </w:rPr>
        <w:drawing>
          <wp:inline distT="0" distB="0" distL="0" distR="0">
            <wp:extent cx="110299" cy="112013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0299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pacing w:val="41"/>
        </w:rPr>
        <w:t xml:space="preserve">  </w:t>
      </w:r>
      <w:r>
        <w:rPr>
          <w:b/>
          <w:bCs/>
          <w:spacing w:val="-2"/>
        </w:rPr>
        <w:t>次新券8月后定价持续偏弱，目前仍处于较弱状态；</w:t>
      </w:r>
    </w:p>
    <w:p>
      <w:pPr>
        <w:pStyle w:val="BodyText"/>
        <w:spacing w:before="2" w:line="164" w:lineRule="auto"/>
        <w:ind w:left="1499"/>
      </w:pPr>
      <w:r>
        <w:rPr>
          <w:position w:val="2"/>
        </w:rPr>
        <w:drawing>
          <wp:inline distT="0" distB="0" distL="0" distR="0">
            <wp:extent cx="110483" cy="112200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0483" cy="11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pacing w:val="45"/>
        </w:rPr>
        <w:t xml:space="preserve">  </w:t>
      </w:r>
      <w:r>
        <w:rPr>
          <w:b/>
          <w:bCs/>
          <w:spacing w:val="-3"/>
        </w:rPr>
        <w:t>偏债类、低价类转债整体的信用替代价值逐渐显著。</w:t>
      </w:r>
    </w:p>
    <w:p>
      <w:pPr>
        <w:spacing w:line="194" w:lineRule="auto"/>
        <w:ind w:left="17635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898989"/>
          <w:sz w:val="24"/>
          <w:szCs w:val="24"/>
        </w:rPr>
        <w:t>1</w:t>
      </w:r>
    </w:p>
    <w:p>
      <w:pPr>
        <w:spacing w:line="194" w:lineRule="auto"/>
        <w:rPr>
          <w:rFonts w:ascii="Arial" w:eastAsia="Arial" w:hAnsi="Arial" w:cs="Arial"/>
          <w:sz w:val="24"/>
          <w:szCs w:val="24"/>
        </w:rPr>
        <w:sectPr>
          <w:headerReference w:type="default" r:id="rId12"/>
          <w:type w:val="nextPage"/>
          <w:pgSz w:w="19200" w:h="10800"/>
          <w:pgMar w:top="400" w:right="0" w:bottom="0" w:left="0" w:header="0" w:footer="0" w:gutter="0"/>
          <w:pgNumType w:start="3"/>
          <w:cols w:space="708"/>
          <w:titlePg w:val="0"/>
        </w:sect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tabs>
          <w:tab w:val="left" w:pos="1828"/>
        </w:tabs>
        <w:spacing w:before="214" w:line="194" w:lineRule="auto"/>
        <w:ind w:left="1471"/>
        <w:rPr>
          <w:sz w:val="50"/>
          <w:szCs w:val="50"/>
        </w:rPr>
      </w:pPr>
      <w:r>
        <w:rPr>
          <w:color w:val="FFFFFF"/>
          <w:position w:val="1"/>
          <w:sz w:val="48"/>
          <w:szCs w:val="48"/>
          <w:shd w:val="clear" w:color="auto" w:fill="DF2023"/>
        </w:rPr>
        <w:tab/>
      </w:r>
      <w:r>
        <w:rPr>
          <w:b/>
          <w:bCs/>
          <w:color w:val="FFFFFF"/>
          <w:spacing w:val="13"/>
          <w:position w:val="1"/>
          <w:sz w:val="48"/>
          <w:szCs w:val="48"/>
          <w:shd w:val="clear" w:color="auto" w:fill="DF2023"/>
        </w:rPr>
        <w:t>投资要点</w:t>
      </w:r>
      <w:r>
        <w:rPr>
          <w:b/>
          <w:bCs/>
          <w:color w:val="FFFFFF"/>
          <w:spacing w:val="32"/>
          <w:position w:val="1"/>
          <w:sz w:val="48"/>
          <w:szCs w:val="48"/>
          <w:shd w:val="clear" w:color="auto" w:fill="DF2023"/>
        </w:rPr>
        <w:t xml:space="preserve">  </w:t>
      </w:r>
      <w:r>
        <w:rPr>
          <w:b/>
          <w:bCs/>
          <w:color w:val="FFFFFF"/>
          <w:spacing w:val="65"/>
          <w:position w:val="1"/>
          <w:sz w:val="48"/>
          <w:szCs w:val="48"/>
        </w:rPr>
        <w:t xml:space="preserve"> </w:t>
      </w:r>
      <w:r>
        <w:rPr>
          <w:b/>
          <w:bCs/>
          <w:i/>
          <w:iCs/>
          <w:color w:val="DF2023"/>
          <w:position w:val="-1"/>
          <w:sz w:val="50"/>
          <w:szCs w:val="50"/>
        </w:rPr>
        <w:t>KEY</w:t>
      </w:r>
      <w:r>
        <w:rPr>
          <w:b/>
          <w:bCs/>
          <w:color w:val="DF2023"/>
          <w:spacing w:val="-86"/>
          <w:position w:val="-1"/>
          <w:sz w:val="50"/>
          <w:szCs w:val="50"/>
        </w:rPr>
        <w:t xml:space="preserve"> </w:t>
      </w:r>
      <w:r>
        <w:rPr>
          <w:b/>
          <w:bCs/>
          <w:i/>
          <w:iCs/>
          <w:color w:val="DF2023"/>
          <w:position w:val="-1"/>
          <w:sz w:val="50"/>
          <w:szCs w:val="50"/>
        </w:rPr>
        <w:t>POINTS</w:t>
      </w:r>
    </w:p>
    <w:p>
      <w:pPr>
        <w:spacing w:line="376" w:lineRule="auto"/>
        <w:rPr>
          <w:rFonts w:ascii="Arial"/>
          <w:sz w:val="21"/>
        </w:rPr>
      </w:pPr>
    </w:p>
    <w:p>
      <w:pPr>
        <w:pStyle w:val="BodyText"/>
        <w:spacing w:before="128" w:line="193" w:lineRule="auto"/>
        <w:ind w:left="1489"/>
      </w:pPr>
      <w:r>
        <w:rPr>
          <w:b/>
          <w:bCs/>
          <w:color w:val="E10000"/>
          <w:spacing w:val="-1"/>
        </w:rPr>
        <w:t>2024年一季度市场展望：波动放大期，反弹可持续</w:t>
      </w:r>
    </w:p>
    <w:p>
      <w:pPr>
        <w:pStyle w:val="BodyText"/>
        <w:spacing w:before="17" w:line="193" w:lineRule="auto"/>
        <w:ind w:left="1499"/>
      </w:pPr>
      <w:r>
        <w:rPr>
          <w:position w:val="2"/>
        </w:rPr>
        <w:drawing>
          <wp:inline distT="0" distB="0" distL="0" distR="0">
            <wp:extent cx="110299" cy="112014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0299" cy="112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pacing w:val="4"/>
        </w:rPr>
        <w:t xml:space="preserve">   </w:t>
      </w:r>
      <w:r>
        <w:rPr>
          <w:b/>
          <w:bCs/>
          <w:spacing w:val="-2"/>
        </w:rPr>
        <w:t>12月权益市场的压力在于资金面，风格上价值跑</w:t>
      </w:r>
      <w:r>
        <w:rPr>
          <w:b/>
          <w:bCs/>
          <w:spacing w:val="-3"/>
        </w:rPr>
        <w:t>赢成长，小盘相对超跌；</w:t>
      </w:r>
    </w:p>
    <w:p>
      <w:pPr>
        <w:pStyle w:val="BodyText"/>
        <w:spacing w:before="17" w:line="193" w:lineRule="auto"/>
        <w:ind w:left="1499"/>
      </w:pPr>
      <w:r>
        <w:rPr>
          <w:position w:val="2"/>
        </w:rPr>
        <w:drawing>
          <wp:inline distT="0" distB="0" distL="0" distR="0">
            <wp:extent cx="110483" cy="112200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0483" cy="11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pacing w:val="38"/>
        </w:rPr>
        <w:t xml:space="preserve">  </w:t>
      </w:r>
      <w:r>
        <w:rPr>
          <w:b/>
          <w:bCs/>
          <w:spacing w:val="-2"/>
        </w:rPr>
        <w:t>经济复苏偏慢，同时资金面宽松，债市演绎“资产荒”；</w:t>
      </w:r>
    </w:p>
    <w:p>
      <w:pPr>
        <w:pStyle w:val="BodyText"/>
        <w:spacing w:before="20" w:line="193" w:lineRule="auto"/>
        <w:ind w:left="1499"/>
      </w:pPr>
      <w:r>
        <w:rPr>
          <w:position w:val="2"/>
        </w:rPr>
        <w:drawing>
          <wp:inline distT="0" distB="0" distL="0" distR="0">
            <wp:extent cx="110299" cy="112014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0299" cy="112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pacing w:val="43"/>
        </w:rPr>
        <w:t xml:space="preserve">  </w:t>
      </w:r>
      <w:r>
        <w:rPr>
          <w:b/>
          <w:bCs/>
          <w:spacing w:val="-2"/>
        </w:rPr>
        <w:t>市场确认联储宽松周期，但相对来说人民币汇率升值速度偏</w:t>
      </w:r>
      <w:r>
        <w:rPr>
          <w:b/>
          <w:bCs/>
          <w:spacing w:val="-3"/>
        </w:rPr>
        <w:t>慢；</w:t>
      </w:r>
    </w:p>
    <w:p>
      <w:pPr>
        <w:pStyle w:val="BodyText"/>
        <w:spacing w:before="17" w:line="193" w:lineRule="auto"/>
        <w:ind w:left="1499"/>
      </w:pPr>
      <w:r>
        <w:rPr>
          <w:position w:val="2"/>
        </w:rPr>
        <w:drawing>
          <wp:inline distT="0" distB="0" distL="0" distR="0">
            <wp:extent cx="110299" cy="112014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0299" cy="112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pacing w:val="40"/>
        </w:rPr>
        <w:t xml:space="preserve">  </w:t>
      </w:r>
      <w:r>
        <w:rPr>
          <w:b/>
          <w:bCs/>
        </w:rPr>
        <w:t>业绩空窗期，容易酝酿行情。目前风险偏好低位，估值接近底部区域。但核心变量未反转，</w:t>
      </w:r>
      <w:r>
        <w:rPr>
          <w:b/>
          <w:bCs/>
          <w:spacing w:val="-1"/>
        </w:rPr>
        <w:t>偏向于宽幅震荡</w:t>
      </w:r>
    </w:p>
    <w:p>
      <w:pPr>
        <w:pStyle w:val="BodyText"/>
        <w:spacing w:before="18" w:line="193" w:lineRule="auto"/>
        <w:ind w:left="1499"/>
      </w:pPr>
      <w:r>
        <w:rPr>
          <w:position w:val="2"/>
        </w:rPr>
        <w:drawing>
          <wp:inline distT="0" distB="0" distL="0" distR="0">
            <wp:extent cx="110483" cy="112200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0483" cy="11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pacing w:val="48"/>
        </w:rPr>
        <w:t xml:space="preserve">  </w:t>
      </w:r>
      <w:r>
        <w:rPr>
          <w:b/>
          <w:bCs/>
          <w:spacing w:val="-1"/>
        </w:rPr>
        <w:t>行业机会来自于“可预期”方向，有一定补库存催化</w:t>
      </w:r>
    </w:p>
    <w:p>
      <w:pPr>
        <w:pStyle w:val="BodyText"/>
        <w:spacing w:before="18" w:line="193" w:lineRule="auto"/>
        <w:ind w:left="1499"/>
      </w:pPr>
      <w:r>
        <w:rPr>
          <w:position w:val="2"/>
        </w:rPr>
        <w:drawing>
          <wp:inline distT="0" distB="0" distL="0" distR="0">
            <wp:extent cx="110299" cy="112014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0299" cy="112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pacing w:val="44"/>
        </w:rPr>
        <w:t xml:space="preserve">  </w:t>
      </w:r>
      <w:r>
        <w:rPr>
          <w:b/>
          <w:bCs/>
          <w:spacing w:val="-1"/>
        </w:rPr>
        <w:t>转债部分修复，仍有不错的收益空间</w:t>
      </w:r>
    </w:p>
    <w:p>
      <w:pPr>
        <w:pStyle w:val="BodyText"/>
        <w:spacing w:before="18" w:line="193" w:lineRule="auto"/>
        <w:ind w:left="1478"/>
      </w:pPr>
      <w:r>
        <w:rPr>
          <w:b/>
          <w:bCs/>
          <w:color w:val="E10000"/>
          <w:spacing w:val="-1"/>
        </w:rPr>
        <w:t>转债组合推荐</w:t>
      </w:r>
    </w:p>
    <w:p>
      <w:pPr>
        <w:pStyle w:val="BodyText"/>
        <w:spacing w:before="16" w:line="177" w:lineRule="auto"/>
        <w:ind w:left="1927" w:right="2572" w:hanging="428"/>
      </w:pPr>
      <w:r>
        <w:rPr>
          <w:position w:val="2"/>
        </w:rPr>
        <w:drawing>
          <wp:inline distT="0" distB="0" distL="0" distR="0">
            <wp:extent cx="110483" cy="112200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0483" cy="11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pacing w:val="6"/>
        </w:rPr>
        <w:t xml:space="preserve">   </w:t>
      </w:r>
      <w:r>
        <w:rPr>
          <w:b/>
          <w:bCs/>
          <w:spacing w:val="-4"/>
        </w:rPr>
        <w:t>白马组合：</w:t>
      </w:r>
      <w:r>
        <w:rPr>
          <w:b/>
          <w:bCs/>
          <w:spacing w:val="73"/>
        </w:rPr>
        <w:t xml:space="preserve"> </w:t>
      </w:r>
      <w:r>
        <w:rPr>
          <w:spacing w:val="-4"/>
        </w:rPr>
        <w:t>主要精选转债少数优质标的，并结合短期景气度筛选，组合相对注重弹性，对于回撤控制要求较高的</w:t>
      </w:r>
      <w:r>
        <w:t xml:space="preserve"> </w:t>
      </w:r>
      <w:r>
        <w:rPr>
          <w:spacing w:val="-5"/>
        </w:rPr>
        <w:t>投资者，可以通过降低仓位的方式参与。为了符合实际配置，</w:t>
      </w:r>
      <w:r>
        <w:rPr>
          <w:spacing w:val="39"/>
        </w:rPr>
        <w:t xml:space="preserve">  </w:t>
      </w:r>
      <w:r>
        <w:rPr>
          <w:spacing w:val="-5"/>
        </w:rPr>
        <w:t xml:space="preserve">10个标的中，每周调整1-2个标的，月报中可能会 </w:t>
      </w:r>
      <w:r>
        <w:rPr>
          <w:spacing w:val="-3"/>
        </w:rPr>
        <w:t>做重大调整，下一周根据周一收盘价作调整。</w:t>
      </w:r>
    </w:p>
    <w:p>
      <w:pPr>
        <w:pStyle w:val="BodyText"/>
        <w:spacing w:before="16" w:line="181" w:lineRule="auto"/>
        <w:ind w:left="1971" w:right="2573" w:hanging="472"/>
      </w:pPr>
      <w:r>
        <w:rPr>
          <w:position w:val="2"/>
        </w:rPr>
        <w:drawing>
          <wp:inline distT="0" distB="0" distL="0" distR="0">
            <wp:extent cx="110299" cy="112013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0299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pacing w:val="40"/>
        </w:rPr>
        <w:t xml:space="preserve">  </w:t>
      </w:r>
      <w:r>
        <w:rPr>
          <w:b/>
          <w:bCs/>
          <w:spacing w:val="-3"/>
        </w:rPr>
        <w:t xml:space="preserve">量化组合：  </w:t>
      </w:r>
      <w:r>
        <w:rPr>
          <w:spacing w:val="-3"/>
        </w:rPr>
        <w:t>随着转债标的的增加，量化</w:t>
      </w:r>
      <w:r>
        <w:rPr>
          <w:spacing w:val="-4"/>
        </w:rPr>
        <w:t>策略的需求明显增加，我们构建多因子组合：重点考虑正股因子进行选债</w:t>
      </w:r>
      <w:r>
        <w:t xml:space="preserve"> </w:t>
      </w:r>
      <w:r>
        <w:rPr>
          <w:spacing w:val="8"/>
        </w:rPr>
        <w:t>,并结合转债估值等特殊因子。</w:t>
      </w:r>
    </w:p>
    <w:p>
      <w:pPr>
        <w:pStyle w:val="BodyText"/>
        <w:spacing w:before="16" w:line="194" w:lineRule="auto"/>
        <w:ind w:left="1499"/>
      </w:pPr>
      <w:r>
        <w:rPr>
          <w:position w:val="2"/>
        </w:rPr>
        <w:drawing>
          <wp:inline distT="0" distB="0" distL="0" distR="0">
            <wp:extent cx="110299" cy="112013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0299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pacing w:val="44"/>
        </w:rPr>
        <w:t xml:space="preserve">  </w:t>
      </w:r>
      <w:r>
        <w:rPr>
          <w:b/>
          <w:bCs/>
          <w:spacing w:val="-5"/>
        </w:rPr>
        <w:t xml:space="preserve">低价基本面组合：  </w:t>
      </w:r>
      <w:r>
        <w:rPr>
          <w:spacing w:val="-5"/>
        </w:rPr>
        <w:t>考虑到目前转债绝对价格分位已经到了中等水平，本月继续重点推荐低价具备看点的转债。</w:t>
      </w:r>
    </w:p>
    <w:p>
      <w:pPr>
        <w:spacing w:line="317" w:lineRule="auto"/>
        <w:rPr>
          <w:rFonts w:ascii="Arial"/>
          <w:sz w:val="21"/>
        </w:rPr>
      </w:pPr>
    </w:p>
    <w:p>
      <w:pPr>
        <w:pStyle w:val="BodyText"/>
        <w:spacing w:before="130" w:line="194" w:lineRule="auto"/>
        <w:ind w:left="1479"/>
        <w:sectPr>
          <w:headerReference w:type="default" r:id="rId17"/>
          <w:pgSz w:w="19200" w:h="10800"/>
          <w:pgMar w:top="400" w:right="0" w:bottom="0" w:left="0" w:header="0" w:footer="0" w:gutter="0"/>
          <w:pgNumType w:start="4"/>
          <w:cols w:space="708"/>
        </w:sectPr>
      </w:pPr>
      <w:r>
        <w:rPr>
          <w:b/>
          <w:bCs/>
          <w:spacing w:val="-1"/>
        </w:rPr>
        <w:t>详细组合推荐参考正文</w:t>
      </w:r>
    </w:p>
    <w:p>
      <w:pPr>
        <w:spacing w:line="388" w:lineRule="auto"/>
        <w:rPr>
          <w:rFonts w:ascii="Arial"/>
          <w:sz w:val="21"/>
        </w:rPr>
      </w:pPr>
    </w:p>
    <w:p>
      <w:pPr>
        <w:pStyle w:val="BodyText"/>
        <w:spacing w:before="138" w:line="193" w:lineRule="auto"/>
        <w:ind w:left="1463"/>
        <w:rPr>
          <w:sz w:val="32"/>
          <w:szCs w:val="32"/>
        </w:rPr>
      </w:pPr>
      <w:r>
        <w:rPr>
          <w:b/>
          <w:bCs/>
          <w:color w:val="C00000"/>
          <w:spacing w:val="-2"/>
          <w:sz w:val="32"/>
          <w:szCs w:val="32"/>
        </w:rPr>
        <w:t>风险提示：海外波动加大、基本面变化超预期、流动性变化超预期、监管政策超预期。</w:t>
      </w:r>
    </w:p>
    <w:p>
      <w:pPr>
        <w:spacing w:line="428" w:lineRule="auto"/>
        <w:rPr>
          <w:rFonts w:ascii="Arial"/>
          <w:sz w:val="21"/>
        </w:rPr>
      </w:pPr>
    </w:p>
    <w:p>
      <w:pPr>
        <w:spacing w:before="69" w:line="194" w:lineRule="auto"/>
        <w:ind w:left="17615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898989"/>
          <w:sz w:val="24"/>
          <w:szCs w:val="24"/>
        </w:rPr>
        <w:t>2</w:t>
      </w:r>
    </w:p>
    <w:p>
      <w:pPr>
        <w:spacing w:line="194" w:lineRule="auto"/>
        <w:rPr>
          <w:rFonts w:ascii="Arial" w:eastAsia="Arial" w:hAnsi="Arial" w:cs="Arial"/>
          <w:sz w:val="24"/>
          <w:szCs w:val="24"/>
        </w:rPr>
        <w:sectPr>
          <w:headerReference w:type="default" r:id="rId18"/>
          <w:type w:val="nextPage"/>
          <w:pgSz w:w="19200" w:h="10800"/>
          <w:pgMar w:top="400" w:right="0" w:bottom="0" w:left="0" w:header="0" w:footer="0" w:gutter="0"/>
          <w:pgNumType w:start="5"/>
          <w:cols w:space="708"/>
          <w:titlePg w:val="0"/>
        </w:sectPr>
      </w:pPr>
    </w:p>
    <w:p>
      <w:pPr>
        <w:spacing w:before="120" w:line="700" w:lineRule="exact"/>
        <w:ind w:firstLine="15515"/>
      </w:pPr>
      <w:r>
        <w:rPr>
          <w:position w:val="-14"/>
        </w:rPr>
        <w:drawing>
          <wp:inline distT="0" distB="0" distL="0" distR="0">
            <wp:extent cx="2022207" cy="444500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22207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29" w:line="194" w:lineRule="auto"/>
        <w:ind w:left="2657"/>
        <w:rPr>
          <w:rFonts w:ascii="Arial" w:eastAsia="Arial" w:hAnsi="Arial" w:cs="Arial"/>
          <w:sz w:val="60"/>
          <w:szCs w:val="60"/>
        </w:rPr>
      </w:pPr>
      <w:r>
        <w:rPr>
          <w:b/>
          <w:bCs/>
          <w:color w:val="DF2023"/>
          <w:spacing w:val="-18"/>
          <w:position w:val="1"/>
          <w:sz w:val="88"/>
          <w:szCs w:val="88"/>
        </w:rPr>
        <w:t>目</w:t>
      </w:r>
      <w:r>
        <w:rPr>
          <w:b/>
          <w:bCs/>
          <w:color w:val="DF2023"/>
          <w:spacing w:val="204"/>
          <w:position w:val="1"/>
          <w:sz w:val="88"/>
          <w:szCs w:val="88"/>
        </w:rPr>
        <w:t xml:space="preserve"> </w:t>
      </w:r>
      <w:r>
        <w:rPr>
          <w:b/>
          <w:bCs/>
          <w:color w:val="DF2023"/>
          <w:spacing w:val="-18"/>
          <w:position w:val="1"/>
          <w:sz w:val="88"/>
          <w:szCs w:val="88"/>
        </w:rPr>
        <w:t xml:space="preserve">录 </w:t>
      </w:r>
      <w:r>
        <w:rPr>
          <w:rFonts w:ascii="Arial" w:eastAsia="Arial" w:hAnsi="Arial" w:cs="Arial"/>
          <w:color w:val="D9D9D9"/>
          <w:spacing w:val="-18"/>
          <w:position w:val="-1"/>
          <w:sz w:val="60"/>
          <w:szCs w:val="60"/>
        </w:rPr>
        <w:t>CATALOGUE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tabs>
          <w:tab w:val="left" w:pos="3396"/>
        </w:tabs>
        <w:spacing w:before="215" w:line="193" w:lineRule="auto"/>
        <w:ind w:left="3127"/>
        <w:rPr>
          <w:sz w:val="50"/>
          <w:szCs w:val="50"/>
        </w:rPr>
      </w:pPr>
      <w:r>
        <w:rPr>
          <w:rFonts w:ascii="Arial" w:eastAsia="Arial" w:hAnsi="Arial" w:cs="Arial"/>
          <w:color w:val="FFFFFF"/>
          <w:sz w:val="48"/>
          <w:szCs w:val="48"/>
          <w:shd w:val="clear" w:color="auto" w:fill="DF2023"/>
        </w:rPr>
        <w:tab/>
      </w:r>
      <w:r>
        <w:rPr>
          <w:rFonts w:ascii="Arial" w:eastAsia="Arial" w:hAnsi="Arial" w:cs="Arial"/>
          <w:b/>
          <w:bCs/>
          <w:color w:val="FFFFFF"/>
          <w:spacing w:val="1"/>
          <w:sz w:val="48"/>
          <w:szCs w:val="48"/>
          <w:shd w:val="clear" w:color="auto" w:fill="DF2023"/>
        </w:rPr>
        <w:t>01</w:t>
      </w:r>
      <w:r>
        <w:rPr>
          <w:rFonts w:ascii="Arial" w:eastAsia="Arial" w:hAnsi="Arial" w:cs="Arial"/>
          <w:b/>
          <w:bCs/>
          <w:color w:val="FFFFFF"/>
          <w:spacing w:val="120"/>
          <w:sz w:val="48"/>
          <w:szCs w:val="48"/>
          <w:shd w:val="clear" w:color="auto" w:fill="DF2023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1"/>
          <w:sz w:val="48"/>
          <w:szCs w:val="48"/>
        </w:rPr>
        <w:t xml:space="preserve">     </w:t>
      </w:r>
      <w:r>
        <w:rPr>
          <w:b/>
          <w:bCs/>
          <w:color w:val="E10000"/>
          <w:spacing w:val="1"/>
          <w:sz w:val="50"/>
          <w:szCs w:val="50"/>
        </w:rPr>
        <w:t>2023年转债市场回顾：波动向下，但不缺机会</w:t>
      </w:r>
    </w:p>
    <w:p>
      <w:pPr>
        <w:spacing w:before="159" w:line="233" w:lineRule="auto"/>
        <w:ind w:left="3292" w:right="2975" w:hanging="11"/>
        <w:rPr>
          <w:rFonts w:ascii="KaiTi" w:eastAsia="KaiTi" w:hAnsi="KaiTi" w:cs="KaiTi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FF0000"/>
          <w:spacing w:val="2"/>
          <w:sz w:val="32"/>
          <w:szCs w:val="32"/>
        </w:rPr>
        <w:t>2023</w:t>
      </w:r>
      <w:r>
        <w:rPr>
          <w:rFonts w:ascii="KaiTi" w:eastAsia="KaiTi" w:hAnsi="KaiTi" w:cs="KaiTi"/>
          <w:color w:val="FF0000"/>
          <w:spacing w:val="2"/>
          <w:sz w:val="32"/>
          <w:szCs w:val="32"/>
          <w14:textOutline w14:w="5805">
            <w14:solidFill>
              <w14:srgbClr w14:val="FF0000"/>
            </w14:solidFill>
            <w14:prstDash w14:val="solid"/>
            <w14:miter w14:lim="10"/>
          </w14:textOutline>
        </w:rPr>
        <w:t>年，转债波动相较</w:t>
      </w:r>
      <w:r>
        <w:rPr>
          <w:rFonts w:ascii="Times New Roman" w:eastAsia="Times New Roman" w:hAnsi="Times New Roman" w:cs="Times New Roman"/>
          <w:b/>
          <w:bCs/>
          <w:color w:val="FF0000"/>
          <w:spacing w:val="2"/>
          <w:sz w:val="32"/>
          <w:szCs w:val="32"/>
        </w:rPr>
        <w:t>2019-2022</w:t>
      </w:r>
      <w:r>
        <w:rPr>
          <w:rFonts w:ascii="KaiTi" w:eastAsia="KaiTi" w:hAnsi="KaiTi" w:cs="KaiTi"/>
          <w:color w:val="FF0000"/>
          <w:spacing w:val="2"/>
          <w:sz w:val="32"/>
          <w:szCs w:val="32"/>
          <w14:textOutline w14:w="5805">
            <w14:solidFill>
              <w14:srgbClr w14:val="FF0000"/>
            </w14:solidFill>
            <w14:prstDash w14:val="solid"/>
            <w14:miter w14:lim="10"/>
          </w14:textOutline>
        </w:rPr>
        <w:t>年大幅降低，但除了</w:t>
      </w:r>
      <w:r>
        <w:rPr>
          <w:rFonts w:ascii="Times New Roman" w:eastAsia="Times New Roman" w:hAnsi="Times New Roman" w:cs="Times New Roman"/>
          <w:b/>
          <w:bCs/>
          <w:color w:val="FF0000"/>
          <w:spacing w:val="2"/>
          <w:sz w:val="32"/>
          <w:szCs w:val="32"/>
        </w:rPr>
        <w:t>8-10</w:t>
      </w:r>
      <w:r>
        <w:rPr>
          <w:rFonts w:ascii="KaiTi" w:eastAsia="KaiTi" w:hAnsi="KaiTi" w:cs="KaiTi"/>
          <w:color w:val="FF0000"/>
          <w:spacing w:val="2"/>
          <w:sz w:val="32"/>
          <w:szCs w:val="32"/>
          <w14:textOutline w14:w="5805">
            <w14:solidFill>
              <w14:srgbClr w14:val="FF0000"/>
            </w14:solidFill>
            <w14:prstDash w14:val="solid"/>
            <w14:miter w14:lim="10"/>
          </w14:textOutline>
        </w:rPr>
        <w:t>月的普跌，多</w:t>
      </w:r>
      <w:r>
        <w:rPr>
          <w:rFonts w:ascii="KaiTi" w:eastAsia="KaiTi" w:hAnsi="KaiTi" w:cs="KaiTi"/>
          <w:color w:val="FF0000"/>
          <w:spacing w:val="1"/>
          <w:sz w:val="32"/>
          <w:szCs w:val="32"/>
          <w14:textOutline w14:w="5805">
            <w14:solidFill>
              <w14:srgbClr w14:val="FF0000"/>
            </w14:solidFill>
            <w14:prstDash w14:val="solid"/>
            <w14:miter w14:lim="10"/>
          </w14:textOutline>
        </w:rPr>
        <w:t>数时间转债依然具备</w:t>
      </w:r>
      <w:r>
        <w:rPr>
          <w:rFonts w:ascii="KaiTi" w:eastAsia="KaiTi" w:hAnsi="KaiTi" w:cs="KaiTi"/>
          <w:color w:val="FF0000"/>
          <w:sz w:val="32"/>
          <w:szCs w:val="32"/>
        </w:rPr>
        <w:t xml:space="preserve"> </w:t>
      </w:r>
      <w:r>
        <w:rPr>
          <w:rFonts w:ascii="KaiTi" w:eastAsia="KaiTi" w:hAnsi="KaiTi" w:cs="KaiTi"/>
          <w:color w:val="FF0000"/>
          <w:spacing w:val="1"/>
          <w:sz w:val="32"/>
          <w:szCs w:val="32"/>
          <w14:textOutline w14:w="5805">
            <w14:solidFill>
              <w14:srgbClr w14:val="FF0000"/>
            </w14:solidFill>
            <w14:prstDash w14:val="solid"/>
            <w14:miter w14:lim="10"/>
          </w14:textOutline>
        </w:rPr>
        <w:t>结构性机会，</w:t>
      </w:r>
      <w:r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>AI</w:t>
      </w:r>
      <w:r>
        <w:rPr>
          <w:rFonts w:ascii="KaiTi" w:eastAsia="KaiTi" w:hAnsi="KaiTi" w:cs="KaiTi"/>
          <w:color w:val="FF0000"/>
          <w:spacing w:val="1"/>
          <w:sz w:val="32"/>
          <w:szCs w:val="32"/>
          <w14:textOutline w14:w="5805">
            <w14:solidFill>
              <w14:srgbClr w14:val="FF0000"/>
            </w14:solidFill>
            <w14:prstDash w14:val="solid"/>
            <w14:miter w14:lim="10"/>
          </w14:textOutline>
        </w:rPr>
        <w:t>行情更是贯穿了全年。</w:t>
      </w:r>
    </w:p>
    <w:p>
      <w:pPr>
        <w:spacing w:before="76" w:line="233" w:lineRule="auto"/>
        <w:ind w:left="3287" w:right="2977" w:firstLine="37"/>
        <w:rPr>
          <w:rFonts w:ascii="KaiTi" w:eastAsia="KaiTi" w:hAnsi="KaiTi" w:cs="KaiTi"/>
          <w:sz w:val="32"/>
          <w:szCs w:val="32"/>
        </w:rPr>
      </w:pPr>
      <w:r>
        <w:rPr>
          <w:rFonts w:ascii="KaiTi" w:eastAsia="KaiTi" w:hAnsi="KaiTi" w:cs="KaiTi"/>
          <w:color w:val="FF0000"/>
          <w:spacing w:val="6"/>
          <w:sz w:val="32"/>
          <w:szCs w:val="32"/>
          <w14:textOutline w14:w="5814">
            <w14:solidFill>
              <w14:srgbClr w14:val="FF0000"/>
            </w14:solidFill>
            <w14:prstDash w14:val="solid"/>
            <w14:miter w14:lim="10"/>
          </w14:textOutline>
        </w:rPr>
        <w:t>当然，相对前三年新能源行情，</w:t>
      </w:r>
      <w:r>
        <w:rPr>
          <w:rFonts w:ascii="KaiTi" w:eastAsia="KaiTi" w:hAnsi="KaiTi" w:cs="KaiTi"/>
          <w:color w:val="FF0000"/>
          <w:spacing w:val="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>AI</w:t>
      </w:r>
      <w:r>
        <w:rPr>
          <w:rFonts w:ascii="KaiTi" w:eastAsia="KaiTi" w:hAnsi="KaiTi" w:cs="KaiTi"/>
          <w:color w:val="FF0000"/>
          <w:spacing w:val="6"/>
          <w:sz w:val="32"/>
          <w:szCs w:val="32"/>
          <w14:textOutline w14:w="5814">
            <w14:solidFill>
              <w14:srgbClr w14:val="FF0000"/>
            </w14:solidFill>
            <w14:prstDash w14:val="solid"/>
            <w14:miter w14:lim="10"/>
          </w14:textOutline>
        </w:rPr>
        <w:t>相关转债体量大幅下降，</w:t>
      </w:r>
      <w:r>
        <w:rPr>
          <w:rFonts w:ascii="KaiTi" w:eastAsia="KaiTi" w:hAnsi="KaiTi" w:cs="KaiTi"/>
          <w:color w:val="FF0000"/>
          <w:spacing w:val="5"/>
          <w:sz w:val="32"/>
          <w:szCs w:val="32"/>
          <w14:textOutline w14:w="5814">
            <w14:solidFill>
              <w14:srgbClr w14:val="FF0000"/>
            </w14:solidFill>
            <w14:prstDash w14:val="solid"/>
            <w14:miter w14:lim="10"/>
          </w14:textOutline>
        </w:rPr>
        <w:t>这也压缩了结构性行情中的受</w:t>
      </w:r>
      <w:r>
        <w:rPr>
          <w:rFonts w:ascii="KaiTi" w:eastAsia="KaiTi" w:hAnsi="KaiTi" w:cs="KaiTi"/>
          <w:color w:val="FF0000"/>
          <w:sz w:val="32"/>
          <w:szCs w:val="32"/>
        </w:rPr>
        <w:t xml:space="preserve"> </w:t>
      </w:r>
      <w:r>
        <w:rPr>
          <w:rFonts w:ascii="KaiTi" w:eastAsia="KaiTi" w:hAnsi="KaiTi" w:cs="KaiTi"/>
          <w:color w:val="FF0000"/>
          <w:spacing w:val="2"/>
          <w:sz w:val="32"/>
          <w:szCs w:val="32"/>
          <w14:textOutline w14:w="5805">
            <w14:solidFill>
              <w14:srgbClr w14:val="FF0000"/>
            </w14:solidFill>
            <w14:prstDash w14:val="solid"/>
            <w14:miter w14:lim="10"/>
          </w14:textOutline>
        </w:rPr>
        <w:t>益程度。而权重品种在四季度的破位调整，也进一步影响了组合的综合受益。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  <w:sectPr>
          <w:headerReference w:type="default" r:id="rId19"/>
          <w:pgSz w:w="19200" w:h="10800"/>
          <w:pgMar w:top="400" w:right="0" w:bottom="0" w:left="0" w:header="0" w:footer="0" w:gutter="0"/>
          <w:pgNumType w:start="6"/>
          <w:cols w:space="708"/>
        </w:sect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69" w:line="194" w:lineRule="auto"/>
        <w:ind w:left="17619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898989"/>
          <w:sz w:val="24"/>
          <w:szCs w:val="24"/>
        </w:rPr>
        <w:t>3</w:t>
      </w:r>
    </w:p>
    <w:p>
      <w:pPr>
        <w:spacing w:line="194" w:lineRule="auto"/>
        <w:rPr>
          <w:rFonts w:ascii="Arial" w:eastAsia="Arial" w:hAnsi="Arial" w:cs="Arial"/>
          <w:sz w:val="24"/>
          <w:szCs w:val="24"/>
        </w:rPr>
        <w:sectPr>
          <w:headerReference w:type="default" r:id="rId20"/>
          <w:type w:val="nextPage"/>
          <w:pgSz w:w="19200" w:h="10800"/>
          <w:pgMar w:top="400" w:right="0" w:bottom="0" w:left="0" w:header="0" w:footer="0" w:gutter="0"/>
          <w:pgNumType w:start="7"/>
          <w:cols w:space="708"/>
          <w:titlePg w:val="0"/>
        </w:sectPr>
      </w:pPr>
    </w:p>
    <w:p>
      <w:pPr>
        <w:pStyle w:val="BodyText"/>
        <w:tabs>
          <w:tab w:val="left" w:pos="1595"/>
        </w:tabs>
        <w:spacing w:before="367" w:line="194" w:lineRule="auto"/>
        <w:ind w:left="1327"/>
        <w:rPr>
          <w:sz w:val="56"/>
          <w:szCs w:val="56"/>
        </w:rPr>
      </w:pPr>
      <w:r>
        <w:pict>
          <v:rect id="_x0000_s1028" style="width:0.5pt;height:199.25pt;margin-top:282.3pt;margin-left:917.85pt;mso-position-horizontal-relative:page;mso-position-vertical-relative:page;position:absolute;z-index:251714560" o:allowincell="f" filled="t" fillcolor="#7f7f7f" stroked="f"/>
        </w:pict>
      </w:r>
      <w:r>
        <w:pict>
          <v:rect id="_x0000_s1029" style="width:2.5pt;height:2.95pt;margin-top:329.65pt;margin-left:559.05pt;mso-position-horizontal-relative:page;mso-position-vertical-relative:page;position:absolute;z-index:251713536" o:allowincell="f" filled="t" fillcolor="#08287f" stroked="f"/>
        </w:pict>
      </w:r>
      <w:r>
        <w:pict>
          <v:rect id="_x0000_s1030" style="width:2.5pt;height:1.95pt;margin-top:350.45pt;margin-left:566.65pt;mso-position-horizontal-relative:page;mso-position-vertical-relative:page;position:absolute;z-index:251709440" o:allowincell="f" filled="t" fillcolor="#08287f" stroked="f"/>
        </w:pict>
      </w:r>
      <w:r>
        <w:pict>
          <v:rect id="_x0000_s1031" style="width:2.75pt;height:2.95pt;margin-top:337.45pt;margin-left:650.05pt;mso-position-horizontal-relative:page;mso-position-vertical-relative:page;position:absolute;z-index:251710464" o:allowincell="f" filled="t" fillcolor="#08287f" stroked="f"/>
        </w:pict>
      </w:r>
      <w:r>
        <w:pict>
          <v:rect id="_x0000_s1032" style="width:2.5pt;height:1.95pt;margin-top:357.45pt;margin-left:564.45pt;mso-position-horizontal-relative:page;mso-position-vertical-relative:page;position:absolute;z-index:251711488" o:allowincell="f" filled="t" fillcolor="#08287f" stroked="f"/>
        </w:pict>
      </w:r>
      <w:r>
        <w:pict>
          <v:rect id="_x0000_s1033" style="width:2.5pt;height:18.7pt;margin-top:369.25pt;margin-left:836.65pt;mso-position-horizontal-relative:page;mso-position-vertical-relative:page;position:absolute;z-index:251712512" o:allowincell="f" filled="t" fillcolor="#08287f" stroked="f"/>
        </w:pict>
      </w:r>
      <w:r>
        <w:pict>
          <v:rect id="_x0000_s1034" style="width:2.5pt;height:4.5pt;margin-top:431.05pt;margin-left:595.85pt;mso-position-horizontal-relative:page;mso-position-vertical-relative:page;position:absolute;z-index:251708416" o:allowincell="f" filled="t" fillcolor="#e02622" stroked="f"/>
        </w:pict>
      </w:r>
      <w:r>
        <w:pict>
          <v:rect id="_x0000_s1035" style="width:2.75pt;height:4.15pt;margin-top:336.25pt;margin-left:897.25pt;mso-position-horizontal-relative:page;mso-position-vertical-relative:page;position:absolute;z-index:251705344" o:allowincell="f" filled="t" fillcolor="#e02622" stroked="f"/>
        </w:pict>
      </w:r>
      <w:r>
        <w:pict>
          <v:rect id="_x0000_s1036" style="width:2.5pt;height:2.35pt;margin-top:407.25pt;margin-left:646.85pt;mso-position-horizontal-relative:page;mso-position-vertical-relative:page;position:absolute;z-index:251704320" o:allowincell="f" filled="t" fillcolor="#e02622" stroked="f"/>
        </w:pict>
      </w:r>
      <w:r>
        <w:pict>
          <v:rect id="_x0000_s1037" style="width:2.75pt;height:3.95pt;margin-top:392.65pt;margin-left:650.05pt;mso-position-horizontal-relative:page;mso-position-vertical-relative:page;position:absolute;z-index:251707392" o:allowincell="f" filled="t" fillcolor="#e02622" stroked="f"/>
        </w:pict>
      </w:r>
      <w:r>
        <w:pict>
          <v:rect id="_x0000_s1038" style="width:0.5pt;height:183.95pt;margin-top:293.3pt;margin-left:549.25pt;mso-position-horizontal-relative:page;mso-position-vertical-relative:page;position:absolute;z-index:251706368" o:allowincell="f" filled="t" fillcolor="#0d0d0d" stroked="f"/>
        </w:pict>
      </w:r>
      <w:r>
        <w:pict>
          <v:rect id="_x0000_s1039" style="width:2.6pt;height:0.5pt;margin-top:441.25pt;margin-left:526.7pt;mso-position-horizontal-relative:page;mso-position-vertical-relative:page;position:absolute;z-index:251703296" o:allowincell="f" filled="t" fillcolor="#7f7f7f" stroked="f"/>
        </w:pict>
      </w:r>
      <w:r>
        <w:pict>
          <v:rect id="_x0000_s1040" style="width:2.6pt;height:0.5pt;margin-top:401.45pt;margin-left:915.5pt;mso-position-horizontal-relative:page;mso-position-vertical-relative:page;position:absolute;z-index:251719680" o:allowincell="f" filled="t" fillcolor="#7f7f7f" stroked="f"/>
        </w:pict>
      </w:r>
      <w:r>
        <w:pict>
          <v:rect id="_x0000_s1041" style="width:2.5pt;height:18.35pt;margin-top:407.25pt;margin-left:900.65pt;mso-position-horizontal-relative:page;mso-position-vertical-relative:page;position:absolute;z-index:251718656" o:allowincell="f" filled="t" fillcolor="#08287f" stroked="f"/>
        </w:pict>
      </w:r>
      <w:r>
        <w:pict>
          <v:rect id="_x0000_s1042" style="width:2.75pt;height:2.3pt;margin-top:414.65pt;margin-left:882.05pt;mso-position-horizontal-relative:page;mso-position-vertical-relative:page;position:absolute;z-index:251717632" o:allowincell="f" filled="t" fillcolor="#08287f" stroked="f"/>
        </w:pict>
      </w:r>
      <w:r>
        <w:pict>
          <v:rect id="_x0000_s1043" style="width:2.6pt;height:0.5pt;margin-top:361.65pt;margin-left:915.5pt;mso-position-horizontal-relative:page;mso-position-vertical-relative:page;position:absolute;z-index:251716608" o:allowincell="f" filled="t" fillcolor="#7f7f7f" stroked="f"/>
        </w:pict>
      </w:r>
      <w:r>
        <w:pict>
          <v:rect id="_x0000_s1044" style="width:2.5pt;height:15.95pt;margin-top:393.65pt;margin-left:855.05pt;mso-position-horizontal-relative:page;mso-position-vertical-relative:page;position:absolute;z-index:251715584" o:allowincell="f" filled="t" fillcolor="#08287f" stroked="f"/>
        </w:pict>
      </w:r>
      <w:r>
        <w:pict>
          <v:shape id="_x0000_s1045" style="width:0.5pt;height:199.25pt;margin-top:282.3pt;margin-left:526.45pt;mso-position-horizontal-relative:page;mso-position-vertical-relative:page;position:absolute;z-index:-251655168" coordorigin="0,0" coordsize="10,3985" o:allowincell="f" path="m5,3984l5,e" filled="f" strokecolor="#7f7f7f" strokeweight="0.5pt"/>
        </w:pict>
      </w:r>
      <w:r>
        <w:pict>
          <v:shape id="_x0000_s1046" style="width:0.5pt;height:183.95pt;margin-top:293.3pt;margin-left:772.65pt;mso-position-horizontal-relative:page;mso-position-vertical-relative:page;position:absolute;z-index:251691008" coordorigin="0,0" coordsize="10,3678" o:allowincell="f" path="m5,3678l5,e" filled="f" strokecolor="#0d0d0d" strokeweight="0.5pt">
            <v:stroke joinstyle="miter" dashstyle="dash"/>
          </v:shape>
        </w:pict>
      </w:r>
      <w:r>
        <w:pict>
          <v:shape id="_x0000_s1047" style="width:2.6pt;height:0.5pt;margin-top:401.45pt;margin-left:526.7pt;mso-position-horizontal-relative:page;mso-position-vertical-relative:page;position:absolute;z-index:-251649024" coordorigin="0,0" coordsize="51,10" o:allowincell="f" path="m,5l51,5e" filled="f" strokecolor="#7f7f7f" strokeweight="0.5pt"/>
        </w:pict>
      </w:r>
      <w:r>
        <w:pict>
          <v:shape id="_x0000_s1048" type="#_x0000_t202" style="width:28.75pt;height:66.7pt;margin-top:268.94pt;margin-left:526.18pt;mso-position-horizontal-relative:page;mso-position-vertical-relative:page;position:absolute;z-index:251724800" o:allowincell="f" filled="f" stroked="f">
            <o:lock v:ext="edit" aspectratio="f"/>
            <v:textbox inset="0,0,0,0">
              <w:txbxContent>
                <w:p>
                  <w:pPr>
                    <w:spacing w:before="20" w:line="221" w:lineRule="auto"/>
                    <w:ind w:left="20" w:right="20" w:firstLine="53"/>
                    <w:jc w:val="both"/>
                    <w:rPr>
                      <w:rFonts w:ascii="KaiTi" w:eastAsia="KaiTi" w:hAnsi="KaiTi" w:cs="KaiTi"/>
                      <w:sz w:val="18"/>
                      <w:szCs w:val="18"/>
                    </w:rPr>
                  </w:pPr>
                  <w:r>
                    <w:rPr>
                      <w:rFonts w:ascii="KaiTi" w:eastAsia="KaiTi" w:hAnsi="KaiTi" w:cs="KaiTi"/>
                      <w:color w:val="C00000"/>
                      <w:spacing w:val="-5"/>
                      <w:sz w:val="18"/>
                      <w:szCs w:val="18"/>
                      <w14:textOutline w14:w="3265" w14:cap="rnd">
                        <w14:solidFill>
                          <w14:srgbClr w14:val="C00000"/>
                        </w14:solidFill>
                        <w14:prstDash w14:val="solid"/>
                        <w14:round/>
                      </w14:textOutline>
                    </w:rPr>
                    <w:t>1月税</w:t>
                  </w:r>
                  <w:r>
                    <w:rPr>
                      <w:rFonts w:ascii="KaiTi" w:eastAsia="KaiTi" w:hAnsi="KaiTi" w:cs="KaiTi"/>
                      <w:color w:val="C00000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color w:val="C00000"/>
                      <w:spacing w:val="-3"/>
                      <w:sz w:val="18"/>
                      <w:szCs w:val="18"/>
                      <w14:textOutline w14:w="3265" w14:cap="rnd">
                        <w14:solidFill>
                          <w14:srgbClr w14:val="C00000"/>
                        </w14:solidFill>
                        <w14:prstDash w14:val="solid"/>
                        <w14:round/>
                      </w14:textOutline>
                    </w:rPr>
                    <w:t>期和春</w:t>
                  </w:r>
                  <w:r>
                    <w:rPr>
                      <w:rFonts w:ascii="KaiTi" w:eastAsia="KaiTi" w:hAnsi="KaiTi" w:cs="KaiTi"/>
                      <w:color w:val="C00000"/>
                      <w:spacing w:val="1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color w:val="C00000"/>
                      <w:spacing w:val="-3"/>
                      <w:sz w:val="18"/>
                      <w:szCs w:val="18"/>
                      <w14:textOutline w14:w="3265" w14:cap="rnd">
                        <w14:solidFill>
                          <w14:srgbClr w14:val="C00000"/>
                        </w14:solidFill>
                        <w14:prstDash w14:val="solid"/>
                        <w14:round/>
                      </w14:textOutline>
                    </w:rPr>
                    <w:t>节的临</w:t>
                  </w:r>
                  <w:r>
                    <w:rPr>
                      <w:rFonts w:ascii="KaiTi" w:eastAsia="KaiTi" w:hAnsi="KaiTi" w:cs="KaiTi"/>
                      <w:color w:val="C00000"/>
                      <w:spacing w:val="1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color w:val="C00000"/>
                      <w:spacing w:val="-3"/>
                      <w:sz w:val="18"/>
                      <w:szCs w:val="18"/>
                      <w14:textOutline w14:w="3265" w14:cap="rnd">
                        <w14:solidFill>
                          <w14:srgbClr w14:val="C00000"/>
                        </w14:solidFill>
                        <w14:prstDash w14:val="solid"/>
                        <w14:round/>
                      </w14:textOutline>
                    </w:rPr>
                    <w:t>近，市</w:t>
                  </w:r>
                  <w:r>
                    <w:rPr>
                      <w:rFonts w:ascii="KaiTi" w:eastAsia="KaiTi" w:hAnsi="KaiTi" w:cs="KaiTi"/>
                      <w:color w:val="C00000"/>
                      <w:spacing w:val="1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color w:val="C00000"/>
                      <w:spacing w:val="-2"/>
                      <w:sz w:val="18"/>
                      <w:szCs w:val="18"/>
                      <w14:textOutline w14:w="3274" w14:cap="rnd">
                        <w14:solidFill>
                          <w14:srgbClr w14:val="C00000"/>
                        </w14:solidFill>
                        <w14:prstDash w14:val="solid"/>
                        <w14:round/>
                      </w14:textOutline>
                    </w:rPr>
                    <w:t>场流动</w:t>
                  </w:r>
                  <w:r>
                    <w:rPr>
                      <w:rFonts w:ascii="KaiTi" w:eastAsia="KaiTi" w:hAnsi="KaiTi" w:cs="KaiTi"/>
                      <w:color w:val="C00000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color w:val="C00000"/>
                      <w:spacing w:val="-3"/>
                      <w:sz w:val="18"/>
                      <w:szCs w:val="18"/>
                      <w14:textOutline w14:w="3265" w14:cap="rnd">
                        <w14:solidFill>
                          <w14:srgbClr w14:val="C00000"/>
                        </w14:solidFill>
                        <w14:prstDash w14:val="solid"/>
                        <w14:round/>
                      </w14:textOutline>
                    </w:rPr>
                    <w:t>性紧缩</w:t>
                  </w:r>
                </w:p>
              </w:txbxContent>
            </v:textbox>
          </v:shape>
        </w:pict>
      </w:r>
      <w:r>
        <w:pict>
          <v:shape id="_x0000_s1049" type="#_x0000_t202" style="width:59.85pt;height:43.5pt;margin-top:279.72pt;margin-left:859.64pt;mso-position-horizontal-relative:page;mso-position-vertical-relative:page;position:absolute;z-index:251723776" o:allowincell="f" filled="f" stroked="f">
            <o:lock v:ext="edit" aspectratio="f"/>
            <v:textbox inset="0,0,0,0">
              <w:txbxContent>
                <w:p>
                  <w:pPr>
                    <w:spacing w:before="20" w:line="217" w:lineRule="auto"/>
                    <w:ind w:left="58" w:right="20" w:hanging="38"/>
                    <w:rPr>
                      <w:rFonts w:ascii="KaiTi" w:eastAsia="KaiTi" w:hAnsi="KaiTi" w:cs="KaiTi"/>
                      <w:sz w:val="18"/>
                      <w:szCs w:val="18"/>
                    </w:rPr>
                  </w:pPr>
                  <w:r>
                    <w:rPr>
                      <w:rFonts w:ascii="KaiTi" w:eastAsia="KaiTi" w:hAnsi="KaiTi" w:cs="KaiTi"/>
                      <w:color w:val="C00000"/>
                      <w:spacing w:val="-2"/>
                      <w:sz w:val="18"/>
                      <w:szCs w:val="18"/>
                      <w14:textOutline w14:w="3274" w14:cap="rnd">
                        <w14:solidFill>
                          <w14:srgbClr w14:val="C00000"/>
                        </w14:solidFill>
                        <w14:prstDash w14:val="solid"/>
                        <w14:round/>
                      </w14:textOutline>
                    </w:rPr>
                    <w:t>1万亿元增发国</w:t>
                  </w:r>
                  <w:r>
                    <w:rPr>
                      <w:rFonts w:ascii="KaiTi" w:eastAsia="KaiTi" w:hAnsi="KaiTi" w:cs="KaiTi"/>
                      <w:color w:val="C00000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color w:val="C00000"/>
                      <w:spacing w:val="-7"/>
                      <w:sz w:val="18"/>
                      <w:szCs w:val="18"/>
                      <w14:textOutline w14:w="3265" w14:cap="rnd">
                        <w14:solidFill>
                          <w14:srgbClr w14:val="C00000"/>
                        </w14:solidFill>
                        <w14:prstDash w14:val="solid"/>
                        <w14:round/>
                      </w14:textOutline>
                    </w:rPr>
                    <w:t>债政策落地，</w:t>
                  </w:r>
                </w:p>
                <w:p>
                  <w:pPr>
                    <w:spacing w:before="8" w:line="185" w:lineRule="auto"/>
                    <w:ind w:left="60"/>
                    <w:rPr>
                      <w:rFonts w:ascii="KaiTi" w:eastAsia="KaiTi" w:hAnsi="KaiTi" w:cs="KaiTi"/>
                      <w:sz w:val="18"/>
                      <w:szCs w:val="18"/>
                    </w:rPr>
                  </w:pPr>
                  <w:r>
                    <w:rPr>
                      <w:rFonts w:ascii="KaiTi" w:eastAsia="KaiTi" w:hAnsi="KaiTi" w:cs="KaiTi"/>
                      <w:color w:val="C00000"/>
                      <w:spacing w:val="-2"/>
                      <w:sz w:val="18"/>
                      <w:szCs w:val="18"/>
                      <w14:textOutline w14:w="3265" w14:cap="rnd">
                        <w14:solidFill>
                          <w14:srgbClr w14:val="C00000"/>
                        </w14:solidFill>
                        <w14:prstDash w14:val="solid"/>
                        <w14:round/>
                      </w14:textOutline>
                    </w:rPr>
                    <w:t>市场预期央行</w:t>
                  </w:r>
                </w:p>
                <w:p>
                  <w:pPr>
                    <w:spacing w:before="35" w:line="185" w:lineRule="auto"/>
                    <w:ind w:left="144"/>
                    <w:rPr>
                      <w:rFonts w:ascii="KaiTi" w:eastAsia="KaiTi" w:hAnsi="KaiTi" w:cs="KaiTi"/>
                      <w:sz w:val="18"/>
                      <w:szCs w:val="18"/>
                    </w:rPr>
                  </w:pPr>
                  <w:r>
                    <w:rPr>
                      <w:rFonts w:ascii="KaiTi" w:eastAsia="KaiTi" w:hAnsi="KaiTi" w:cs="KaiTi"/>
                      <w:color w:val="C00000"/>
                      <w:spacing w:val="-1"/>
                      <w:sz w:val="18"/>
                      <w:szCs w:val="18"/>
                      <w14:textOutline w14:w="3265" w14:cap="rnd">
                        <w14:solidFill>
                          <w14:srgbClr w14:val="C00000"/>
                        </w14:solidFill>
                        <w14:prstDash w14:val="solid"/>
                        <w14:round/>
                      </w14:textOutline>
                    </w:rPr>
                    <w:t>进一步宽松</w:t>
                  </w:r>
                  <w:r>
                    <w:rPr>
                      <w:rFonts w:ascii="KaiTi" w:eastAsia="KaiTi" w:hAnsi="KaiTi" w:cs="KaiTi"/>
                      <w:color w:val="C00000"/>
                      <w:spacing w:val="-13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color w:val="C00000"/>
                      <w:sz w:val="18"/>
                      <w:szCs w:val="18"/>
                      <w:u w:val="single" w:color="7F7F7F"/>
                    </w:rPr>
                    <w:t xml:space="preserve"> 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01248" behindDoc="0" locked="0" layoutInCell="0" allowOverlap="1">
            <wp:simplePos x="0" y="0"/>
            <wp:positionH relativeFrom="page">
              <wp:posOffset>11588115</wp:posOffset>
            </wp:positionH>
            <wp:positionV relativeFrom="page">
              <wp:posOffset>3917315</wp:posOffset>
            </wp:positionV>
            <wp:extent cx="34290" cy="82550"/>
            <wp:effectExtent l="0" t="0" r="0" b="0"/>
            <wp:wrapNone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4290" cy="82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0" locked="0" layoutInCell="0" allowOverlap="1">
            <wp:simplePos x="0" y="0"/>
            <wp:positionH relativeFrom="page">
              <wp:posOffset>7884794</wp:posOffset>
            </wp:positionH>
            <wp:positionV relativeFrom="page">
              <wp:posOffset>3752215</wp:posOffset>
            </wp:positionV>
            <wp:extent cx="293370" cy="562610"/>
            <wp:effectExtent l="0" t="0" r="0" b="0"/>
            <wp:wrapNone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93370" cy="562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0" allowOverlap="1">
            <wp:simplePos x="0" y="0"/>
            <wp:positionH relativeFrom="page">
              <wp:posOffset>9413875</wp:posOffset>
            </wp:positionH>
            <wp:positionV relativeFrom="page">
              <wp:posOffset>3777615</wp:posOffset>
            </wp:positionV>
            <wp:extent cx="788669" cy="521970"/>
            <wp:effectExtent l="0" t="0" r="0" b="0"/>
            <wp:wrapNone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88669" cy="521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0" locked="0" layoutInCell="0" allowOverlap="1">
            <wp:simplePos x="0" y="0"/>
            <wp:positionH relativeFrom="page">
              <wp:posOffset>8903334</wp:posOffset>
            </wp:positionH>
            <wp:positionV relativeFrom="page">
              <wp:posOffset>4034154</wp:posOffset>
            </wp:positionV>
            <wp:extent cx="128270" cy="181610"/>
            <wp:effectExtent l="0" t="0" r="0" b="0"/>
            <wp:wrapNone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8270" cy="181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0" locked="0" layoutInCell="0" allowOverlap="1">
            <wp:simplePos x="0" y="0"/>
            <wp:positionH relativeFrom="page">
              <wp:posOffset>9868534</wp:posOffset>
            </wp:positionH>
            <wp:positionV relativeFrom="page">
              <wp:posOffset>4046854</wp:posOffset>
            </wp:positionV>
            <wp:extent cx="44450" cy="379730"/>
            <wp:effectExtent l="0" t="0" r="0" b="0"/>
            <wp:wrapNone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4450" cy="379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0" allowOverlap="1">
            <wp:simplePos x="0" y="0"/>
            <wp:positionH relativeFrom="page">
              <wp:posOffset>9109075</wp:posOffset>
            </wp:positionH>
            <wp:positionV relativeFrom="page">
              <wp:posOffset>4067175</wp:posOffset>
            </wp:positionV>
            <wp:extent cx="610869" cy="339089"/>
            <wp:effectExtent l="0" t="0" r="0" b="0"/>
            <wp:wrapNone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10869" cy="3390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0" allowOverlap="1">
            <wp:simplePos x="0" y="0"/>
            <wp:positionH relativeFrom="page">
              <wp:posOffset>9977755</wp:posOffset>
            </wp:positionH>
            <wp:positionV relativeFrom="page">
              <wp:posOffset>3985895</wp:posOffset>
            </wp:positionV>
            <wp:extent cx="196850" cy="499109"/>
            <wp:effectExtent l="0" t="0" r="0" b="0"/>
            <wp:wrapNone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4991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0" allowOverlap="1">
            <wp:simplePos x="0" y="0"/>
            <wp:positionH relativeFrom="page">
              <wp:posOffset>6687819</wp:posOffset>
            </wp:positionH>
            <wp:positionV relativeFrom="page">
              <wp:posOffset>4046854</wp:posOffset>
            </wp:positionV>
            <wp:extent cx="4782185" cy="1484630"/>
            <wp:effectExtent l="0" t="0" r="0" b="0"/>
            <wp:wrapNone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782185" cy="1484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0" allowOverlap="1">
            <wp:simplePos x="0" y="0"/>
            <wp:positionH relativeFrom="page">
              <wp:posOffset>8613775</wp:posOffset>
            </wp:positionH>
            <wp:positionV relativeFrom="page">
              <wp:posOffset>4196715</wp:posOffset>
            </wp:positionV>
            <wp:extent cx="514350" cy="384810"/>
            <wp:effectExtent l="0" t="0" r="0" b="0"/>
            <wp:wrapNone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384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0" locked="0" layoutInCell="0" allowOverlap="1">
            <wp:simplePos x="0" y="0"/>
            <wp:positionH relativeFrom="page">
              <wp:posOffset>11450955</wp:posOffset>
            </wp:positionH>
            <wp:positionV relativeFrom="page">
              <wp:posOffset>4143375</wp:posOffset>
            </wp:positionV>
            <wp:extent cx="87629" cy="72389"/>
            <wp:effectExtent l="0" t="0" r="0" b="0"/>
            <wp:wrapNone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87629" cy="72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10678794</wp:posOffset>
            </wp:positionH>
            <wp:positionV relativeFrom="page">
              <wp:posOffset>4305934</wp:posOffset>
            </wp:positionV>
            <wp:extent cx="445770" cy="1268729"/>
            <wp:effectExtent l="0" t="0" r="0" b="0"/>
            <wp:wrapNone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45770" cy="12687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0" allowOverlap="1">
            <wp:simplePos x="0" y="0"/>
            <wp:positionH relativeFrom="page">
              <wp:posOffset>10170794</wp:posOffset>
            </wp:positionH>
            <wp:positionV relativeFrom="page">
              <wp:posOffset>4486275</wp:posOffset>
            </wp:positionV>
            <wp:extent cx="212090" cy="328929"/>
            <wp:effectExtent l="0" t="0" r="0" b="0"/>
            <wp:wrapNone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12090" cy="328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0" allowOverlap="1">
            <wp:simplePos x="0" y="0"/>
            <wp:positionH relativeFrom="page">
              <wp:posOffset>8367394</wp:posOffset>
            </wp:positionH>
            <wp:positionV relativeFrom="page">
              <wp:posOffset>4516754</wp:posOffset>
            </wp:positionV>
            <wp:extent cx="252730" cy="588010"/>
            <wp:effectExtent l="0" t="0" r="0" b="0"/>
            <wp:wrapNone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52730" cy="588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0" locked="0" layoutInCell="0" allowOverlap="1">
            <wp:simplePos x="0" y="0"/>
            <wp:positionH relativeFrom="page">
              <wp:posOffset>11161394</wp:posOffset>
            </wp:positionH>
            <wp:positionV relativeFrom="page">
              <wp:posOffset>4498975</wp:posOffset>
            </wp:positionV>
            <wp:extent cx="87630" cy="161289"/>
            <wp:effectExtent l="0" t="0" r="0" b="0"/>
            <wp:wrapNone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87630" cy="1612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0" locked="0" layoutInCell="0" allowOverlap="1">
            <wp:simplePos x="0" y="0"/>
            <wp:positionH relativeFrom="page">
              <wp:posOffset>6689090</wp:posOffset>
            </wp:positionH>
            <wp:positionV relativeFrom="page">
              <wp:posOffset>4521834</wp:posOffset>
            </wp:positionV>
            <wp:extent cx="607694" cy="194310"/>
            <wp:effectExtent l="0" t="0" r="0" b="0"/>
            <wp:wrapNone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07694" cy="194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0" locked="0" layoutInCell="0" allowOverlap="1">
            <wp:simplePos x="0" y="0"/>
            <wp:positionH relativeFrom="page">
              <wp:posOffset>7732394</wp:posOffset>
            </wp:positionH>
            <wp:positionV relativeFrom="page">
              <wp:posOffset>4539615</wp:posOffset>
            </wp:positionV>
            <wp:extent cx="34290" cy="110489"/>
            <wp:effectExtent l="0" t="0" r="0" b="0"/>
            <wp:wrapNone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4290" cy="1104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0" locked="0" layoutInCell="0" allowOverlap="1">
            <wp:simplePos x="0" y="0"/>
            <wp:positionH relativeFrom="page">
              <wp:posOffset>8435975</wp:posOffset>
            </wp:positionH>
            <wp:positionV relativeFrom="page">
              <wp:posOffset>4511675</wp:posOffset>
            </wp:positionV>
            <wp:extent cx="306069" cy="199389"/>
            <wp:effectExtent l="0" t="0" r="0" b="0"/>
            <wp:wrapNone/>
            <wp:docPr id="98" name="IM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 98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06069" cy="199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0" locked="0" layoutInCell="0" allowOverlap="1">
            <wp:simplePos x="0" y="0"/>
            <wp:positionH relativeFrom="page">
              <wp:posOffset>10086975</wp:posOffset>
            </wp:positionH>
            <wp:positionV relativeFrom="page">
              <wp:posOffset>4465954</wp:posOffset>
            </wp:positionV>
            <wp:extent cx="501650" cy="214630"/>
            <wp:effectExtent l="0" t="0" r="0" b="0"/>
            <wp:wrapNone/>
            <wp:docPr id="100" name="IM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 100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01650" cy="214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0" locked="0" layoutInCell="0" allowOverlap="1">
            <wp:simplePos x="0" y="0"/>
            <wp:positionH relativeFrom="page">
              <wp:posOffset>11133455</wp:posOffset>
            </wp:positionH>
            <wp:positionV relativeFrom="page">
              <wp:posOffset>4496434</wp:posOffset>
            </wp:positionV>
            <wp:extent cx="102869" cy="163829"/>
            <wp:effectExtent l="0" t="0" r="0" b="0"/>
            <wp:wrapNone/>
            <wp:docPr id="102" name="IM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 102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02869" cy="1638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0" locked="0" layoutInCell="0" allowOverlap="1">
            <wp:simplePos x="0" y="0"/>
            <wp:positionH relativeFrom="page">
              <wp:posOffset>10638155</wp:posOffset>
            </wp:positionH>
            <wp:positionV relativeFrom="page">
              <wp:posOffset>4526915</wp:posOffset>
            </wp:positionV>
            <wp:extent cx="212089" cy="151130"/>
            <wp:effectExtent l="0" t="0" r="0" b="0"/>
            <wp:wrapNone/>
            <wp:docPr id="104" name="IM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 104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12089" cy="151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0" locked="0" layoutInCell="0" allowOverlap="1">
            <wp:simplePos x="0" y="0"/>
            <wp:positionH relativeFrom="page">
              <wp:posOffset>11052175</wp:posOffset>
            </wp:positionH>
            <wp:positionV relativeFrom="page">
              <wp:posOffset>4854575</wp:posOffset>
            </wp:positionV>
            <wp:extent cx="100330" cy="260350"/>
            <wp:effectExtent l="0" t="0" r="0" b="0"/>
            <wp:wrapNone/>
            <wp:docPr id="106" name="IM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 106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00330" cy="260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0" allowOverlap="1">
            <wp:simplePos x="0" y="0"/>
            <wp:positionH relativeFrom="page">
              <wp:posOffset>6687819</wp:posOffset>
            </wp:positionH>
            <wp:positionV relativeFrom="page">
              <wp:posOffset>4943475</wp:posOffset>
            </wp:positionV>
            <wp:extent cx="57785" cy="478789"/>
            <wp:effectExtent l="0" t="0" r="0" b="0"/>
            <wp:wrapNone/>
            <wp:docPr id="108" name="IM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 108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4787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0" allowOverlap="1">
            <wp:simplePos x="0" y="0"/>
            <wp:positionH relativeFrom="page">
              <wp:posOffset>6698615</wp:posOffset>
            </wp:positionH>
            <wp:positionV relativeFrom="page">
              <wp:posOffset>5106034</wp:posOffset>
            </wp:positionV>
            <wp:extent cx="90169" cy="222250"/>
            <wp:effectExtent l="0" t="0" r="0" b="0"/>
            <wp:wrapNone/>
            <wp:docPr id="110" name="IM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 110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90169" cy="222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7981315</wp:posOffset>
            </wp:positionH>
            <wp:positionV relativeFrom="page">
              <wp:posOffset>4940934</wp:posOffset>
            </wp:positionV>
            <wp:extent cx="542290" cy="405129"/>
            <wp:effectExtent l="0" t="0" r="0" b="0"/>
            <wp:wrapNone/>
            <wp:docPr id="112" name="IM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 112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42290" cy="405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1728" behindDoc="0" locked="0" layoutInCell="0" allowOverlap="1">
            <wp:simplePos x="0" y="0"/>
            <wp:positionH relativeFrom="page">
              <wp:posOffset>11133455</wp:posOffset>
            </wp:positionH>
            <wp:positionV relativeFrom="page">
              <wp:posOffset>4963795</wp:posOffset>
            </wp:positionV>
            <wp:extent cx="529589" cy="753109"/>
            <wp:effectExtent l="0" t="0" r="0" b="0"/>
            <wp:wrapNone/>
            <wp:docPr id="114" name="IM 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 114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9589" cy="7531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0" locked="0" layoutInCell="0" allowOverlap="1">
            <wp:simplePos x="0" y="0"/>
            <wp:positionH relativeFrom="page">
              <wp:posOffset>10638155</wp:posOffset>
            </wp:positionH>
            <wp:positionV relativeFrom="page">
              <wp:posOffset>4907915</wp:posOffset>
            </wp:positionV>
            <wp:extent cx="224789" cy="666750"/>
            <wp:effectExtent l="0" t="0" r="0" b="0"/>
            <wp:wrapNone/>
            <wp:docPr id="116" name="IM 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 116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24789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0" locked="0" layoutInCell="0" allowOverlap="1">
            <wp:simplePos x="0" y="0"/>
            <wp:positionH relativeFrom="page">
              <wp:posOffset>7579994</wp:posOffset>
            </wp:positionH>
            <wp:positionV relativeFrom="page">
              <wp:posOffset>5327015</wp:posOffset>
            </wp:positionV>
            <wp:extent cx="420370" cy="166370"/>
            <wp:effectExtent l="0" t="0" r="0" b="0"/>
            <wp:wrapNone/>
            <wp:docPr id="118" name="IM 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 118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420370" cy="166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0" locked="0" layoutInCell="0" allowOverlap="1">
            <wp:simplePos x="0" y="0"/>
            <wp:positionH relativeFrom="page">
              <wp:posOffset>6782434</wp:posOffset>
            </wp:positionH>
            <wp:positionV relativeFrom="page">
              <wp:posOffset>5398134</wp:posOffset>
            </wp:positionV>
            <wp:extent cx="46990" cy="107950"/>
            <wp:effectExtent l="0" t="0" r="0" b="0"/>
            <wp:wrapNone/>
            <wp:docPr id="120" name="IM 1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 120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46990" cy="107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0" locked="0" layoutInCell="0" allowOverlap="1">
            <wp:simplePos x="0" y="0"/>
            <wp:positionH relativeFrom="page">
              <wp:posOffset>11148694</wp:posOffset>
            </wp:positionH>
            <wp:positionV relativeFrom="page">
              <wp:posOffset>5370195</wp:posOffset>
            </wp:positionV>
            <wp:extent cx="212090" cy="72390"/>
            <wp:effectExtent l="0" t="0" r="0" b="0"/>
            <wp:wrapNone/>
            <wp:docPr id="122" name="IM 1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 122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12090" cy="72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0" locked="0" layoutInCell="0" allowOverlap="1">
            <wp:simplePos x="0" y="0"/>
            <wp:positionH relativeFrom="page">
              <wp:posOffset>7458075</wp:posOffset>
            </wp:positionH>
            <wp:positionV relativeFrom="page">
              <wp:posOffset>5509895</wp:posOffset>
            </wp:positionV>
            <wp:extent cx="100330" cy="120650"/>
            <wp:effectExtent l="0" t="0" r="0" b="0"/>
            <wp:wrapNone/>
            <wp:docPr id="124" name="IM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 124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00330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0" locked="0" layoutInCell="0" allowOverlap="1">
            <wp:simplePos x="0" y="0"/>
            <wp:positionH relativeFrom="page">
              <wp:posOffset>6810375</wp:posOffset>
            </wp:positionH>
            <wp:positionV relativeFrom="page">
              <wp:posOffset>5487034</wp:posOffset>
            </wp:positionV>
            <wp:extent cx="265430" cy="298450"/>
            <wp:effectExtent l="0" t="0" r="0" b="0"/>
            <wp:wrapNone/>
            <wp:docPr id="126" name="IM 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 126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65430" cy="298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0" allowOverlap="1">
            <wp:simplePos x="0" y="0"/>
            <wp:positionH relativeFrom="page">
              <wp:posOffset>7056755</wp:posOffset>
            </wp:positionH>
            <wp:positionV relativeFrom="page">
              <wp:posOffset>5550534</wp:posOffset>
            </wp:positionV>
            <wp:extent cx="461009" cy="133350"/>
            <wp:effectExtent l="0" t="0" r="0" b="0"/>
            <wp:wrapNone/>
            <wp:docPr id="128" name="IM 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 128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46100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0" locked="0" layoutInCell="0" allowOverlap="1">
            <wp:simplePos x="0" y="0"/>
            <wp:positionH relativeFrom="page">
              <wp:posOffset>11519534</wp:posOffset>
            </wp:positionH>
            <wp:positionV relativeFrom="page">
              <wp:posOffset>5558154</wp:posOffset>
            </wp:positionV>
            <wp:extent cx="140334" cy="148589"/>
            <wp:effectExtent l="0" t="0" r="0" b="0"/>
            <wp:wrapNone/>
            <wp:docPr id="130" name="IM 1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 130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40334" cy="1485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0" type="#_x0000_t202" style="width:394pt;height:12.4pt;margin-top:475.17pt;margin-left:525.22pt;mso-position-horizontal-relative:page;mso-position-vertical-relative:page;position:absolute;z-index:251722752" o:allowincell="f" filled="f" stroked="f">
            <o:lock v:ext="edit" aspectratio="f"/>
            <v:textbox inset="0,0,0,0">
              <w:txbxContent>
                <w:p>
                  <w:pPr>
                    <w:spacing w:before="19" w:line="213" w:lineRule="auto"/>
                    <w:ind w:left="20"/>
                    <w:rPr>
                      <w:rFonts w:ascii="KaiTi" w:eastAsia="KaiTi" w:hAnsi="KaiTi" w:cs="KaiTi"/>
                      <w:sz w:val="18"/>
                      <w:szCs w:val="18"/>
                    </w:rPr>
                  </w:pPr>
                  <w:r>
                    <w:rPr>
                      <w:rFonts w:ascii="KaiTi" w:eastAsia="KaiTi" w:hAnsi="KaiTi" w:cs="KaiTi"/>
                      <w:color w:val="C00000"/>
                      <w:position w:val="5"/>
                      <w:sz w:val="18"/>
                      <w:szCs w:val="18"/>
                    </w:rPr>
                    <w:drawing>
                      <wp:inline distT="0" distB="0" distL="0" distR="0">
                        <wp:extent cx="9842" cy="33020"/>
                        <wp:effectExtent l="0" t="0" r="0" b="0"/>
                        <wp:docPr id="132" name="IM 13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2" name="IM 132"/>
                                <pic:cNvPicPr/>
                              </pic:nvPicPr>
                              <pic:blipFill>
                                <a:blip xmlns:r="http://schemas.openxmlformats.org/officeDocument/2006/relationships" r:embed="rId5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842" cy="330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KaiTi" w:eastAsia="KaiTi" w:hAnsi="KaiTi" w:cs="KaiTi"/>
                      <w:strike/>
                      <w:color w:val="C00000"/>
                      <w:sz w:val="18"/>
                      <w:szCs w:val="18"/>
                    </w:rPr>
                    <w:t xml:space="preserve">              </w:t>
                  </w:r>
                  <w:r>
                    <w:rPr>
                      <w:rFonts w:ascii="KaiTi" w:eastAsia="KaiTi" w:hAnsi="KaiTi" w:cs="KaiTi"/>
                      <w:color w:val="C00000"/>
                      <w:position w:val="5"/>
                      <w:sz w:val="18"/>
                      <w:szCs w:val="18"/>
                    </w:rPr>
                    <w:drawing>
                      <wp:inline distT="0" distB="0" distL="0" distR="0">
                        <wp:extent cx="9842" cy="33020"/>
                        <wp:effectExtent l="0" t="0" r="0" b="0"/>
                        <wp:docPr id="134" name="IM 13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4" name="IM 134"/>
                                <pic:cNvPicPr/>
                              </pic:nvPicPr>
                              <pic:blipFill>
                                <a:blip xmlns:r="http://schemas.openxmlformats.org/officeDocument/2006/relationships" r:embed="rId5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842" cy="330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KaiTi" w:eastAsia="KaiTi" w:hAnsi="KaiTi" w:cs="KaiTi"/>
                      <w:strike/>
                      <w:color w:val="C00000"/>
                      <w:spacing w:val="12"/>
                      <w:sz w:val="18"/>
                      <w:szCs w:val="18"/>
                    </w:rPr>
                    <w:t xml:space="preserve">   </w:t>
                  </w:r>
                  <w:r>
                    <w:rPr>
                      <w:rFonts w:ascii="KaiTi" w:eastAsia="KaiTi" w:hAnsi="KaiTi" w:cs="KaiTi"/>
                      <w:strike/>
                      <w:color w:val="C00000"/>
                      <w:spacing w:val="-12"/>
                      <w:sz w:val="18"/>
                      <w:szCs w:val="18"/>
                      <w14:textOutline w14:w="3274" w14:cap="rnd">
                        <w14:solidFill>
                          <w14:srgbClr w14:val="C00000"/>
                        </w14:solidFill>
                        <w14:prstDash w14:val="solid"/>
                        <w14:round/>
                      </w14:textOutline>
                    </w:rPr>
                    <w:t>策逐渐发力，</w:t>
                  </w:r>
                  <w:r>
                    <w:rPr>
                      <w:rFonts w:ascii="KaiTi" w:eastAsia="KaiTi" w:hAnsi="KaiTi" w:cs="KaiTi"/>
                      <w:strike/>
                      <w:color w:val="C00000"/>
                      <w:spacing w:val="-22"/>
                      <w:sz w:val="18"/>
                      <w:szCs w:val="18"/>
                    </w:rPr>
                    <w:t xml:space="preserve"> </w:t>
                  </w:r>
                  <w:r>
                    <w:rPr>
                      <w:position w:val="5"/>
                      <w:sz w:val="18"/>
                      <w:szCs w:val="18"/>
                    </w:rPr>
                    <w:drawing>
                      <wp:inline distT="0" distB="0" distL="0" distR="0">
                        <wp:extent cx="9842" cy="33020"/>
                        <wp:effectExtent l="0" t="0" r="0" b="0"/>
                        <wp:docPr id="136" name="IM 13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6" name="IM 136"/>
                                <pic:cNvPicPr/>
                              </pic:nvPicPr>
                              <pic:blipFill>
                                <a:blip xmlns:r="http://schemas.openxmlformats.org/officeDocument/2006/relationships" r:embed="rId5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842" cy="330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KaiTi" w:eastAsia="KaiTi" w:hAnsi="KaiTi" w:cs="KaiTi"/>
                      <w:strike/>
                      <w:color w:val="C00000"/>
                      <w:spacing w:val="-29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trike/>
                      <w:color w:val="C00000"/>
                      <w:spacing w:val="-12"/>
                      <w:sz w:val="18"/>
                      <w:szCs w:val="18"/>
                      <w14:textOutline w14:w="3274" w14:cap="rnd">
                        <w14:solidFill>
                          <w14:srgbClr w14:val="C00000"/>
                        </w14:solidFill>
                        <w14:prstDash w14:val="solid"/>
                        <w14:round/>
                      </w14:textOutline>
                    </w:rPr>
                    <w:t>资金面持续宽松</w:t>
                  </w:r>
                  <w:r>
                    <w:rPr>
                      <w:position w:val="5"/>
                      <w:sz w:val="18"/>
                      <w:szCs w:val="18"/>
                    </w:rPr>
                    <w:drawing>
                      <wp:inline distT="0" distB="0" distL="0" distR="0">
                        <wp:extent cx="9842" cy="33020"/>
                        <wp:effectExtent l="0" t="0" r="0" b="0"/>
                        <wp:docPr id="138" name="IM 13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8" name="IM 138"/>
                                <pic:cNvPicPr/>
                              </pic:nvPicPr>
                              <pic:blipFill>
                                <a:blip xmlns:r="http://schemas.openxmlformats.org/officeDocument/2006/relationships" r:embed="rId5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842" cy="330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KaiTi" w:eastAsia="KaiTi" w:hAnsi="KaiTi" w:cs="KaiTi"/>
                      <w:strike/>
                      <w:color w:val="C00000"/>
                      <w:spacing w:val="4"/>
                      <w:sz w:val="18"/>
                      <w:szCs w:val="18"/>
                    </w:rPr>
                    <w:t xml:space="preserve">              </w:t>
                  </w:r>
                  <w:r>
                    <w:rPr>
                      <w:position w:val="5"/>
                      <w:sz w:val="18"/>
                      <w:szCs w:val="18"/>
                    </w:rPr>
                    <w:drawing>
                      <wp:inline distT="0" distB="0" distL="0" distR="0">
                        <wp:extent cx="9842" cy="33020"/>
                        <wp:effectExtent l="0" t="0" r="0" b="0"/>
                        <wp:docPr id="140" name="IM 14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0" name="IM 140"/>
                                <pic:cNvPicPr/>
                              </pic:nvPicPr>
                              <pic:blipFill>
                                <a:blip xmlns:r="http://schemas.openxmlformats.org/officeDocument/2006/relationships" r:embed="rId5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842" cy="330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KaiTi" w:eastAsia="KaiTi" w:hAnsi="KaiTi" w:cs="KaiTi"/>
                      <w:strike/>
                      <w:color w:val="C00000"/>
                      <w:spacing w:val="4"/>
                      <w:sz w:val="18"/>
                      <w:szCs w:val="18"/>
                    </w:rPr>
                    <w:t xml:space="preserve">              </w:t>
                  </w:r>
                  <w:r>
                    <w:rPr>
                      <w:position w:val="5"/>
                      <w:sz w:val="18"/>
                      <w:szCs w:val="18"/>
                    </w:rPr>
                    <w:drawing>
                      <wp:inline distT="0" distB="0" distL="0" distR="0">
                        <wp:extent cx="9842" cy="33020"/>
                        <wp:effectExtent l="0" t="0" r="0" b="0"/>
                        <wp:docPr id="142" name="IM 14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2" name="IM 142"/>
                                <pic:cNvPicPr/>
                              </pic:nvPicPr>
                              <pic:blipFill>
                                <a:blip xmlns:r="http://schemas.openxmlformats.org/officeDocument/2006/relationships" r:embed="rId5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842" cy="330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KaiTi" w:eastAsia="KaiTi" w:hAnsi="KaiTi" w:cs="KaiTi"/>
                      <w:strike/>
                      <w:color w:val="C00000"/>
                      <w:sz w:val="18"/>
                      <w:szCs w:val="18"/>
                    </w:rPr>
                    <w:t xml:space="preserve">              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98176" behindDoc="0" locked="0" layoutInCell="0" allowOverlap="1">
            <wp:simplePos x="0" y="0"/>
            <wp:positionH relativeFrom="page">
              <wp:posOffset>6769734</wp:posOffset>
            </wp:positionH>
            <wp:positionV relativeFrom="page">
              <wp:posOffset>4887595</wp:posOffset>
            </wp:positionV>
            <wp:extent cx="72390" cy="57150"/>
            <wp:effectExtent l="0" t="0" r="0" b="0"/>
            <wp:wrapNone/>
            <wp:docPr id="144" name="IM 1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 144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72390" cy="57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0" locked="0" layoutInCell="0" allowOverlap="1">
            <wp:simplePos x="0" y="0"/>
            <wp:positionH relativeFrom="page">
              <wp:posOffset>7498715</wp:posOffset>
            </wp:positionH>
            <wp:positionV relativeFrom="page">
              <wp:posOffset>4643754</wp:posOffset>
            </wp:positionV>
            <wp:extent cx="74929" cy="52070"/>
            <wp:effectExtent l="0" t="0" r="0" b="0"/>
            <wp:wrapNone/>
            <wp:docPr id="146" name="IM 1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 146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74929" cy="52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0" locked="0" layoutInCell="0" allowOverlap="1">
            <wp:simplePos x="0" y="0"/>
            <wp:positionH relativeFrom="page">
              <wp:posOffset>7635875</wp:posOffset>
            </wp:positionH>
            <wp:positionV relativeFrom="page">
              <wp:posOffset>4707254</wp:posOffset>
            </wp:positionV>
            <wp:extent cx="74930" cy="69850"/>
            <wp:effectExtent l="0" t="0" r="0" b="0"/>
            <wp:wrapNone/>
            <wp:docPr id="148" name="IM 1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 148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74930" cy="69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0" locked="0" layoutInCell="0" allowOverlap="1">
            <wp:simplePos x="0" y="0"/>
            <wp:positionH relativeFrom="page">
              <wp:posOffset>7747634</wp:posOffset>
            </wp:positionH>
            <wp:positionV relativeFrom="page">
              <wp:posOffset>4346575</wp:posOffset>
            </wp:positionV>
            <wp:extent cx="140970" cy="212089"/>
            <wp:effectExtent l="0" t="0" r="0" b="0"/>
            <wp:wrapNone/>
            <wp:docPr id="150" name="IM 1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 150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40970" cy="2120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0" locked="0" layoutInCell="0" allowOverlap="1">
            <wp:simplePos x="0" y="0"/>
            <wp:positionH relativeFrom="page">
              <wp:posOffset>10252075</wp:posOffset>
            </wp:positionH>
            <wp:positionV relativeFrom="page">
              <wp:posOffset>4371975</wp:posOffset>
            </wp:positionV>
            <wp:extent cx="46990" cy="57150"/>
            <wp:effectExtent l="0" t="0" r="0" b="0"/>
            <wp:wrapNone/>
            <wp:docPr id="152" name="IM 1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 152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46990" cy="57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0" locked="0" layoutInCell="0" allowOverlap="1">
            <wp:simplePos x="0" y="0"/>
            <wp:positionH relativeFrom="page">
              <wp:posOffset>11245215</wp:posOffset>
            </wp:positionH>
            <wp:positionV relativeFrom="page">
              <wp:posOffset>4397375</wp:posOffset>
            </wp:positionV>
            <wp:extent cx="128269" cy="69850"/>
            <wp:effectExtent l="0" t="0" r="0" b="0"/>
            <wp:wrapNone/>
            <wp:docPr id="154" name="IM 1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 154"/>
                    <pic:cNvPicPr/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128269" cy="69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9852476</wp:posOffset>
            </wp:positionH>
            <wp:positionV relativeFrom="page">
              <wp:posOffset>330200</wp:posOffset>
            </wp:positionV>
            <wp:extent cx="2022207" cy="444500"/>
            <wp:effectExtent l="0" t="0" r="0" b="0"/>
            <wp:wrapNone/>
            <wp:docPr id="156" name="IM 1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 15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22207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color w:val="FFFFFF"/>
          <w:sz w:val="48"/>
          <w:szCs w:val="48"/>
          <w:shd w:val="clear" w:color="auto" w:fill="DF2023"/>
        </w:rPr>
        <w:tab/>
      </w:r>
      <w:r>
        <w:rPr>
          <w:rFonts w:ascii="Arial" w:eastAsia="Arial" w:hAnsi="Arial" w:cs="Arial"/>
          <w:b/>
          <w:bCs/>
          <w:color w:val="FFFFFF"/>
          <w:spacing w:val="-6"/>
          <w:sz w:val="48"/>
          <w:szCs w:val="48"/>
          <w:shd w:val="clear" w:color="auto" w:fill="DF2023"/>
        </w:rPr>
        <w:t>01</w:t>
      </w:r>
      <w:r>
        <w:rPr>
          <w:rFonts w:ascii="Arial" w:eastAsia="Arial" w:hAnsi="Arial" w:cs="Arial"/>
          <w:b/>
          <w:bCs/>
          <w:color w:val="FFFFFF"/>
          <w:spacing w:val="123"/>
          <w:sz w:val="48"/>
          <w:szCs w:val="48"/>
          <w:shd w:val="clear" w:color="auto" w:fill="DF2023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21"/>
          <w:sz w:val="48"/>
          <w:szCs w:val="48"/>
        </w:rPr>
        <w:t xml:space="preserve">  </w:t>
      </w:r>
      <w:r>
        <w:rPr>
          <w:b/>
          <w:bCs/>
          <w:color w:val="E10000"/>
          <w:spacing w:val="-6"/>
          <w:sz w:val="56"/>
          <w:szCs w:val="56"/>
        </w:rPr>
        <w:t>2023年度回顾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20" w:line="194" w:lineRule="auto"/>
        <w:ind w:left="1342"/>
        <w:rPr>
          <w:sz w:val="28"/>
          <w:szCs w:val="28"/>
        </w:rPr>
      </w:pPr>
      <w:r>
        <w:rPr>
          <w:rFonts w:ascii="Arial" w:eastAsia="Arial" w:hAnsi="Arial" w:cs="Arial"/>
          <w:color w:val="595959"/>
          <w:sz w:val="28"/>
          <w:szCs w:val="28"/>
        </w:rPr>
        <w:t xml:space="preserve">•     </w:t>
      </w:r>
      <w:r>
        <w:rPr>
          <w:color w:val="595959"/>
          <w:sz w:val="28"/>
          <w:szCs w:val="28"/>
        </w:rPr>
        <w:t>2023年权益市场整体震荡偏弱，债券市场流动性保持宽松，转债</w:t>
      </w:r>
      <w:r>
        <w:rPr>
          <w:color w:val="595959"/>
          <w:spacing w:val="-1"/>
          <w:sz w:val="28"/>
          <w:szCs w:val="28"/>
        </w:rPr>
        <w:t>市场主要受制于权益市场的波动；</w:t>
      </w:r>
    </w:p>
    <w:p>
      <w:pPr>
        <w:pStyle w:val="BodyText"/>
        <w:spacing w:before="116" w:line="194" w:lineRule="auto"/>
        <w:ind w:left="1342"/>
        <w:rPr>
          <w:sz w:val="28"/>
          <w:szCs w:val="28"/>
        </w:rPr>
      </w:pPr>
      <w:r>
        <w:rPr>
          <w:rFonts w:ascii="Arial" w:eastAsia="Arial" w:hAnsi="Arial" w:cs="Arial"/>
          <w:color w:val="595959"/>
          <w:spacing w:val="1"/>
          <w:sz w:val="28"/>
          <w:szCs w:val="28"/>
        </w:rPr>
        <w:t xml:space="preserve">•     </w:t>
      </w:r>
      <w:r>
        <w:rPr>
          <w:color w:val="595959"/>
          <w:spacing w:val="1"/>
          <w:sz w:val="28"/>
          <w:szCs w:val="28"/>
        </w:rPr>
        <w:t>2023年转债的赚钱效应在年初最强，亏钱效应在8月到10月最明显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pStyle w:val="BodyText"/>
        <w:spacing w:before="137" w:line="193" w:lineRule="auto"/>
        <w:ind w:left="7103"/>
        <w:rPr>
          <w:sz w:val="32"/>
          <w:szCs w:val="32"/>
        </w:rPr>
      </w:pPr>
      <w:r>
        <w:rPr>
          <w:b/>
          <w:bCs/>
          <w:color w:val="262673"/>
          <w:spacing w:val="-2"/>
          <w:sz w:val="32"/>
          <w:szCs w:val="32"/>
        </w:rPr>
        <w:t>2023年转债市场震荡变动</w:t>
      </w:r>
    </w:p>
    <w:p>
      <w:pPr>
        <w:spacing w:before="55"/>
      </w:pPr>
    </w:p>
    <w:p>
      <w:pPr>
        <w:sectPr>
          <w:headerReference w:type="default" r:id="rId66"/>
          <w:footerReference w:type="default" r:id="rId67"/>
          <w:pgSz w:w="19200" w:h="10800"/>
          <w:pgMar w:top="400" w:right="0" w:bottom="1" w:left="0" w:header="0" w:footer="0" w:gutter="0"/>
          <w:pgNumType w:start="8"/>
          <w:cols w:num="1" w:space="708" w:equalWidth="0">
            <w:col w:w="19200" w:space="0"/>
          </w:cols>
        </w:sectPr>
      </w:pPr>
    </w:p>
    <w:tbl>
      <w:tblPr>
        <w:tblStyle w:val="TableNormal0"/>
        <w:tblW w:w="9598" w:type="dxa"/>
        <w:tblInd w:w="15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21"/>
        <w:gridCol w:w="9277"/>
      </w:tblGrid>
      <w:tr>
        <w:tblPrEx>
          <w:tblW w:w="9598" w:type="dxa"/>
          <w:tblInd w:w="15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552"/>
        </w:trPr>
        <w:tc>
          <w:tcPr>
            <w:tcW w:w="321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before="52" w:line="18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135</w:t>
            </w: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52" w:line="18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130</w:t>
            </w: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51" w:line="18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125</w:t>
            </w: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52" w:line="18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120</w:t>
            </w: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51" w:line="18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115</w:t>
            </w: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52" w:line="171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110</w:t>
            </w:r>
          </w:p>
        </w:tc>
        <w:tc>
          <w:tcPr>
            <w:tcW w:w="9277" w:type="dxa"/>
            <w:vAlign w:val="top"/>
          </w:tcPr>
          <w:p>
            <w:pPr>
              <w:pStyle w:val="TableText"/>
              <w:spacing w:line="215" w:lineRule="auto"/>
              <w:ind w:left="312"/>
            </w:pPr>
            <w:r>
              <w:pict>
                <v:shape id="_x0000_s1051" type="#_x0000_t202" style="width:18.15pt;height:10.05pt;margin-top:19.46pt;margin-left:-17.1pt;mso-position-horizontal-relative:right-margin-area;mso-position-vertical-relative:top-margin-area;position:absolute;z-index:251736064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86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  <w:sz w:val="18"/>
                            <w:szCs w:val="18"/>
                          </w:rPr>
                          <w:t>30%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52" type="#_x0000_t202" style="width:18.3pt;height:10.05pt;margin-top:59.32pt;margin-left:-17.28pt;mso-position-horizontal-relative:right-margin-area;mso-position-vertical-relative:top-margin-area;position:absolute;z-index:251730944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86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8"/>
                            <w:szCs w:val="18"/>
                          </w:rPr>
                          <w:t>28%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53" type="#_x0000_t202" style="width:18.3pt;height:10.05pt;margin-top:99.16pt;margin-left:-17.28pt;mso-position-horizontal-relative:right-margin-area;mso-position-vertical-relative:top-margin-area;position:absolute;z-index:251735040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86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8"/>
                            <w:szCs w:val="18"/>
                          </w:rPr>
                          <w:t>26%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54" type="#_x0000_t202" style="width:18.3pt;height:10.05pt;margin-top:139.02pt;margin-left:-17.28pt;mso-position-horizontal-relative:right-margin-area;mso-position-vertical-relative:top-margin-area;position:absolute;z-index:251731968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86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8"/>
                            <w:szCs w:val="18"/>
                          </w:rPr>
                          <w:t>24%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55" type="#_x0000_t202" style="width:18.35pt;height:10.05pt;margin-top:178.85pt;margin-left:-17.28pt;mso-position-horizontal-relative:right-margin-area;mso-position-vertical-relative:top-margin-area;position:absolute;z-index:251734016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87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8"/>
                            <w:szCs w:val="18"/>
                          </w:rPr>
                          <w:t>22%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56" type="#_x0000_t202" style="width:53.7pt;height:23.55pt;margin-top:206.82pt;margin-left:-50.64pt;mso-position-horizontal-relative:right-margin-area;mso-position-vertical-relative:top-margin-area;position:absolute;z-index:25172889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21" w:lineRule="auto"/>
                          <w:ind w:left="86" w:right="20" w:hanging="66"/>
                        </w:pPr>
                        <w:r>
                          <w:rPr>
                            <w:color w:val="C00000"/>
                            <w:spacing w:val="-8"/>
                            <w14:textOutline w14:w="3265" w14:cap="rnd">
                              <w14:solidFill>
                                <w14:srgbClr w14:val="C00000"/>
                              </w14:solidFill>
                              <w14:prstDash w14:val="solid"/>
                              <w14:round/>
                            </w14:textOutline>
                          </w:rPr>
                          <w:t>年末三连阳，</w:t>
                        </w:r>
                        <w:r>
                          <w:rPr>
                            <w:color w:val="C00000"/>
                          </w:rPr>
                          <w:t xml:space="preserve"> </w:t>
                        </w:r>
                        <w:r>
                          <w:rPr>
                            <w:color w:val="C00000"/>
                            <w:spacing w:val="-2"/>
                            <w14:textOutline w14:w="3265" w14:cap="rnd">
                              <w14:solidFill>
                                <w14:srgbClr w14:val="C00000"/>
                              </w14:solidFill>
                              <w14:prstDash w14:val="solid"/>
                              <w14:round/>
                            </w14:textOutline>
                          </w:rPr>
                          <w:t>转债收复一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57" type="#_x0000_t202" style="width:18.3pt;height:10.05pt;margin-top:218.74pt;margin-left:-17.28pt;mso-position-horizontal-relative:right-margin-area;mso-position-vertical-relative:top-margin-area;position:absolute;z-index:251727872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86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8"/>
                            <w:szCs w:val="18"/>
                          </w:rPr>
                          <w:t>20%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725824" behindDoc="0" locked="0" layoutInCell="1" allowOverlap="1">
                  <wp:simplePos x="0" y="0"/>
                  <wp:positionH relativeFrom="rightMargin">
                    <wp:posOffset>-5840133</wp:posOffset>
                  </wp:positionH>
                  <wp:positionV relativeFrom="topMargin">
                    <wp:posOffset>468388</wp:posOffset>
                  </wp:positionV>
                  <wp:extent cx="5534025" cy="1964690"/>
                  <wp:effectExtent l="0" t="0" r="0" b="0"/>
                  <wp:wrapNone/>
                  <wp:docPr id="158" name="IM 1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IM 158"/>
                          <pic:cNvPicPr/>
                        </pic:nvPicPr>
                        <pic:blipFill>
                          <a:blip xmlns:r="http://schemas.openxmlformats.org/officeDocument/2006/relationships"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4025" cy="1964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58" type="#_x0000_t202" style="width:375.75pt;height:184.6pt;margin-top:24.12pt;margin-left:-412.08pt;mso-position-horizontal-relative:right-margin-area;mso-position-vertical-relative:top-margin-area;position:absolute;z-index:25172684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17" w:lineRule="auto"/>
                          <w:ind w:right="14"/>
                          <w:jc w:val="right"/>
                        </w:pPr>
                        <w:r>
                          <w:rPr>
                            <w:color w:val="C00000"/>
                            <w:spacing w:val="-4"/>
                            <w14:textOutline w14:w="3265" w14:cap="rnd">
                              <w14:solidFill>
                                <w14:srgbClr w14:val="C00000"/>
                              </w14:solidFill>
                              <w14:prstDash w14:val="solid"/>
                              <w14:round/>
                            </w14:textOutline>
                          </w:rPr>
                          <w:t>大盘率先</w:t>
                        </w:r>
                      </w:p>
                      <w:p>
                        <w:pPr>
                          <w:pStyle w:val="TableText"/>
                          <w:spacing w:before="4" w:line="212" w:lineRule="auto"/>
                          <w:ind w:right="19"/>
                          <w:jc w:val="right"/>
                        </w:pPr>
                        <w:r>
                          <w:rPr>
                            <w:color w:val="C00000"/>
                            <w:spacing w:val="-1"/>
                            <w14:textOutline w14:w="3265" w14:cap="rnd">
                              <w14:solidFill>
                                <w14:srgbClr w14:val="C00000"/>
                              </w14:solidFill>
                              <w14:prstDash w14:val="solid"/>
                              <w14:round/>
                            </w14:textOutline>
                          </w:rPr>
                          <w:t>走弱，而</w:t>
                        </w:r>
                      </w:p>
                      <w:p>
                        <w:pPr>
                          <w:pStyle w:val="TableText"/>
                          <w:spacing w:before="9" w:line="219" w:lineRule="auto"/>
                          <w:ind w:right="19"/>
                          <w:jc w:val="right"/>
                        </w:pPr>
                        <w:r>
                          <w:rPr>
                            <w:color w:val="C00000"/>
                            <w:spacing w:val="-1"/>
                            <w14:textOutline w14:w="3265" w14:cap="rnd">
                              <w14:solidFill>
                                <w14:srgbClr w14:val="C00000"/>
                              </w14:solidFill>
                              <w14:prstDash w14:val="solid"/>
                              <w14:round/>
                            </w14:textOutline>
                          </w:rPr>
                          <w:t>后小盘补</w:t>
                        </w:r>
                      </w:p>
                      <w:p>
                        <w:pPr>
                          <w:pStyle w:val="TableText"/>
                          <w:spacing w:before="2" w:line="212" w:lineRule="auto"/>
                          <w:ind w:right="19"/>
                          <w:jc w:val="right"/>
                        </w:pPr>
                        <w:r>
                          <w:rPr>
                            <w:color w:val="C00000"/>
                            <w:spacing w:val="-1"/>
                            <w14:textOutline w14:w="3265" w14:cap="rnd">
                              <w14:solidFill>
                                <w14:srgbClr w14:val="C00000"/>
                              </w14:solidFill>
                              <w14:prstDash w14:val="solid"/>
                              <w14:round/>
                            </w14:textOutline>
                          </w:rPr>
                          <w:t>跌，转债</w:t>
                        </w:r>
                      </w:p>
                      <w:p>
                        <w:pPr>
                          <w:pStyle w:val="TableText"/>
                          <w:spacing w:before="9" w:line="217" w:lineRule="auto"/>
                          <w:ind w:right="20"/>
                          <w:jc w:val="right"/>
                        </w:pPr>
                        <w:r>
                          <w:rPr>
                            <w:color w:val="C00000"/>
                            <w:spacing w:val="-1"/>
                            <w14:textOutline w14:w="3265" w14:cap="rnd">
                              <w14:solidFill>
                                <w14:srgbClr w14:val="C00000"/>
                              </w14:solidFill>
                              <w14:prstDash w14:val="solid"/>
                              <w14:round/>
                            </w14:textOutline>
                          </w:rPr>
                          <w:t>在12月中</w:t>
                        </w:r>
                      </w:p>
                      <w:p>
                        <w:pPr>
                          <w:pStyle w:val="TableText"/>
                          <w:spacing w:before="4" w:line="221" w:lineRule="auto"/>
                          <w:ind w:right="14"/>
                          <w:jc w:val="right"/>
                        </w:pPr>
                        <w:r>
                          <w:rPr>
                            <w:color w:val="C00000"/>
                            <w:spacing w:val="-5"/>
                            <w14:textOutline w14:w="3265" w14:cap="rnd">
                              <w14:solidFill>
                                <w14:srgbClr w14:val="C00000"/>
                              </w14:solidFill>
                              <w14:prstDash w14:val="solid"/>
                              <w14:round/>
                            </w14:textOutline>
                          </w:rPr>
                          <w:t>旬加速调</w:t>
                        </w:r>
                      </w:p>
                      <w:p>
                        <w:pPr>
                          <w:pStyle w:val="TableText"/>
                          <w:spacing w:before="1" w:line="226" w:lineRule="auto"/>
                          <w:ind w:left="7056"/>
                        </w:pPr>
                        <w:r>
                          <w:rPr>
                            <w:color w:val="C00000"/>
                            <w14:textOutline w14:w="3265" w14:cap="rnd">
                              <w14:solidFill>
                                <w14:srgbClr w14:val="C00000"/>
                              </w14:solidFill>
                              <w14:prstDash w14:val="solid"/>
                              <w14:round/>
                            </w14:textOutline>
                          </w:rPr>
                          <w:t>整</w:t>
                        </w:r>
                      </w:p>
                      <w:p>
                        <w:pPr>
                          <w:spacing w:line="25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5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5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59" w:line="217" w:lineRule="auto"/>
                          <w:ind w:left="20"/>
                        </w:pPr>
                        <w:r>
                          <w:rPr>
                            <w:color w:val="C00000"/>
                            <w14:textOutline w14:w="3265" w14:cap="rnd">
                              <w14:solidFill>
                                <w14:srgbClr w14:val="C00000"/>
                              </w14:solidFill>
                              <w14:prstDash w14:val="solid"/>
                              <w14:round/>
                            </w14:textOutline>
                          </w:rPr>
                          <w:t>权益进入存量博弈/结构</w:t>
                        </w:r>
                      </w:p>
                      <w:p>
                        <w:pPr>
                          <w:pStyle w:val="TableText"/>
                          <w:spacing w:before="5" w:line="212" w:lineRule="auto"/>
                          <w:ind w:left="27"/>
                        </w:pPr>
                        <w:r>
                          <w:rPr>
                            <w:color w:val="C00000"/>
                            <w:spacing w:val="-10"/>
                            <w14:textOutline w14:w="3265" w14:cap="rnd">
                              <w14:solidFill>
                                <w14:srgbClr w14:val="C00000"/>
                              </w14:solidFill>
                              <w14:prstDash w14:val="solid"/>
                              <w14:round/>
                            </w14:textOutline>
                          </w:rPr>
                          <w:t>性阶段，</w:t>
                        </w:r>
                        <w:r>
                          <w:rPr>
                            <w:color w:val="C00000"/>
                            <w:spacing w:val="-10"/>
                          </w:rPr>
                          <w:t xml:space="preserve"> </w:t>
                        </w:r>
                        <w:r>
                          <w:rPr>
                            <w:color w:val="C00000"/>
                            <w:spacing w:val="-10"/>
                            <w14:textOutline w14:w="3265" w14:cap="rnd">
                              <w14:solidFill>
                                <w14:srgbClr w14:val="C00000"/>
                              </w14:solidFill>
                              <w14:prstDash w14:val="solid"/>
                              <w14:round/>
                            </w14:textOutline>
                          </w:rPr>
                          <w:t>A</w:t>
                        </w:r>
                        <w:r>
                          <w:rPr>
                            <w:color w:val="C00000"/>
                            <w:spacing w:val="-57"/>
                          </w:rPr>
                          <w:t xml:space="preserve"> </w:t>
                        </w:r>
                        <w:r>
                          <w:rPr>
                            <w:color w:val="C00000"/>
                            <w:spacing w:val="-10"/>
                            <w14:textOutline w14:w="3265" w14:cap="rnd">
                              <w14:solidFill>
                                <w14:srgbClr w14:val="C00000"/>
                              </w14:solidFill>
                              <w14:prstDash w14:val="solid"/>
                              <w14:round/>
                            </w14:textOutline>
                          </w:rPr>
                          <w:t>I品种缺乏&amp;新</w:t>
                        </w:r>
                      </w:p>
                      <w:p>
                        <w:pPr>
                          <w:pStyle w:val="TableText"/>
                          <w:spacing w:before="9" w:line="216" w:lineRule="auto"/>
                          <w:ind w:left="82"/>
                        </w:pPr>
                        <w:r>
                          <w:rPr>
                            <w:color w:val="C00000"/>
                            <w:spacing w:val="-2"/>
                            <w14:textOutline w14:w="3265" w14:cap="rnd">
                              <w14:solidFill>
                                <w14:srgbClr w14:val="C00000"/>
                              </w14:solidFill>
                              <w14:prstDash w14:val="solid"/>
                              <w14:round/>
                            </w14:textOutline>
                          </w:rPr>
                          <w:t>能源过多导致转债结构</w:t>
                        </w:r>
                      </w:p>
                      <w:p>
                        <w:pPr>
                          <w:pStyle w:val="TableText"/>
                          <w:spacing w:before="6" w:line="212" w:lineRule="auto"/>
                          <w:ind w:left="25"/>
                        </w:pPr>
                        <w:r>
                          <w:rPr>
                            <w:color w:val="C00000"/>
                            <w:spacing w:val="-1"/>
                            <w14:textOutline w14:w="3265" w14:cap="rnd">
                              <w14:solidFill>
                                <w14:srgbClr w14:val="C00000"/>
                              </w14:solidFill>
                              <w14:prstDash w14:val="solid"/>
                              <w14:round/>
                            </w14:textOutline>
                          </w:rPr>
                          <w:t>上不占优，股市疲弱&amp;少</w:t>
                        </w:r>
                      </w:p>
                      <w:p>
                        <w:pPr>
                          <w:pStyle w:val="TableText"/>
                          <w:spacing w:before="9" w:line="216" w:lineRule="auto"/>
                          <w:ind w:left="65"/>
                        </w:pPr>
                        <w:r>
                          <w:rPr>
                            <w:color w:val="C00000"/>
                            <w:spacing w:val="-1"/>
                            <w14:textOutline w14:w="3265" w14:cap="rnd">
                              <w14:solidFill>
                                <w14:srgbClr w14:val="C00000"/>
                              </w14:solidFill>
                              <w14:prstDash w14:val="solid"/>
                              <w14:round/>
                            </w14:textOutline>
                          </w:rPr>
                          <w:t>数转债退市风险导致转</w:t>
                        </w:r>
                      </w:p>
                      <w:p>
                        <w:pPr>
                          <w:pStyle w:val="TableText"/>
                          <w:spacing w:before="5" w:line="220" w:lineRule="auto"/>
                          <w:ind w:left="699"/>
                        </w:pPr>
                        <w:r>
                          <w:rPr>
                            <w:color w:val="C00000"/>
                            <w:spacing w:val="-2"/>
                            <w14:textOutline w14:w="3274" w14:cap="rnd">
                              <w14:solidFill>
                                <w14:srgbClr w14:val="C00000"/>
                              </w14:solidFill>
                              <w14:prstDash w14:val="solid"/>
                              <w14:round/>
                            </w14:textOutline>
                          </w:rPr>
                          <w:t>债调整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59" type="#_x0000_t202" style="width:28.95pt;height:77.75pt;margin-top:28.95pt;margin-left:-108.93pt;mso-position-horizontal-relative:right-margin-area;mso-position-vertical-relative:top-margin-area;position:absolute;z-index:25173811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22" w:lineRule="auto"/>
                          <w:ind w:left="36"/>
                        </w:pPr>
                        <w:r>
                          <w:rPr>
                            <w:color w:val="C00000"/>
                            <w:spacing w:val="-5"/>
                            <w14:textOutline w14:w="3265" w14:cap="rnd">
                              <w14:solidFill>
                                <w14:srgbClr w14:val="C00000"/>
                              </w14:solidFill>
                              <w14:prstDash w14:val="solid"/>
                              <w14:round/>
                            </w14:textOutline>
                          </w:rPr>
                          <w:t>汇金托</w:t>
                        </w:r>
                      </w:p>
                      <w:p>
                        <w:pPr>
                          <w:pStyle w:val="TableText"/>
                          <w:spacing w:line="212" w:lineRule="auto"/>
                          <w:ind w:left="20"/>
                        </w:pPr>
                        <w:r>
                          <w:rPr>
                            <w:color w:val="C00000"/>
                            <w:spacing w:val="-1"/>
                            <w14:textOutline w14:w="3265" w14:cap="rnd">
                              <w14:solidFill>
                                <w14:srgbClr w14:val="C00000"/>
                              </w14:solidFill>
                              <w14:prstDash w14:val="solid"/>
                              <w14:round/>
                            </w14:textOutline>
                          </w:rPr>
                          <w:t>底，融</w:t>
                        </w:r>
                      </w:p>
                      <w:p>
                        <w:pPr>
                          <w:pStyle w:val="TableText"/>
                          <w:spacing w:before="9" w:line="218" w:lineRule="auto"/>
                          <w:ind w:left="33"/>
                        </w:pPr>
                        <w:r>
                          <w:rPr>
                            <w:color w:val="C00000"/>
                            <w:spacing w:val="-4"/>
                            <w14:textOutline w14:w="3265" w14:cap="rnd">
                              <w14:solidFill>
                                <w14:srgbClr w14:val="C00000"/>
                              </w14:solidFill>
                              <w14:prstDash w14:val="solid"/>
                              <w14:round/>
                            </w14:textOutline>
                          </w:rPr>
                          <w:t>资盘抬</w:t>
                        </w:r>
                      </w:p>
                      <w:p>
                        <w:pPr>
                          <w:pStyle w:val="TableText"/>
                          <w:spacing w:before="3" w:line="212" w:lineRule="auto"/>
                          <w:ind w:left="27"/>
                        </w:pPr>
                        <w:r>
                          <w:rPr>
                            <w:color w:val="C00000"/>
                            <w:spacing w:val="-2"/>
                            <w14:textOutline w14:w="3265" w14:cap="rnd">
                              <w14:solidFill>
                                <w14:srgbClr w14:val="C00000"/>
                              </w14:solidFill>
                              <w14:prstDash w14:val="solid"/>
                              <w14:round/>
                            </w14:textOutline>
                          </w:rPr>
                          <w:t>升，带</w:t>
                        </w:r>
                      </w:p>
                      <w:p>
                        <w:pPr>
                          <w:pStyle w:val="TableText"/>
                          <w:spacing w:before="9" w:line="217" w:lineRule="auto"/>
                          <w:ind w:left="27"/>
                        </w:pPr>
                        <w:r>
                          <w:rPr>
                            <w:color w:val="C00000"/>
                            <w:spacing w:val="-2"/>
                            <w14:textOutline w14:w="3265" w14:cap="rnd">
                              <w14:solidFill>
                                <w14:srgbClr w14:val="C00000"/>
                              </w14:solidFill>
                              <w14:prstDash w14:val="solid"/>
                              <w14:round/>
                            </w14:textOutline>
                          </w:rPr>
                          <w:t>来小盘</w:t>
                        </w:r>
                      </w:p>
                      <w:p>
                        <w:pPr>
                          <w:pStyle w:val="TableText"/>
                          <w:spacing w:before="4" w:line="222" w:lineRule="auto"/>
                          <w:ind w:left="22"/>
                        </w:pPr>
                        <w:r>
                          <w:rPr>
                            <w:color w:val="C00000"/>
                            <w:spacing w:val="-1"/>
                            <w14:textOutline w14:w="3265" w14:cap="rnd">
                              <w14:solidFill>
                                <w14:srgbClr w14:val="C00000"/>
                              </w14:solidFill>
                              <w14:prstDash w14:val="solid"/>
                              <w14:round/>
                            </w14:textOutline>
                          </w:rPr>
                          <w:t>风格走</w:t>
                        </w:r>
                      </w:p>
                      <w:p>
                        <w:pPr>
                          <w:pStyle w:val="TableText"/>
                          <w:spacing w:line="223" w:lineRule="auto"/>
                          <w:ind w:left="213"/>
                        </w:pPr>
                        <w:r>
                          <w:rPr>
                            <w:color w:val="C00000"/>
                            <w14:textOutline w14:w="3265" w14:cap="rnd">
                              <w14:solidFill>
                                <w14:srgbClr w14:val="C00000"/>
                              </w14:solidFill>
                              <w14:prstDash w14:val="solid"/>
                              <w14:round/>
                            </w14:textOutline>
                          </w:rPr>
                          <w:t>强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60" type="#_x0000_t202" style="width:28.9pt;height:67.05pt;margin-top:145.72pt;margin-left:-454.06pt;mso-position-horizontal-relative:right-margin-area;mso-position-vertical-relative:top-margin-area;position:absolute;z-index:25173708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1" w:line="222" w:lineRule="auto"/>
                          <w:ind w:left="20" w:right="20"/>
                          <w:jc w:val="both"/>
                        </w:pPr>
                        <w:r>
                          <w:rPr>
                            <w:color w:val="C00000"/>
                            <w:spacing w:val="-1"/>
                            <w14:textOutline w14:w="3265" w14:cap="rnd">
                              <w14:solidFill>
                                <w14:srgbClr w14:val="C00000"/>
                              </w14:solidFill>
                              <w14:prstDash w14:val="solid"/>
                              <w14:round/>
                            </w14:textOutline>
                          </w:rPr>
                          <w:t>权益普</w:t>
                        </w:r>
                        <w:r>
                          <w:rPr>
                            <w:color w:val="C00000"/>
                          </w:rPr>
                          <w:t xml:space="preserve"> </w:t>
                        </w:r>
                        <w:r>
                          <w:rPr>
                            <w:color w:val="C00000"/>
                            <w:spacing w:val="-2"/>
                            <w14:textOutline w14:w="3274" w14:cap="rnd">
                              <w14:solidFill>
                                <w14:srgbClr w14:val="C00000"/>
                              </w14:solidFill>
                              <w14:prstDash w14:val="solid"/>
                              <w14:round/>
                            </w14:textOutline>
                          </w:rPr>
                          <w:t>涨，带</w:t>
                        </w:r>
                        <w:r>
                          <w:rPr>
                            <w:color w:val="C00000"/>
                            <w:spacing w:val="1"/>
                          </w:rPr>
                          <w:t xml:space="preserve"> </w:t>
                        </w:r>
                        <w:r>
                          <w:rPr>
                            <w:color w:val="C00000"/>
                            <w:spacing w:val="-2"/>
                            <w14:textOutline w14:w="3265" w14:cap="rnd">
                              <w14:solidFill>
                                <w14:srgbClr w14:val="C00000"/>
                              </w14:solidFill>
                              <w14:prstDash w14:val="solid"/>
                              <w14:round/>
                            </w14:textOutline>
                          </w:rPr>
                          <w:t>动转债</w:t>
                        </w:r>
                        <w:r>
                          <w:rPr>
                            <w:color w:val="C00000"/>
                            <w:spacing w:val="1"/>
                          </w:rPr>
                          <w:t xml:space="preserve"> </w:t>
                        </w:r>
                        <w:r>
                          <w:rPr>
                            <w:color w:val="C00000"/>
                            <w:spacing w:val="-2"/>
                            <w14:textOutline w14:w="3265" w14:cap="rnd">
                              <w14:solidFill>
                                <w14:srgbClr w14:val="C00000"/>
                              </w14:solidFill>
                              <w14:prstDash w14:val="solid"/>
                              <w14:round/>
                            </w14:textOutline>
                          </w:rPr>
                          <w:t>获得估</w:t>
                        </w:r>
                        <w:r>
                          <w:rPr>
                            <w:color w:val="C00000"/>
                            <w:spacing w:val="1"/>
                          </w:rPr>
                          <w:t xml:space="preserve"> </w:t>
                        </w:r>
                        <w:r>
                          <w:rPr>
                            <w:color w:val="C00000"/>
                            <w:spacing w:val="14"/>
                            <w14:textOutline w14:w="3265" w14:cap="rnd">
                              <w14:solidFill>
                                <w14:srgbClr w14:val="C00000"/>
                              </w14:solidFill>
                              <w14:prstDash w14:val="solid"/>
                              <w14:round/>
                            </w14:textOutline>
                          </w:rPr>
                          <w:t>值&amp;正</w:t>
                        </w:r>
                        <w:r>
                          <w:rPr>
                            <w:color w:val="C00000"/>
                          </w:rPr>
                          <w:t xml:space="preserve"> </w:t>
                        </w:r>
                        <w:r>
                          <w:rPr>
                            <w:color w:val="C00000"/>
                            <w:spacing w:val="-2"/>
                            <w14:textOutline w14:w="3265" w14:cap="rnd">
                              <w14:solidFill>
                                <w14:srgbClr w14:val="C00000"/>
                              </w14:solidFill>
                              <w14:prstDash w14:val="solid"/>
                              <w14:round/>
                            </w14:textOutline>
                          </w:rPr>
                          <w:t>股双击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61" type="#_x0000_t202" style="width:69.35pt;height:34.15pt;margin-top:149.85pt;margin-left:-186.09pt;mso-position-horizontal-relative:right-margin-area;mso-position-vertical-relative:top-margin-area;position:absolute;z-index:25172992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16" w:lineRule="auto"/>
                          <w:ind w:left="20"/>
                        </w:pPr>
                        <w:r>
                          <w:rPr>
                            <w:color w:val="C00000"/>
                            <w:spacing w:val="-1"/>
                            <w14:textOutline w14:w="3265" w14:cap="rnd">
                              <w14:solidFill>
                                <w14:srgbClr w14:val="C00000"/>
                              </w14:solidFill>
                              <w14:prstDash w14:val="solid"/>
                              <w14:round/>
                            </w14:textOutline>
                          </w:rPr>
                          <w:t>政策底-市场底切</w:t>
                        </w:r>
                      </w:p>
                      <w:p>
                        <w:pPr>
                          <w:pStyle w:val="TableText"/>
                          <w:spacing w:before="4" w:line="213" w:lineRule="auto"/>
                          <w:ind w:left="66"/>
                        </w:pPr>
                        <w:r>
                          <w:rPr>
                            <w:color w:val="C00000"/>
                            <w:spacing w:val="-1"/>
                            <w14:textOutline w14:w="3274" w14:cap="rnd">
                              <w14:solidFill>
                                <w14:srgbClr w14:val="C00000"/>
                              </w14:solidFill>
                              <w14:prstDash w14:val="solid"/>
                              <w14:round/>
                            </w14:textOutline>
                          </w:rPr>
                          <w:t>换，外资持续流</w:t>
                        </w:r>
                      </w:p>
                      <w:p>
                        <w:pPr>
                          <w:pStyle w:val="TableText"/>
                          <w:spacing w:before="9" w:line="215" w:lineRule="auto"/>
                          <w:ind w:left="268"/>
                        </w:pPr>
                        <w:r>
                          <w:rPr>
                            <w:color w:val="C00000"/>
                            <w:spacing w:val="-5"/>
                            <w14:textOutline w14:w="3265" w14:cap="rnd">
                              <w14:solidFill>
                                <w14:srgbClr w14:val="C00000"/>
                              </w14:solidFill>
                              <w14:prstDash w14:val="solid"/>
                              <w14:round/>
                            </w14:textOutline>
                          </w:rPr>
                          <w:t>出影响正股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62" type="#_x0000_t202" style="width:79.7pt;height:34.1pt;margin-top:151.58pt;margin-left:-293.88pt;mso-position-horizontal-relative:right-margin-area;mso-position-vertical-relative:top-margin-area;position:absolute;z-index:25173299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1" w:line="219" w:lineRule="auto"/>
                          <w:ind w:left="40" w:right="20" w:hanging="21"/>
                          <w:jc w:val="both"/>
                        </w:pPr>
                        <w:r>
                          <w:rPr>
                            <w:color w:val="C00000"/>
                            <w:spacing w:val="-8"/>
                            <w14:textOutline w14:w="3265" w14:cap="rnd">
                              <w14:solidFill>
                                <w14:srgbClr w14:val="C00000"/>
                              </w14:solidFill>
                              <w14:prstDash w14:val="solid"/>
                              <w14:round/>
                            </w14:textOutline>
                          </w:rPr>
                          <w:t>中位数调整至低位，</w:t>
                        </w:r>
                        <w:r>
                          <w:rPr>
                            <w:color w:val="C00000"/>
                            <w:spacing w:val="4"/>
                          </w:rPr>
                          <w:t xml:space="preserve"> </w:t>
                        </w:r>
                        <w:r>
                          <w:rPr>
                            <w:color w:val="C00000"/>
                            <w:spacing w:val="-17"/>
                            <w14:textOutline w14:w="3265" w14:cap="rnd">
                              <w14:solidFill>
                                <w14:srgbClr w14:val="C00000"/>
                              </w14:solidFill>
                              <w14:prstDash w14:val="solid"/>
                              <w14:round/>
                            </w14:textOutline>
                          </w:rPr>
                          <w:t>市场企稳修复，</w:t>
                        </w:r>
                        <w:r>
                          <w:rPr>
                            <w:color w:val="C00000"/>
                            <w:spacing w:val="55"/>
                          </w:rPr>
                          <w:t xml:space="preserve"> </w:t>
                        </w:r>
                        <w:r>
                          <w:rPr>
                            <w:color w:val="C00000"/>
                            <w:spacing w:val="-17"/>
                            <w14:textOutline w14:w="3265" w14:cap="rnd">
                              <w14:solidFill>
                                <w14:srgbClr w14:val="C00000"/>
                              </w14:solidFill>
                              <w14:prstDash w14:val="solid"/>
                              <w14:round/>
                            </w14:textOutline>
                          </w:rPr>
                          <w:t>7月</w:t>
                        </w:r>
                        <w:r>
                          <w:rPr>
                            <w:color w:val="C00000"/>
                          </w:rPr>
                          <w:t xml:space="preserve"> </w:t>
                        </w:r>
                        <w:r>
                          <w:rPr>
                            <w:color w:val="C00000"/>
                            <w:spacing w:val="4"/>
                            <w14:textOutline w14:w="3265" w14:cap="rnd">
                              <w14:solidFill>
                                <w14:srgbClr w14:val="C00000"/>
                              </w14:solidFill>
                              <w14:prstDash w14:val="solid"/>
                              <w14:round/>
                            </w14:textOutline>
                          </w:rPr>
                          <w:t>正股带动转债回升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4"/>
              </w:rPr>
              <w:drawing>
                <wp:inline distT="0" distB="0" distL="0" distR="0">
                  <wp:extent cx="262890" cy="19050"/>
                  <wp:effectExtent l="0" t="0" r="0" b="0"/>
                  <wp:docPr id="160" name="IM 1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" name="IM 160"/>
                          <pic:cNvPicPr/>
                        </pic:nvPicPr>
                        <pic:blipFill>
                          <a:blip xmlns:r="http://schemas.openxmlformats.org/officeDocument/2006/relationships"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90" cy="19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51"/>
              </w:rPr>
              <w:t xml:space="preserve"> </w:t>
            </w:r>
            <w:r>
              <w:rPr>
                <w:spacing w:val="-2"/>
              </w:rPr>
              <w:t>万得可转债正股加权指数</w:t>
            </w:r>
            <w:r>
              <w:rPr>
                <w:spacing w:val="-2"/>
              </w:rPr>
              <w:t xml:space="preserve">   </w:t>
            </w:r>
            <w:r>
              <w:rPr>
                <w:position w:val="4"/>
              </w:rPr>
              <w:drawing>
                <wp:inline distT="0" distB="0" distL="0" distR="0">
                  <wp:extent cx="262889" cy="19050"/>
                  <wp:effectExtent l="0" t="0" r="0" b="0"/>
                  <wp:docPr id="162" name="IM 1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" name="IM 162"/>
                          <pic:cNvPicPr/>
                        </pic:nvPicPr>
                        <pic:blipFill>
                          <a:blip xmlns:r="http://schemas.openxmlformats.org/officeDocument/2006/relationships"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89" cy="19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56"/>
              </w:rPr>
              <w:t xml:space="preserve"> </w:t>
            </w:r>
            <w:r>
              <w:rPr>
                <w:spacing w:val="-2"/>
              </w:rPr>
              <w:t>转债价格中位数（元）</w:t>
            </w:r>
            <w:r>
              <w:rPr>
                <w:spacing w:val="-2"/>
              </w:rPr>
              <w:t xml:space="preserve">    </w:t>
            </w:r>
            <w:r>
              <w:rPr>
                <w:position w:val="4"/>
              </w:rPr>
              <w:drawing>
                <wp:inline distT="0" distB="0" distL="0" distR="0">
                  <wp:extent cx="262889" cy="19050"/>
                  <wp:effectExtent l="0" t="0" r="0" b="0"/>
                  <wp:docPr id="164" name="IM 1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IM 164"/>
                          <pic:cNvPicPr/>
                        </pic:nvPicPr>
                        <pic:blipFill>
                          <a:blip xmlns:r="http://schemas.openxmlformats.org/officeDocument/2006/relationships"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89" cy="19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52"/>
              </w:rPr>
              <w:t xml:space="preserve"> </w:t>
            </w:r>
            <w:r>
              <w:rPr>
                <w:spacing w:val="-2"/>
              </w:rPr>
              <w:t>百元</w:t>
            </w:r>
            <w:r>
              <w:rPr>
                <w:spacing w:val="-3"/>
              </w:rPr>
              <w:t>平价对应的市场溢价率（右）</w:t>
            </w: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4015" w:lineRule="exact"/>
              <w:ind w:firstLine="72"/>
            </w:pPr>
            <w:r>
              <w:rPr>
                <w:position w:val="-80"/>
              </w:rPr>
              <w:drawing>
                <wp:inline distT="0" distB="0" distL="0" distR="0">
                  <wp:extent cx="5541327" cy="2549715"/>
                  <wp:effectExtent l="0" t="0" r="0" b="0"/>
                  <wp:docPr id="166" name="IM 1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" name="IM 166"/>
                          <pic:cNvPicPr/>
                        </pic:nvPicPr>
                        <pic:blipFill>
                          <a:blip xmlns:r="http://schemas.openxmlformats.org/officeDocument/2006/relationships"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41327" cy="2549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before="35" w:line="219" w:lineRule="auto"/>
        <w:ind w:left="274"/>
        <w:rPr>
          <w:rFonts w:ascii="KaiTi" w:eastAsia="KaiTi" w:hAnsi="KaiTi" w:cs="KaiTi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2023/01                  2023/03                    2023/05                    2023/07                    2023/09          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 xml:space="preserve">        2023/11                  </w:t>
      </w:r>
      <w:r>
        <w:rPr>
          <w:rFonts w:ascii="KaiTi" w:eastAsia="KaiTi" w:hAnsi="KaiTi" w:cs="KaiTi"/>
          <w:color w:val="C00000"/>
          <w:spacing w:val="-1"/>
          <w:position w:val="-1"/>
          <w:sz w:val="18"/>
          <w:szCs w:val="18"/>
          <w14:textOutline w14:w="3274" w14:cap="rnd">
            <w14:solidFill>
              <w14:srgbClr w14:val="C00000"/>
            </w14:solidFill>
            <w14:prstDash w14:val="solid"/>
            <w14:round/>
          </w14:textOutline>
        </w:rPr>
        <w:t>半跌幅</w:t>
      </w:r>
    </w:p>
    <w:p>
      <w:pPr>
        <w:pStyle w:val="BodyText"/>
        <w:spacing w:before="174" w:line="234" w:lineRule="exact"/>
        <w:ind w:left="985"/>
        <w:rPr>
          <w:sz w:val="22"/>
          <w:szCs w:val="22"/>
        </w:rPr>
      </w:pPr>
      <w:r>
        <w:rPr>
          <w:spacing w:val="-5"/>
          <w:position w:val="-1"/>
          <w:sz w:val="22"/>
          <w:szCs w:val="22"/>
        </w:rPr>
        <w:t>数据来源：  Wind，聚源，兴业证券经济与金融研究院整理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" w:line="224" w:lineRule="auto"/>
        <w:ind w:left="913"/>
        <w:rPr>
          <w:rFonts w:ascii="KaiTi" w:eastAsia="KaiTi" w:hAnsi="KaiTi" w:cs="KaiTi"/>
          <w:sz w:val="18"/>
          <w:szCs w:val="18"/>
        </w:rPr>
        <w:sectPr>
          <w:headerReference w:type="default" r:id="rId73"/>
          <w:footerReference w:type="default" r:id="rId74"/>
          <w:type w:val="continuous"/>
          <w:pgSz w:w="19200" w:h="10800"/>
          <w:pgMar w:top="400" w:right="0" w:bottom="1" w:left="0" w:header="0" w:footer="0" w:gutter="0"/>
          <w:pgNumType w:start="9"/>
          <w:cols w:num="3" w:space="708" w:equalWidth="0">
            <w:col w:w="9956" w:space="100"/>
            <w:col w:w="8325" w:space="100"/>
            <w:col w:w="720" w:space="0"/>
          </w:cols>
        </w:sectPr>
      </w:pPr>
      <w:r>
        <w:rPr>
          <w:rFonts w:ascii="KaiTi" w:eastAsia="KaiTi" w:hAnsi="KaiTi" w:cs="KaiTi"/>
          <w:position w:val="4"/>
          <w:sz w:val="18"/>
          <w:szCs w:val="18"/>
        </w:rPr>
        <w:drawing>
          <wp:inline distT="0" distB="0" distL="0" distR="0">
            <wp:extent cx="262890" cy="18914"/>
            <wp:effectExtent l="0" t="0" r="0" b="0"/>
            <wp:docPr id="168" name="IM 1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 168"/>
                    <pic:cNvPicPr/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262890" cy="18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spacing w:val="-53"/>
          <w:sz w:val="18"/>
          <w:szCs w:val="18"/>
        </w:rPr>
        <w:t xml:space="preserve"> </w:t>
      </w:r>
      <w:r>
        <w:rPr>
          <w:rFonts w:ascii="KaiTi" w:eastAsia="KaiTi" w:hAnsi="KaiTi" w:cs="KaiTi"/>
          <w:sz w:val="18"/>
          <w:szCs w:val="18"/>
        </w:rPr>
        <w:t>百元平价对应的市场溢价率</w:t>
      </w:r>
      <w:r>
        <w:rPr>
          <w:rFonts w:ascii="KaiTi" w:eastAsia="KaiTi" w:hAnsi="KaiTi" w:cs="KaiTi"/>
          <w:sz w:val="18"/>
          <w:szCs w:val="18"/>
        </w:rPr>
        <w:t xml:space="preserve">     </w:t>
      </w:r>
      <w:r>
        <w:rPr>
          <w:position w:val="4"/>
          <w:sz w:val="18"/>
          <w:szCs w:val="18"/>
        </w:rPr>
        <w:drawing>
          <wp:inline distT="0" distB="0" distL="0" distR="0">
            <wp:extent cx="262890" cy="18914"/>
            <wp:effectExtent l="0" t="0" r="0" b="0"/>
            <wp:docPr id="170" name="IM 1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 170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262890" cy="18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spacing w:val="-36"/>
          <w:sz w:val="18"/>
          <w:szCs w:val="18"/>
        </w:rPr>
        <w:t xml:space="preserve"> </w:t>
      </w:r>
    </w:p>
    <w:p>
      <w:pPr>
        <w:spacing w:before="1" w:line="224" w:lineRule="auto"/>
        <w:ind w:left="913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sz w:val="18"/>
          <w:szCs w:val="18"/>
        </w:rPr>
        <w:t>中债国债到期收益率</w:t>
      </w:r>
      <w:r>
        <w:rPr>
          <w:rFonts w:ascii="Times New Roman" w:eastAsia="Times New Roman" w:hAnsi="Times New Roman" w:cs="Times New Roman"/>
          <w:sz w:val="18"/>
          <w:szCs w:val="18"/>
        </w:rPr>
        <w:t>:10</w:t>
      </w:r>
      <w:r>
        <w:rPr>
          <w:rFonts w:ascii="KaiTi" w:eastAsia="KaiTi" w:hAnsi="KaiTi" w:cs="KaiTi"/>
          <w:sz w:val="18"/>
          <w:szCs w:val="18"/>
        </w:rPr>
        <w:t>年（</w:t>
      </w:r>
      <w:r>
        <w:rPr>
          <w:rFonts w:ascii="Times New Roman" w:eastAsia="Times New Roman" w:hAnsi="Times New Roman" w:cs="Times New Roman"/>
          <w:sz w:val="18"/>
          <w:szCs w:val="18"/>
        </w:rPr>
        <w:t>%</w:t>
      </w:r>
      <w:r>
        <w:rPr>
          <w:rFonts w:ascii="KaiTi" w:eastAsia="KaiTi" w:hAnsi="KaiTi" w:cs="KaiTi"/>
          <w:sz w:val="18"/>
          <w:szCs w:val="18"/>
        </w:rPr>
        <w:t>，右，逆序）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spacing w:before="52" w:line="186" w:lineRule="auto"/>
        <w:rPr>
          <w:rFonts w:ascii="Times New Roman" w:eastAsia="Times New Roman" w:hAnsi="Times New Roman" w:cs="Times New Roman"/>
          <w:sz w:val="18"/>
          <w:szCs w:val="18"/>
        </w:rPr>
      </w:pPr>
      <w:r>
        <w:pict>
          <v:shape id="_x0000_s1063" type="#_x0000_t202" style="width:18.15pt;height:10.05pt;margin-top:-38.25pt;margin-left:-0.82pt;position:absolute;z-index:251741184" filled="f" stroked="f">
            <o:lock v:ext="edit" aspectratio="f"/>
            <v:textbox inset="0,0,0,0">
              <w:txbxContent>
                <w:p>
                  <w:pPr>
                    <w:spacing w:before="20" w:line="186" w:lineRule="auto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30%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28%</w:t>
      </w:r>
    </w:p>
    <w:p>
      <w:pPr>
        <w:spacing w:line="348" w:lineRule="auto"/>
        <w:rPr>
          <w:rFonts w:ascii="Arial"/>
          <w:sz w:val="21"/>
        </w:rPr>
      </w:pPr>
    </w:p>
    <w:p>
      <w:pPr>
        <w:spacing w:line="186" w:lineRule="exact"/>
        <w:ind w:firstLine="6265"/>
      </w:pPr>
      <w:r>
        <w:rPr>
          <w:position w:val="-3"/>
        </w:rPr>
        <w:drawing>
          <wp:inline distT="0" distB="0" distL="0" distR="0">
            <wp:extent cx="280670" cy="118110"/>
            <wp:effectExtent l="0" t="0" r="0" b="0"/>
            <wp:docPr id="172" name="IM 1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 172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280670" cy="11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0" w:line="186" w:lineRule="auto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26%</w:t>
      </w:r>
    </w:p>
    <w:p>
      <w:pPr>
        <w:spacing w:before="42" w:line="562" w:lineRule="exact"/>
        <w:ind w:firstLine="1405"/>
      </w:pPr>
      <w:r>
        <w:rPr>
          <w:position w:val="-11"/>
        </w:rPr>
        <w:drawing>
          <wp:inline distT="0" distB="0" distL="0" distR="0">
            <wp:extent cx="199390" cy="356869"/>
            <wp:effectExtent l="0" t="0" r="0" b="0"/>
            <wp:docPr id="174" name="IM 1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 174"/>
                    <pic:cNvPicPr/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199390" cy="356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3" w:line="186" w:lineRule="auto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24%</w:t>
      </w:r>
    </w:p>
    <w:p>
      <w:pPr>
        <w:spacing w:before="105" w:line="216" w:lineRule="auto"/>
        <w:ind w:left="5566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C00000"/>
          <w:spacing w:val="-1"/>
          <w:sz w:val="18"/>
          <w:szCs w:val="18"/>
          <w14:textOutline w14:w="3265" w14:cap="rnd">
            <w14:solidFill>
              <w14:srgbClr w14:val="C00000"/>
            </w14:solidFill>
            <w14:prstDash w14:val="solid"/>
            <w14:round/>
          </w14:textOutline>
        </w:rPr>
        <w:t>政策层面阶段</w:t>
      </w:r>
    </w:p>
    <w:p>
      <w:pPr>
        <w:spacing w:before="5" w:line="221" w:lineRule="auto"/>
        <w:ind w:left="5571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C00000"/>
          <w:spacing w:val="-2"/>
          <w:sz w:val="18"/>
          <w:szCs w:val="18"/>
          <w14:textOutline w14:w="3265" w14:cap="rnd">
            <w14:solidFill>
              <w14:srgbClr w14:val="C00000"/>
            </w14:solidFill>
            <w14:prstDash w14:val="solid"/>
            <w14:round/>
          </w14:textOutline>
        </w:rPr>
        <w:t>性关注金融空</w:t>
      </w:r>
    </w:p>
    <w:p>
      <w:pPr>
        <w:spacing w:before="1" w:line="217" w:lineRule="auto"/>
        <w:ind w:left="5566"/>
        <w:rPr>
          <w:rFonts w:ascii="KaiTi" w:eastAsia="KaiTi" w:hAnsi="KaiTi" w:cs="KaiTi"/>
          <w:sz w:val="18"/>
          <w:szCs w:val="18"/>
        </w:rPr>
      </w:pPr>
      <w:r>
        <w:pict>
          <v:shape id="_x0000_s1064" type="#_x0000_t202" style="width:18.35pt;height:10.05pt;margin-top:3.99pt;margin-left:-1pt;position:absolute;z-index:251740160" filled="f" stroked="f">
            <o:lock v:ext="edit" aspectratio="f"/>
            <v:textbox inset="0,0,0,0">
              <w:txbxContent>
                <w:p>
                  <w:pPr>
                    <w:spacing w:before="19" w:line="187" w:lineRule="auto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22%</w:t>
                  </w:r>
                </w:p>
              </w:txbxContent>
            </v:textbox>
          </v:shape>
        </w:pict>
      </w:r>
      <w:r>
        <w:rPr>
          <w:rFonts w:ascii="KaiTi" w:eastAsia="KaiTi" w:hAnsi="KaiTi" w:cs="KaiTi"/>
          <w:color w:val="C00000"/>
          <w:spacing w:val="-1"/>
          <w:sz w:val="18"/>
          <w:szCs w:val="18"/>
          <w14:textOutline w14:w="3265" w14:cap="rnd">
            <w14:solidFill>
              <w14:srgbClr w14:val="C00000"/>
            </w14:solidFill>
            <w14:prstDash w14:val="solid"/>
            <w14:round/>
          </w14:textOutline>
        </w:rPr>
        <w:t>转问题及汇率</w:t>
      </w:r>
    </w:p>
    <w:p>
      <w:pPr>
        <w:spacing w:before="4" w:line="212" w:lineRule="auto"/>
        <w:ind w:left="5562"/>
        <w:rPr>
          <w:rFonts w:ascii="KaiTi" w:eastAsia="KaiTi" w:hAnsi="KaiTi" w:cs="KaiTi"/>
          <w:sz w:val="18"/>
          <w:szCs w:val="18"/>
        </w:rPr>
      </w:pPr>
      <w:r>
        <w:pict>
          <v:shape id="_x0000_s1065" type="#_x0000_t202" style="width:199.9pt;height:34.1pt;margin-top:-1.23pt;margin-left:61.4pt;position:absolute;z-index:251739136" filled="f" stroked="f">
            <o:lock v:ext="edit" aspectratio="f"/>
            <v:textbox inset="0,0,0,0">
              <w:txbxContent>
                <w:p>
                  <w:pPr>
                    <w:spacing w:before="21" w:line="219" w:lineRule="auto"/>
                    <w:ind w:left="20" w:right="20" w:firstLine="4"/>
                    <w:jc w:val="both"/>
                    <w:rPr>
                      <w:rFonts w:ascii="KaiTi" w:eastAsia="KaiTi" w:hAnsi="KaiTi" w:cs="KaiTi"/>
                      <w:sz w:val="18"/>
                      <w:szCs w:val="18"/>
                    </w:rPr>
                  </w:pPr>
                  <w:r>
                    <w:rPr>
                      <w:rFonts w:ascii="KaiTi" w:eastAsia="KaiTi" w:hAnsi="KaiTi" w:cs="KaiTi"/>
                      <w:color w:val="C00000"/>
                      <w:spacing w:val="-5"/>
                      <w:sz w:val="18"/>
                      <w:szCs w:val="18"/>
                      <w14:textOutline w14:w="3265" w14:cap="rnd">
                        <w14:solidFill>
                          <w14:srgbClr w14:val="C00000"/>
                        </w14:solidFill>
                        <w14:prstDash w14:val="solid"/>
                        <w14:round/>
                      </w14:textOutline>
                    </w:rPr>
                    <w:t>3月央行降准+MLF超量续作；</w:t>
                  </w:r>
                  <w:r>
                    <w:rPr>
                      <w:rFonts w:ascii="KaiTi" w:eastAsia="KaiTi" w:hAnsi="KaiTi" w:cs="KaiTi"/>
                      <w:color w:val="C00000"/>
                      <w:spacing w:val="32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color w:val="C00000"/>
                      <w:spacing w:val="-5"/>
                      <w:sz w:val="18"/>
                      <w:szCs w:val="18"/>
                      <w14:textOutline w14:w="3265" w14:cap="rnd">
                        <w14:solidFill>
                          <w14:srgbClr w14:val="C00000"/>
                        </w14:solidFill>
                        <w14:prstDash w14:val="solid"/>
                        <w14:round/>
                      </w14:textOutline>
                    </w:rPr>
                    <w:t>4月政治局</w:t>
                  </w:r>
                  <w:r>
                    <w:rPr>
                      <w:rFonts w:ascii="KaiTi" w:eastAsia="KaiTi" w:hAnsi="KaiTi" w:cs="KaiTi"/>
                      <w:color w:val="C00000"/>
                      <w:spacing w:val="-6"/>
                      <w:sz w:val="18"/>
                      <w:szCs w:val="18"/>
                      <w14:textOutline w14:w="3265" w14:cap="rnd">
                        <w14:solidFill>
                          <w14:srgbClr w14:val="C00000"/>
                        </w14:solidFill>
                        <w14:prstDash w14:val="solid"/>
                        <w14:round/>
                      </w14:textOutline>
                    </w:rPr>
                    <w:t>会议稳增长</w:t>
                  </w:r>
                  <w:r>
                    <w:rPr>
                      <w:rFonts w:ascii="KaiTi" w:eastAsia="KaiTi" w:hAnsi="KaiTi" w:cs="KaiTi"/>
                      <w:color w:val="C00000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color w:val="C00000"/>
                      <w:spacing w:val="-7"/>
                      <w:sz w:val="18"/>
                      <w:szCs w:val="18"/>
                      <w14:textOutline w14:w="3265" w14:cap="rnd">
                        <w14:solidFill>
                          <w14:srgbClr w14:val="C00000"/>
                        </w14:solidFill>
                        <w14:prstDash w14:val="solid"/>
                        <w14:round/>
                      </w14:textOutline>
                    </w:rPr>
                    <w:t>表述不强；</w:t>
                  </w:r>
                  <w:r>
                    <w:rPr>
                      <w:rFonts w:ascii="KaiTi" w:eastAsia="KaiTi" w:hAnsi="KaiTi" w:cs="KaiTi"/>
                      <w:color w:val="C00000"/>
                      <w:spacing w:val="47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color w:val="C00000"/>
                      <w:spacing w:val="-7"/>
                      <w:sz w:val="18"/>
                      <w:szCs w:val="18"/>
                      <w14:textOutline w14:w="3265" w14:cap="rnd">
                        <w14:solidFill>
                          <w14:srgbClr w14:val="C00000"/>
                        </w14:solidFill>
                        <w14:prstDash w14:val="solid"/>
                        <w14:round/>
                      </w14:textOutline>
                    </w:rPr>
                    <w:t>3-6月，制造业PM</w:t>
                  </w:r>
                  <w:r>
                    <w:rPr>
                      <w:rFonts w:ascii="KaiTi" w:eastAsia="KaiTi" w:hAnsi="KaiTi" w:cs="KaiTi"/>
                      <w:color w:val="C00000"/>
                      <w:spacing w:val="-56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color w:val="C00000"/>
                      <w:spacing w:val="-7"/>
                      <w:sz w:val="18"/>
                      <w:szCs w:val="18"/>
                      <w14:textOutline w14:w="3265" w14:cap="rnd">
                        <w14:solidFill>
                          <w14:srgbClr w14:val="C00000"/>
                        </w14:solidFill>
                        <w14:prstDash w14:val="solid"/>
                        <w14:round/>
                      </w14:textOutline>
                    </w:rPr>
                    <w:t>I处于下行阶段，央行</w:t>
                  </w:r>
                  <w:r>
                    <w:rPr>
                      <w:rFonts w:ascii="KaiTi" w:eastAsia="KaiTi" w:hAnsi="KaiTi" w:cs="KaiTi"/>
                      <w:color w:val="C00000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color w:val="C00000"/>
                      <w:sz w:val="18"/>
                      <w:szCs w:val="18"/>
                      <w14:textOutline w14:w="3265" w14:cap="rnd">
                        <w14:solidFill>
                          <w14:srgbClr w14:val="C00000"/>
                        </w14:solidFill>
                        <w14:prstDash w14:val="solid"/>
                        <w14:round/>
                      </w14:textOutline>
                    </w:rPr>
                    <w:t>MLF持续超量续作；三季度央行再次降息+</w:t>
                  </w:r>
                  <w:r>
                    <w:rPr>
                      <w:rFonts w:ascii="KaiTi" w:eastAsia="KaiTi" w:hAnsi="KaiTi" w:cs="KaiTi"/>
                      <w:color w:val="C00000"/>
                      <w:spacing w:val="-1"/>
                      <w:sz w:val="18"/>
                      <w:szCs w:val="18"/>
                      <w14:textOutline w14:w="3265" w14:cap="rnd">
                        <w14:solidFill>
                          <w14:srgbClr w14:val="C00000"/>
                        </w14:solidFill>
                        <w14:prstDash w14:val="solid"/>
                        <w14:round/>
                      </w14:textOutline>
                    </w:rPr>
                    <w:t>稳增长政</w:t>
                  </w:r>
                </w:p>
              </w:txbxContent>
            </v:textbox>
          </v:shape>
        </w:pict>
      </w:r>
      <w:r>
        <w:rPr>
          <w:rFonts w:ascii="KaiTi" w:eastAsia="KaiTi" w:hAnsi="KaiTi" w:cs="KaiTi"/>
          <w:color w:val="C00000"/>
          <w:spacing w:val="-1"/>
          <w:sz w:val="18"/>
          <w:szCs w:val="18"/>
          <w14:textOutline w14:w="3265" w14:cap="rnd">
            <w14:solidFill>
              <w14:srgbClr w14:val="C00000"/>
            </w14:solidFill>
            <w14:prstDash w14:val="solid"/>
            <w14:round/>
          </w14:textOutline>
        </w:rPr>
        <w:t>压力，资金面</w:t>
      </w:r>
    </w:p>
    <w:p>
      <w:pPr>
        <w:spacing w:before="10" w:line="217" w:lineRule="auto"/>
        <w:ind w:left="5748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C00000"/>
          <w:spacing w:val="-2"/>
          <w:sz w:val="18"/>
          <w:szCs w:val="18"/>
          <w14:textOutline w14:w="3265" w14:cap="rnd">
            <w14:solidFill>
              <w14:srgbClr w14:val="C00000"/>
            </w14:solidFill>
            <w14:prstDash w14:val="solid"/>
            <w14:round/>
          </w14:textOutline>
        </w:rPr>
        <w:t>有所波动</w:t>
      </w:r>
    </w:p>
    <w:p>
      <w:pPr>
        <w:spacing w:before="253" w:line="186" w:lineRule="auto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20%</w:t>
      </w:r>
    </w:p>
    <w:p>
      <w:pPr>
        <w:spacing w:before="48" w:line="190" w:lineRule="auto"/>
        <w:ind w:left="199"/>
        <w:rPr>
          <w:rFonts w:ascii="Times New Roman" w:eastAsia="Times New Roman" w:hAnsi="Times New Roman" w:cs="Times New Roman"/>
          <w:sz w:val="18"/>
          <w:szCs w:val="18"/>
        </w:rPr>
      </w:pPr>
      <w:r>
        <w:pict>
          <v:shape id="_x0000_s1066" style="width:0.5pt;height:183.95pt;margin-top:-179.44pt;margin-left:351.06pt;position:absolute;z-index:251742208" coordorigin="0,0" coordsize="10,3678" path="m5,3678l5,e" filled="f" strokecolor="#0d0d0d" strokeweight="0.5pt">
            <v:stroke joinstyle="miter" dashstyle="dash"/>
          </v:shape>
        </w:pict>
      </w:r>
      <w:r>
        <w:rPr>
          <w:rFonts w:ascii="Times New Roman" w:eastAsia="Times New Roman" w:hAnsi="Times New Roman" w:cs="Times New Roman"/>
          <w:sz w:val="18"/>
          <w:szCs w:val="18"/>
        </w:rPr>
        <w:t>2023/01               2023/03                 2023/05                2023/0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7                 2023/09                 2023/11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54" w:lineRule="auto"/>
        <w:rPr>
          <w:rFonts w:ascii="Arial"/>
          <w:sz w:val="21"/>
        </w:rPr>
      </w:pPr>
    </w:p>
    <w:p>
      <w:pPr>
        <w:spacing w:before="52" w:line="186" w:lineRule="auto"/>
        <w:ind w:left="43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2.5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52" w:line="186" w:lineRule="auto"/>
        <w:ind w:left="43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2.6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52" w:line="186" w:lineRule="auto"/>
        <w:ind w:left="43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2.7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52" w:line="186" w:lineRule="auto"/>
        <w:ind w:left="43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2.8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52" w:line="186" w:lineRule="auto"/>
        <w:ind w:left="43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2.9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52" w:line="186" w:lineRule="auto"/>
        <w:ind w:left="46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3.0</w:t>
      </w:r>
    </w:p>
    <w:p>
      <w:pPr>
        <w:spacing w:line="186" w:lineRule="auto"/>
        <w:rPr>
          <w:rFonts w:ascii="Times New Roman" w:eastAsia="Times New Roman" w:hAnsi="Times New Roman" w:cs="Times New Roman"/>
          <w:sz w:val="18"/>
          <w:szCs w:val="18"/>
        </w:rPr>
        <w:sectPr>
          <w:headerReference w:type="default" r:id="rId79"/>
          <w:footerReference w:type="default" r:id="rId80"/>
          <w:type w:val="nextPage"/>
          <w:pgSz w:w="19200" w:h="10800"/>
          <w:pgMar w:top="400" w:right="0" w:bottom="1" w:left="0" w:header="0" w:footer="0" w:gutter="0"/>
          <w:pgNumType w:start="10"/>
          <w:cols w:num="3" w:space="708" w:equalWidth="0">
            <w:col w:w="9956" w:space="100"/>
            <w:col w:w="8325" w:space="100"/>
            <w:col w:w="720" w:space="0"/>
          </w:cols>
          <w:titlePg w:val="0"/>
        </w:sectPr>
      </w:pPr>
    </w:p>
    <w:p>
      <w:pPr>
        <w:spacing w:before="164" w:line="172" w:lineRule="exact"/>
        <w:ind w:left="1820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FFFFFF"/>
          <w:position w:val="-3"/>
          <w:sz w:val="24"/>
          <w:szCs w:val="24"/>
        </w:rPr>
        <w:t>4</w:t>
      </w:r>
    </w:p>
    <w:p>
      <w:pPr>
        <w:spacing w:line="172" w:lineRule="exact"/>
        <w:rPr>
          <w:rFonts w:ascii="Arial" w:eastAsia="Arial" w:hAnsi="Arial" w:cs="Arial"/>
          <w:sz w:val="24"/>
          <w:szCs w:val="24"/>
        </w:rPr>
        <w:sectPr>
          <w:headerReference w:type="default" r:id="rId81"/>
          <w:footerReference w:type="default" r:id="rId82"/>
          <w:type w:val="continuous"/>
          <w:pgSz w:w="19200" w:h="10800"/>
          <w:pgMar w:top="400" w:right="0" w:bottom="1" w:left="0" w:header="0" w:footer="0" w:gutter="0"/>
          <w:pgNumType w:start="11"/>
          <w:cols w:num="1" w:space="708" w:equalWidth="0">
            <w:col w:w="19200" w:space="0"/>
          </w:cols>
        </w:sectPr>
      </w:pPr>
    </w:p>
    <w:p>
      <w:pPr>
        <w:pStyle w:val="BodyText"/>
        <w:tabs>
          <w:tab w:val="left" w:pos="1595"/>
        </w:tabs>
        <w:spacing w:before="367" w:line="193" w:lineRule="auto"/>
        <w:ind w:left="1327"/>
        <w:rPr>
          <w:sz w:val="56"/>
          <w:szCs w:val="56"/>
        </w:rPr>
      </w:pPr>
      <w:r>
        <w:pict>
          <v:shape id="_x0000_s1067" type="#_x0000_t202" style="width:33.6pt;height:12.7pt;margin-top:437.41pt;margin-left:428.7pt;mso-position-horizontal-relative:page;mso-position-vertical-relative:page;position:absolute;z-index:251744256" o:allowincell="f" filled="f" stroked="f">
            <o:lock v:ext="edit" aspectratio="f"/>
            <v:textbox inset="0,0,0,0">
              <w:txbxContent>
                <w:p>
                  <w:pPr>
                    <w:spacing w:before="20" w:line="186" w:lineRule="auto"/>
                    <w:ind w:left="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4"/>
                      <w:szCs w:val="24"/>
                    </w:rPr>
                    <w:t>127.76</w:t>
                  </w:r>
                </w:p>
              </w:txbxContent>
            </v:textbox>
          </v:shape>
        </w:pict>
      </w:r>
      <w:r>
        <w:pict>
          <v:shape id="_x0000_s1068" type="#_x0000_t202" style="width:46.05pt;height:181.4pt;margin-top:254.4pt;margin-left:476.2pt;mso-position-horizontal-relative:page;mso-position-vertical-relative:page;position:absolute;z-index:251743232" o:allowincell="f" filled="f" stroked="f">
            <o:lock v:ext="edit" aspectratio="f"/>
            <v:textbox inset="0,0,0,0">
              <w:txbxContent>
                <w:p>
                  <w:pPr>
                    <w:spacing w:before="13" w:line="232" w:lineRule="auto"/>
                    <w:ind w:left="20" w:right="20" w:firstLine="6"/>
                    <w:jc w:val="both"/>
                    <w:rPr>
                      <w:rFonts w:ascii="KaiTi" w:eastAsia="KaiTi" w:hAnsi="KaiTi" w:cs="KaiTi"/>
                      <w:sz w:val="22"/>
                      <w:szCs w:val="22"/>
                    </w:rPr>
                  </w:pPr>
                  <w:r>
                    <w:rPr>
                      <w:rFonts w:ascii="KaiTi" w:eastAsia="KaiTi" w:hAnsi="KaiTi" w:cs="KaiTi"/>
                      <w:spacing w:val="-2"/>
                      <w:sz w:val="22"/>
                      <w:szCs w:val="22"/>
                    </w:rPr>
                    <w:t>蓝盾转债</w:t>
                  </w:r>
                  <w:r>
                    <w:rPr>
                      <w:rFonts w:ascii="KaiTi" w:eastAsia="KaiTi" w:hAnsi="KaiTi" w:cs="KaiTi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z w:val="22"/>
                      <w:szCs w:val="22"/>
                    </w:rPr>
                    <w:t>搜特转债</w:t>
                  </w:r>
                  <w:r>
                    <w:rPr>
                      <w:rFonts w:ascii="KaiTi" w:eastAsia="KaiTi" w:hAnsi="KaiTi" w:cs="KaiTi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z w:val="22"/>
                      <w:szCs w:val="22"/>
                    </w:rPr>
                    <w:t>小康转债</w:t>
                  </w:r>
                  <w:r>
                    <w:rPr>
                      <w:rFonts w:ascii="KaiTi" w:eastAsia="KaiTi" w:hAnsi="KaiTi" w:cs="KaiTi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z w:val="22"/>
                      <w:szCs w:val="22"/>
                    </w:rPr>
                    <w:t>恩捷转债</w:t>
                  </w:r>
                  <w:r>
                    <w:rPr>
                      <w:rFonts w:ascii="KaiTi" w:eastAsia="KaiTi" w:hAnsi="KaiTi" w:cs="KaiTi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z w:val="22"/>
                      <w:szCs w:val="22"/>
                    </w:rPr>
                    <w:t>中矿转债</w:t>
                  </w:r>
                  <w:r>
                    <w:rPr>
                      <w:rFonts w:ascii="KaiTi" w:eastAsia="KaiTi" w:hAnsi="KaiTi" w:cs="KaiTi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z w:val="22"/>
                      <w:szCs w:val="22"/>
                    </w:rPr>
                    <w:t>鼎胜转债</w:t>
                  </w:r>
                  <w:r>
                    <w:rPr>
                      <w:rFonts w:ascii="KaiTi" w:eastAsia="KaiTi" w:hAnsi="KaiTi" w:cs="KaiTi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z w:val="22"/>
                      <w:szCs w:val="22"/>
                    </w:rPr>
                    <w:t>明泰转债</w:t>
                  </w:r>
                  <w:r>
                    <w:rPr>
                      <w:rFonts w:ascii="KaiTi" w:eastAsia="KaiTi" w:hAnsi="KaiTi" w:cs="KaiTi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z w:val="22"/>
                      <w:szCs w:val="22"/>
                    </w:rPr>
                    <w:t>模塑转债</w:t>
                  </w:r>
                  <w:r>
                    <w:rPr>
                      <w:rFonts w:ascii="KaiTi" w:eastAsia="KaiTi" w:hAnsi="KaiTi" w:cs="KaiTi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z w:val="22"/>
                      <w:szCs w:val="22"/>
                    </w:rPr>
                    <w:t>鸿达转债</w:t>
                  </w:r>
                  <w:r>
                    <w:rPr>
                      <w:rFonts w:ascii="KaiTi" w:eastAsia="KaiTi" w:hAnsi="KaiTi" w:cs="KaiTi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z w:val="22"/>
                      <w:szCs w:val="22"/>
                    </w:rPr>
                    <w:t>斯莱转债</w:t>
                  </w:r>
                  <w:r>
                    <w:rPr>
                      <w:rFonts w:ascii="KaiTi" w:eastAsia="KaiTi" w:hAnsi="KaiTi" w:cs="KaiTi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z w:val="22"/>
                      <w:szCs w:val="22"/>
                    </w:rPr>
                    <w:t>贵广转债</w:t>
                  </w:r>
                  <w:r>
                    <w:rPr>
                      <w:rFonts w:ascii="KaiTi" w:eastAsia="KaiTi" w:hAnsi="KaiTi" w:cs="KaiTi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z w:val="22"/>
                      <w:szCs w:val="22"/>
                    </w:rPr>
                    <w:t>文灿转债</w:t>
                  </w:r>
                  <w:r>
                    <w:rPr>
                      <w:rFonts w:ascii="KaiTi" w:eastAsia="KaiTi" w:hAnsi="KaiTi" w:cs="KaiTi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z w:val="22"/>
                      <w:szCs w:val="22"/>
                    </w:rPr>
                    <w:t>火炬转债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45280" behindDoc="0" locked="0" layoutInCell="1" allowOverlap="1">
            <wp:simplePos x="0" y="0"/>
            <wp:positionH relativeFrom="column">
              <wp:posOffset>9852476</wp:posOffset>
            </wp:positionH>
            <wp:positionV relativeFrom="paragraph">
              <wp:posOffset>75472</wp:posOffset>
            </wp:positionV>
            <wp:extent cx="2022207" cy="444500"/>
            <wp:effectExtent l="0" t="0" r="0" b="0"/>
            <wp:wrapNone/>
            <wp:docPr id="178" name="IM 1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 17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22207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color w:val="FFFFFF"/>
          <w:sz w:val="48"/>
          <w:szCs w:val="48"/>
          <w:shd w:val="clear" w:color="auto" w:fill="DF2023"/>
        </w:rPr>
        <w:tab/>
      </w:r>
      <w:r>
        <w:rPr>
          <w:rFonts w:ascii="Arial" w:eastAsia="Arial" w:hAnsi="Arial" w:cs="Arial"/>
          <w:b/>
          <w:bCs/>
          <w:color w:val="FFFFFF"/>
          <w:sz w:val="48"/>
          <w:szCs w:val="48"/>
          <w:shd w:val="clear" w:color="auto" w:fill="DF2023"/>
        </w:rPr>
        <w:t>01</w:t>
      </w:r>
      <w:r>
        <w:rPr>
          <w:rFonts w:ascii="Arial" w:eastAsia="Arial" w:hAnsi="Arial" w:cs="Arial"/>
          <w:b/>
          <w:bCs/>
          <w:color w:val="FFFFFF"/>
          <w:spacing w:val="117"/>
          <w:sz w:val="48"/>
          <w:szCs w:val="48"/>
          <w:shd w:val="clear" w:color="auto" w:fill="DF2023"/>
        </w:rPr>
        <w:t xml:space="preserve"> </w:t>
      </w:r>
      <w:r>
        <w:rPr>
          <w:rFonts w:ascii="Arial" w:eastAsia="Arial" w:hAnsi="Arial" w:cs="Arial"/>
          <w:b/>
          <w:bCs/>
          <w:color w:val="FFFFFF"/>
          <w:sz w:val="48"/>
          <w:szCs w:val="48"/>
        </w:rPr>
        <w:t xml:space="preserve">  </w:t>
      </w:r>
      <w:r>
        <w:rPr>
          <w:b/>
          <w:bCs/>
          <w:color w:val="E10000"/>
          <w:sz w:val="56"/>
          <w:szCs w:val="56"/>
        </w:rPr>
        <w:t>2023年个券机会来源总结——AI+与</w:t>
      </w:r>
      <w:r>
        <w:rPr>
          <w:b/>
          <w:bCs/>
          <w:color w:val="E10000"/>
          <w:spacing w:val="-1"/>
          <w:sz w:val="56"/>
          <w:szCs w:val="56"/>
        </w:rPr>
        <w:t>传统赛道两极分化</w:t>
      </w:r>
    </w:p>
    <w:p>
      <w:pPr>
        <w:pStyle w:val="BodyText"/>
        <w:spacing w:before="223" w:line="223" w:lineRule="auto"/>
        <w:ind w:left="1873" w:right="1333" w:hanging="531"/>
        <w:rPr>
          <w:sz w:val="28"/>
          <w:szCs w:val="28"/>
        </w:rPr>
      </w:pPr>
      <w:r>
        <w:rPr>
          <w:rFonts w:ascii="Arial" w:eastAsia="Arial" w:hAnsi="Arial" w:cs="Arial"/>
          <w:color w:val="595959"/>
          <w:spacing w:val="-3"/>
          <w:sz w:val="28"/>
          <w:szCs w:val="28"/>
        </w:rPr>
        <w:t xml:space="preserve">•     </w:t>
      </w:r>
      <w:r>
        <w:rPr>
          <w:b/>
          <w:bCs/>
          <w:color w:val="595959"/>
          <w:spacing w:val="-3"/>
          <w:sz w:val="28"/>
          <w:szCs w:val="28"/>
        </w:rPr>
        <w:t>全年来看，   1-4月&amp;6月&amp;10-1</w:t>
      </w:r>
      <w:r>
        <w:rPr>
          <w:b/>
          <w:bCs/>
          <w:color w:val="595959"/>
          <w:spacing w:val="-4"/>
          <w:sz w:val="28"/>
          <w:szCs w:val="28"/>
        </w:rPr>
        <w:t>1月的AI行情，是反复获得催化的核心方向。全年涨幅前五的除了业绩大增&amp;预期高增的惠城转债 ，</w:t>
      </w:r>
      <w:r>
        <w:rPr>
          <w:b/>
          <w:bCs/>
          <w:color w:val="595959"/>
          <w:sz w:val="28"/>
          <w:szCs w:val="28"/>
        </w:rPr>
        <w:t xml:space="preserve"> </w:t>
      </w:r>
      <w:r>
        <w:rPr>
          <w:b/>
          <w:bCs/>
          <w:color w:val="595959"/>
          <w:spacing w:val="-4"/>
          <w:sz w:val="28"/>
          <w:szCs w:val="28"/>
        </w:rPr>
        <w:t>其余4个均为AI相关品种。</w:t>
      </w:r>
    </w:p>
    <w:p>
      <w:pPr>
        <w:pStyle w:val="BodyText"/>
        <w:spacing w:before="114" w:line="190" w:lineRule="auto"/>
        <w:ind w:left="1342"/>
        <w:rPr>
          <w:sz w:val="28"/>
          <w:szCs w:val="28"/>
        </w:rPr>
      </w:pPr>
      <w:r>
        <w:rPr>
          <w:rFonts w:ascii="Arial" w:eastAsia="Arial" w:hAnsi="Arial" w:cs="Arial"/>
          <w:color w:val="595959"/>
          <w:sz w:val="28"/>
          <w:szCs w:val="28"/>
        </w:rPr>
        <w:t xml:space="preserve">•     </w:t>
      </w:r>
      <w:r>
        <w:rPr>
          <w:b/>
          <w:bCs/>
          <w:color w:val="595959"/>
          <w:sz w:val="28"/>
          <w:szCs w:val="28"/>
        </w:rPr>
        <w:t>除了退市转债（信用风险</w:t>
      </w:r>
      <w:r>
        <w:rPr>
          <w:b/>
          <w:bCs/>
          <w:color w:val="595959"/>
          <w:spacing w:val="-1"/>
          <w:sz w:val="28"/>
          <w:szCs w:val="28"/>
        </w:rPr>
        <w:t>），</w:t>
      </w:r>
      <w:r>
        <w:rPr>
          <w:b/>
          <w:bCs/>
          <w:color w:val="595959"/>
          <w:sz w:val="28"/>
          <w:szCs w:val="28"/>
        </w:rPr>
        <w:t>传统赛道品种则是2023年受</w:t>
      </w:r>
      <w:r>
        <w:rPr>
          <w:b/>
          <w:bCs/>
          <w:color w:val="595959"/>
          <w:spacing w:val="-1"/>
          <w:sz w:val="28"/>
          <w:szCs w:val="28"/>
        </w:rPr>
        <w:t>损最严重的方向。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37" w:line="194" w:lineRule="auto"/>
        <w:ind w:left="7464"/>
        <w:rPr>
          <w:sz w:val="32"/>
          <w:szCs w:val="32"/>
        </w:rPr>
      </w:pPr>
      <w:r>
        <w:rPr>
          <w:b/>
          <w:bCs/>
          <w:color w:val="262673"/>
          <w:spacing w:val="-1"/>
          <w:sz w:val="32"/>
          <w:szCs w:val="32"/>
        </w:rPr>
        <w:t>AI+与传统赛道两极分化</w:t>
      </w:r>
    </w:p>
    <w:p>
      <w:pPr>
        <w:spacing w:line="143" w:lineRule="exact"/>
      </w:pPr>
    </w:p>
    <w:p>
      <w:pPr>
        <w:spacing w:line="143" w:lineRule="exact"/>
        <w:sectPr>
          <w:headerReference w:type="default" r:id="rId83"/>
          <w:footerReference w:type="default" r:id="rId84"/>
          <w:pgSz w:w="19200" w:h="10800"/>
          <w:pgMar w:top="400" w:right="0" w:bottom="252" w:left="0" w:header="0" w:footer="32" w:gutter="0"/>
          <w:pgNumType w:start="12"/>
          <w:cols w:num="1" w:space="708" w:equalWidth="0">
            <w:col w:w="19200" w:space="0"/>
          </w:cols>
        </w:sectPr>
      </w:pPr>
    </w:p>
    <w:p>
      <w:pPr>
        <w:spacing w:line="323" w:lineRule="auto"/>
        <w:rPr>
          <w:rFonts w:ascii="Arial"/>
          <w:sz w:val="21"/>
        </w:rPr>
      </w:pPr>
    </w:p>
    <w:p>
      <w:pPr>
        <w:spacing w:before="79" w:line="203" w:lineRule="auto"/>
        <w:ind w:left="617" w:right="51" w:firstLine="4"/>
        <w:jc w:val="both"/>
        <w:rPr>
          <w:rFonts w:ascii="KaiTi" w:eastAsia="KaiTi" w:hAnsi="KaiTi" w:cs="KaiTi"/>
          <w:sz w:val="24"/>
          <w:szCs w:val="24"/>
        </w:rPr>
      </w:pPr>
      <w:r>
        <w:rPr>
          <w:rFonts w:ascii="KaiTi" w:eastAsia="KaiTi" w:hAnsi="KaiTi" w:cs="KaiTi"/>
          <w:spacing w:val="-2"/>
          <w:sz w:val="24"/>
          <w:szCs w:val="24"/>
        </w:rPr>
        <w:t>联得转债</w:t>
      </w:r>
      <w:r>
        <w:rPr>
          <w:rFonts w:ascii="KaiTi" w:eastAsia="KaiTi" w:hAnsi="KaiTi" w:cs="KaiTi"/>
          <w:spacing w:val="2"/>
          <w:sz w:val="24"/>
          <w:szCs w:val="24"/>
        </w:rPr>
        <w:t xml:space="preserve"> </w:t>
      </w:r>
      <w:r>
        <w:rPr>
          <w:rFonts w:ascii="KaiTi" w:eastAsia="KaiTi" w:hAnsi="KaiTi" w:cs="KaiTi"/>
          <w:sz w:val="24"/>
          <w:szCs w:val="24"/>
        </w:rPr>
        <w:t>丝路转债</w:t>
      </w:r>
      <w:r>
        <w:rPr>
          <w:rFonts w:ascii="KaiTi" w:eastAsia="KaiTi" w:hAnsi="KaiTi" w:cs="KaiTi"/>
          <w:sz w:val="24"/>
          <w:szCs w:val="24"/>
        </w:rPr>
        <w:t xml:space="preserve"> </w:t>
      </w:r>
      <w:r>
        <w:rPr>
          <w:rFonts w:ascii="KaiTi" w:eastAsia="KaiTi" w:hAnsi="KaiTi" w:cs="KaiTi"/>
          <w:sz w:val="24"/>
          <w:szCs w:val="24"/>
        </w:rPr>
        <w:t>欧晶转债</w:t>
      </w:r>
      <w:r>
        <w:rPr>
          <w:rFonts w:ascii="KaiTi" w:eastAsia="KaiTi" w:hAnsi="KaiTi" w:cs="KaiTi"/>
          <w:sz w:val="24"/>
          <w:szCs w:val="24"/>
        </w:rPr>
        <w:t xml:space="preserve"> </w:t>
      </w:r>
      <w:r>
        <w:rPr>
          <w:rFonts w:ascii="KaiTi" w:eastAsia="KaiTi" w:hAnsi="KaiTi" w:cs="KaiTi"/>
          <w:sz w:val="24"/>
          <w:szCs w:val="24"/>
        </w:rPr>
        <w:t>深科转债</w:t>
      </w:r>
      <w:r>
        <w:rPr>
          <w:rFonts w:ascii="KaiTi" w:eastAsia="KaiTi" w:hAnsi="KaiTi" w:cs="KaiTi"/>
          <w:sz w:val="24"/>
          <w:szCs w:val="24"/>
        </w:rPr>
        <w:t xml:space="preserve"> </w:t>
      </w:r>
      <w:r>
        <w:rPr>
          <w:rFonts w:ascii="KaiTi" w:eastAsia="KaiTi" w:hAnsi="KaiTi" w:cs="KaiTi"/>
          <w:sz w:val="24"/>
          <w:szCs w:val="24"/>
        </w:rPr>
        <w:t>思特转债</w:t>
      </w:r>
      <w:r>
        <w:rPr>
          <w:rFonts w:ascii="KaiTi" w:eastAsia="KaiTi" w:hAnsi="KaiTi" w:cs="KaiTi"/>
          <w:sz w:val="24"/>
          <w:szCs w:val="24"/>
        </w:rPr>
        <w:t xml:space="preserve"> </w:t>
      </w:r>
      <w:r>
        <w:rPr>
          <w:rFonts w:ascii="KaiTi" w:eastAsia="KaiTi" w:hAnsi="KaiTi" w:cs="KaiTi"/>
          <w:sz w:val="24"/>
          <w:szCs w:val="24"/>
        </w:rPr>
        <w:t>太极转债</w:t>
      </w:r>
      <w:r>
        <w:rPr>
          <w:rFonts w:ascii="KaiTi" w:eastAsia="KaiTi" w:hAnsi="KaiTi" w:cs="KaiTi"/>
          <w:sz w:val="24"/>
          <w:szCs w:val="24"/>
        </w:rPr>
        <w:t xml:space="preserve"> </w:t>
      </w:r>
      <w:r>
        <w:rPr>
          <w:rFonts w:ascii="KaiTi" w:eastAsia="KaiTi" w:hAnsi="KaiTi" w:cs="KaiTi"/>
          <w:sz w:val="24"/>
          <w:szCs w:val="24"/>
        </w:rPr>
        <w:t>东湖转债</w:t>
      </w:r>
      <w:r>
        <w:rPr>
          <w:rFonts w:ascii="KaiTi" w:eastAsia="KaiTi" w:hAnsi="KaiTi" w:cs="KaiTi"/>
          <w:sz w:val="24"/>
          <w:szCs w:val="24"/>
        </w:rPr>
        <w:t xml:space="preserve"> </w:t>
      </w:r>
      <w:r>
        <w:rPr>
          <w:rFonts w:ascii="KaiTi" w:eastAsia="KaiTi" w:hAnsi="KaiTi" w:cs="KaiTi"/>
          <w:sz w:val="24"/>
          <w:szCs w:val="24"/>
        </w:rPr>
        <w:t>润达转债</w:t>
      </w:r>
      <w:r>
        <w:rPr>
          <w:rFonts w:ascii="KaiTi" w:eastAsia="KaiTi" w:hAnsi="KaiTi" w:cs="KaiTi"/>
          <w:sz w:val="24"/>
          <w:szCs w:val="24"/>
        </w:rPr>
        <w:t xml:space="preserve"> </w:t>
      </w:r>
      <w:r>
        <w:rPr>
          <w:rFonts w:ascii="KaiTi" w:eastAsia="KaiTi" w:hAnsi="KaiTi" w:cs="KaiTi"/>
          <w:sz w:val="24"/>
          <w:szCs w:val="24"/>
        </w:rPr>
        <w:t>三羊转债</w:t>
      </w:r>
      <w:r>
        <w:rPr>
          <w:rFonts w:ascii="KaiTi" w:eastAsia="KaiTi" w:hAnsi="KaiTi" w:cs="KaiTi"/>
          <w:sz w:val="24"/>
          <w:szCs w:val="24"/>
        </w:rPr>
        <w:t xml:space="preserve"> </w:t>
      </w:r>
      <w:r>
        <w:rPr>
          <w:rFonts w:ascii="KaiTi" w:eastAsia="KaiTi" w:hAnsi="KaiTi" w:cs="KaiTi"/>
          <w:sz w:val="24"/>
          <w:szCs w:val="24"/>
        </w:rPr>
        <w:t>金诚转债</w:t>
      </w:r>
      <w:r>
        <w:rPr>
          <w:rFonts w:ascii="KaiTi" w:eastAsia="KaiTi" w:hAnsi="KaiTi" w:cs="KaiTi"/>
          <w:sz w:val="24"/>
          <w:szCs w:val="24"/>
        </w:rPr>
        <w:t xml:space="preserve"> </w:t>
      </w:r>
      <w:r>
        <w:rPr>
          <w:rFonts w:ascii="KaiTi" w:eastAsia="KaiTi" w:hAnsi="KaiTi" w:cs="KaiTi"/>
          <w:sz w:val="24"/>
          <w:szCs w:val="24"/>
        </w:rPr>
        <w:t>精测转债</w:t>
      </w:r>
      <w:r>
        <w:rPr>
          <w:rFonts w:ascii="KaiTi" w:eastAsia="KaiTi" w:hAnsi="KaiTi" w:cs="KaiTi"/>
          <w:sz w:val="24"/>
          <w:szCs w:val="24"/>
        </w:rPr>
        <w:t xml:space="preserve"> </w:t>
      </w:r>
      <w:r>
        <w:rPr>
          <w:rFonts w:ascii="KaiTi" w:eastAsia="KaiTi" w:hAnsi="KaiTi" w:cs="KaiTi"/>
          <w:sz w:val="24"/>
          <w:szCs w:val="24"/>
        </w:rPr>
        <w:t>惠城转债</w:t>
      </w:r>
      <w:r>
        <w:rPr>
          <w:rFonts w:ascii="KaiTi" w:eastAsia="KaiTi" w:hAnsi="KaiTi" w:cs="KaiTi"/>
          <w:sz w:val="24"/>
          <w:szCs w:val="24"/>
        </w:rPr>
        <w:t xml:space="preserve"> </w:t>
      </w:r>
      <w:r>
        <w:rPr>
          <w:rFonts w:ascii="KaiTi" w:eastAsia="KaiTi" w:hAnsi="KaiTi" w:cs="KaiTi"/>
          <w:sz w:val="24"/>
          <w:szCs w:val="24"/>
        </w:rPr>
        <w:t>新致转债</w:t>
      </w:r>
      <w:r>
        <w:rPr>
          <w:rFonts w:ascii="KaiTi" w:eastAsia="KaiTi" w:hAnsi="KaiTi" w:cs="KaiTi"/>
          <w:sz w:val="24"/>
          <w:szCs w:val="24"/>
        </w:rPr>
        <w:t xml:space="preserve"> </w:t>
      </w:r>
      <w:r>
        <w:rPr>
          <w:rFonts w:ascii="KaiTi" w:eastAsia="KaiTi" w:hAnsi="KaiTi" w:cs="KaiTi"/>
          <w:sz w:val="24"/>
          <w:szCs w:val="24"/>
        </w:rPr>
        <w:t>拓尔转债</w:t>
      </w:r>
      <w:r>
        <w:rPr>
          <w:rFonts w:ascii="KaiTi" w:eastAsia="KaiTi" w:hAnsi="KaiTi" w:cs="KaiTi"/>
          <w:sz w:val="24"/>
          <w:szCs w:val="24"/>
        </w:rPr>
        <w:t xml:space="preserve"> </w:t>
      </w:r>
      <w:r>
        <w:rPr>
          <w:rFonts w:ascii="KaiTi" w:eastAsia="KaiTi" w:hAnsi="KaiTi" w:cs="KaiTi"/>
          <w:sz w:val="24"/>
          <w:szCs w:val="24"/>
        </w:rPr>
        <w:t>万兴转债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1" w:line="226" w:lineRule="auto"/>
        <w:ind w:left="2117"/>
        <w:rPr>
          <w:rFonts w:ascii="KaiTi" w:eastAsia="KaiTi" w:hAnsi="KaiTi" w:cs="KaiTi"/>
          <w:sz w:val="24"/>
          <w:szCs w:val="24"/>
        </w:rPr>
      </w:pPr>
      <w:r>
        <w:rPr>
          <w:rFonts w:ascii="KaiTi" w:eastAsia="KaiTi" w:hAnsi="KaiTi" w:cs="KaiTi"/>
          <w:position w:val="2"/>
          <w:sz w:val="24"/>
          <w:szCs w:val="24"/>
        </w:rPr>
        <w:drawing>
          <wp:inline distT="0" distB="0" distL="0" distR="0">
            <wp:extent cx="76200" cy="76200"/>
            <wp:effectExtent l="0" t="0" r="0" b="0"/>
            <wp:docPr id="180" name="IM 1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 180"/>
                    <pic:cNvPicPr/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spacing w:val="-56"/>
          <w:sz w:val="24"/>
          <w:szCs w:val="24"/>
        </w:rPr>
        <w:t xml:space="preserve"> </w:t>
      </w:r>
      <w:r>
        <w:rPr>
          <w:rFonts w:ascii="KaiTi" w:eastAsia="KaiTi" w:hAnsi="KaiTi" w:cs="KaiTi"/>
          <w:spacing w:val="-4"/>
          <w:sz w:val="24"/>
          <w:szCs w:val="24"/>
        </w:rPr>
        <w:t>转债涨幅（前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15</w:t>
      </w:r>
      <w:r>
        <w:rPr>
          <w:rFonts w:ascii="Times New Roman" w:eastAsia="Times New Roman" w:hAnsi="Times New Roman" w:cs="Times New Roman"/>
          <w:spacing w:val="-27"/>
          <w:sz w:val="24"/>
          <w:szCs w:val="24"/>
        </w:rPr>
        <w:t xml:space="preserve"> </w:t>
      </w:r>
      <w:r>
        <w:rPr>
          <w:rFonts w:ascii="KaiTi" w:eastAsia="KaiTi" w:hAnsi="KaiTi" w:cs="KaiTi"/>
          <w:spacing w:val="-4"/>
          <w:sz w:val="24"/>
          <w:szCs w:val="24"/>
        </w:rPr>
        <w:t>，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%</w:t>
      </w:r>
      <w:r>
        <w:rPr>
          <w:rFonts w:ascii="KaiTi" w:eastAsia="KaiTi" w:hAnsi="KaiTi" w:cs="KaiTi"/>
          <w:spacing w:val="-4"/>
          <w:sz w:val="24"/>
          <w:szCs w:val="24"/>
        </w:rPr>
        <w:t>）</w:t>
      </w:r>
    </w:p>
    <w:p>
      <w:pPr>
        <w:spacing w:before="34" w:line="3934" w:lineRule="exact"/>
        <w:ind w:firstLine="41"/>
      </w:pPr>
      <w:r>
        <w:rPr>
          <w:position w:val="-78"/>
        </w:rPr>
        <w:pict>
          <v:group id="_x0000_i1069" style="width:366.2pt;height:196.75pt;mso-position-horizontal-relative:char;mso-position-vertical-relative:line" coordorigin="0,0" coordsize="7324,3935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70" type="#_x0000_t75" style="width:7324;height:3935;position:absolute" filled="f" stroked="f">
              <v:imagedata r:id="rId86" o:title=""/>
            </v:shape>
            <v:shape id="_x0000_s1071" type="#_x0000_t202" style="width:7364;height:397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76" w:line="186" w:lineRule="auto"/>
                      <w:ind w:left="1705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>29.75</w:t>
                    </w:r>
                  </w:p>
                  <w:p>
                    <w:pPr>
                      <w:spacing w:before="47" w:line="228" w:lineRule="auto"/>
                      <w:ind w:left="1829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24"/>
                        <w:szCs w:val="24"/>
                      </w:rPr>
                      <w:t>32.04</w:t>
                    </w:r>
                  </w:p>
                  <w:p>
                    <w:pPr>
                      <w:spacing w:line="186" w:lineRule="auto"/>
                      <w:ind w:left="1872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24"/>
                        <w:szCs w:val="24"/>
                      </w:rPr>
                      <w:t>32.88</w:t>
                    </w:r>
                  </w:p>
                  <w:p>
                    <w:pPr>
                      <w:spacing w:before="48" w:line="186" w:lineRule="auto"/>
                      <w:ind w:left="2264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>40.50</w:t>
                    </w:r>
                  </w:p>
                  <w:p>
                    <w:pPr>
                      <w:spacing w:before="48" w:line="186" w:lineRule="auto"/>
                      <w:ind w:left="2552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>46.02</w:t>
                    </w:r>
                  </w:p>
                  <w:p>
                    <w:pPr>
                      <w:spacing w:before="47" w:line="228" w:lineRule="auto"/>
                      <w:ind w:left="2674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>48.36</w:t>
                    </w:r>
                  </w:p>
                  <w:p>
                    <w:pPr>
                      <w:spacing w:line="186" w:lineRule="auto"/>
                      <w:ind w:left="2691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>48.68</w:t>
                    </w:r>
                  </w:p>
                  <w:p>
                    <w:pPr>
                      <w:spacing w:before="48" w:line="186" w:lineRule="auto"/>
                      <w:ind w:left="2745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>49.71</w:t>
                    </w:r>
                  </w:p>
                  <w:p>
                    <w:pPr>
                      <w:spacing w:before="47" w:line="186" w:lineRule="auto"/>
                      <w:ind w:left="2992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24"/>
                        <w:szCs w:val="24"/>
                      </w:rPr>
                      <w:t>54.29</w:t>
                    </w:r>
                  </w:p>
                  <w:p>
                    <w:pPr>
                      <w:spacing w:before="48" w:line="186" w:lineRule="auto"/>
                      <w:ind w:left="3168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24"/>
                        <w:szCs w:val="24"/>
                      </w:rPr>
                      <w:t>57.68</w:t>
                    </w:r>
                  </w:p>
                  <w:p>
                    <w:pPr>
                      <w:spacing w:before="48" w:line="227" w:lineRule="auto"/>
                      <w:ind w:left="3304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24"/>
                        <w:szCs w:val="24"/>
                      </w:rPr>
                      <w:t>60.30</w:t>
                    </w:r>
                  </w:p>
                  <w:p>
                    <w:pPr>
                      <w:spacing w:before="1" w:line="186" w:lineRule="auto"/>
                      <w:ind w:left="3367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24"/>
                        <w:szCs w:val="24"/>
                      </w:rPr>
                      <w:t>61.52</w:t>
                    </w:r>
                  </w:p>
                  <w:p>
                    <w:pPr>
                      <w:spacing w:before="48" w:line="186" w:lineRule="auto"/>
                      <w:ind w:left="4359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3"/>
                        <w:sz w:val="24"/>
                        <w:szCs w:val="24"/>
                      </w:rPr>
                      <w:t>80.44</w:t>
                    </w:r>
                  </w:p>
                  <w:p>
                    <w:pPr>
                      <w:spacing w:before="48" w:line="186" w:lineRule="auto"/>
                      <w:ind w:left="4642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3"/>
                        <w:sz w:val="24"/>
                        <w:szCs w:val="24"/>
                      </w:rPr>
                      <w:t>85.85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88" w:line="165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position w:val="-3"/>
          <w:sz w:val="24"/>
          <w:szCs w:val="24"/>
        </w:rPr>
        <w:t>0               20              40</w:t>
      </w:r>
      <w:r>
        <w:rPr>
          <w:rFonts w:ascii="Times New Roman" w:eastAsia="Times New Roman" w:hAnsi="Times New Roman" w:cs="Times New Roman"/>
          <w:spacing w:val="3"/>
          <w:position w:val="-3"/>
          <w:sz w:val="24"/>
          <w:szCs w:val="24"/>
        </w:rPr>
        <w:t xml:space="preserve">             </w:t>
      </w:r>
      <w:r>
        <w:rPr>
          <w:rFonts w:ascii="Times New Roman" w:eastAsia="Times New Roman" w:hAnsi="Times New Roman" w:cs="Times New Roman"/>
          <w:spacing w:val="-4"/>
          <w:position w:val="-3"/>
          <w:sz w:val="24"/>
          <w:szCs w:val="24"/>
        </w:rPr>
        <w:t>60</w:t>
      </w:r>
      <w:r>
        <w:rPr>
          <w:rFonts w:ascii="Times New Roman" w:eastAsia="Times New Roman" w:hAnsi="Times New Roman" w:cs="Times New Roman"/>
          <w:spacing w:val="3"/>
          <w:position w:val="-3"/>
          <w:sz w:val="24"/>
          <w:szCs w:val="24"/>
        </w:rPr>
        <w:t xml:space="preserve">             </w:t>
      </w:r>
      <w:r>
        <w:rPr>
          <w:rFonts w:ascii="Times New Roman" w:eastAsia="Times New Roman" w:hAnsi="Times New Roman" w:cs="Times New Roman"/>
          <w:spacing w:val="-4"/>
          <w:position w:val="-3"/>
          <w:sz w:val="24"/>
          <w:szCs w:val="24"/>
        </w:rPr>
        <w:t>80              100            120             140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06" w:line="226" w:lineRule="auto"/>
        <w:ind w:left="3300"/>
        <w:rPr>
          <w:rFonts w:ascii="KaiTi" w:eastAsia="KaiTi" w:hAnsi="KaiTi" w:cs="KaiTi"/>
          <w:sz w:val="22"/>
          <w:szCs w:val="22"/>
        </w:rPr>
      </w:pPr>
      <w:r>
        <w:rPr>
          <w:rFonts w:ascii="KaiTi" w:eastAsia="KaiTi" w:hAnsi="KaiTi" w:cs="KaiTi"/>
          <w:position w:val="2"/>
          <w:sz w:val="22"/>
          <w:szCs w:val="22"/>
        </w:rPr>
        <w:drawing>
          <wp:inline distT="0" distB="0" distL="0" distR="0">
            <wp:extent cx="71119" cy="68579"/>
            <wp:effectExtent l="0" t="0" r="0" b="0"/>
            <wp:docPr id="182" name="IM 1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 182"/>
                    <pic:cNvPicPr/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71119" cy="68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spacing w:val="-45"/>
          <w:sz w:val="22"/>
          <w:szCs w:val="22"/>
        </w:rPr>
        <w:t xml:space="preserve"> </w:t>
      </w:r>
      <w:r>
        <w:rPr>
          <w:rFonts w:ascii="KaiTi" w:eastAsia="KaiTi" w:hAnsi="KaiTi" w:cs="KaiTi"/>
          <w:spacing w:val="-3"/>
          <w:sz w:val="22"/>
          <w:szCs w:val="22"/>
        </w:rPr>
        <w:t>转债跌幅（后</w:t>
      </w:r>
      <w:r>
        <w:rPr>
          <w:rFonts w:ascii="Times New Roman" w:eastAsia="Times New Roman" w:hAnsi="Times New Roman" w:cs="Times New Roman"/>
          <w:spacing w:val="-3"/>
          <w:sz w:val="22"/>
          <w:szCs w:val="22"/>
        </w:rPr>
        <w:t>15</w:t>
      </w:r>
      <w:r>
        <w:rPr>
          <w:rFonts w:ascii="Times New Roman" w:eastAsia="Times New Roman" w:hAnsi="Times New Roman" w:cs="Times New Roman"/>
          <w:spacing w:val="-26"/>
          <w:sz w:val="22"/>
          <w:szCs w:val="22"/>
        </w:rPr>
        <w:t xml:space="preserve"> </w:t>
      </w:r>
      <w:r>
        <w:rPr>
          <w:rFonts w:ascii="KaiTi" w:eastAsia="KaiTi" w:hAnsi="KaiTi" w:cs="KaiTi"/>
          <w:spacing w:val="-3"/>
          <w:sz w:val="22"/>
          <w:szCs w:val="22"/>
        </w:rPr>
        <w:t>，</w:t>
      </w:r>
      <w:r>
        <w:rPr>
          <w:rFonts w:ascii="Times New Roman" w:eastAsia="Times New Roman" w:hAnsi="Times New Roman" w:cs="Times New Roman"/>
          <w:spacing w:val="-3"/>
          <w:sz w:val="22"/>
          <w:szCs w:val="22"/>
        </w:rPr>
        <w:t>%</w:t>
      </w:r>
      <w:r>
        <w:rPr>
          <w:rFonts w:ascii="KaiTi" w:eastAsia="KaiTi" w:hAnsi="KaiTi" w:cs="KaiTi"/>
          <w:spacing w:val="-3"/>
          <w:sz w:val="22"/>
          <w:szCs w:val="22"/>
        </w:rPr>
        <w:t>）</w:t>
      </w:r>
    </w:p>
    <w:p>
      <w:pPr>
        <w:spacing w:before="35" w:line="3610" w:lineRule="exact"/>
        <w:ind w:firstLine="1055"/>
      </w:pPr>
      <w:r>
        <w:rPr>
          <w:position w:val="-72"/>
        </w:rPr>
        <w:pict>
          <v:group id="_x0000_i1072" style="width:399.8pt;height:180.5pt;mso-position-horizontal-relative:char;mso-position-vertical-relative:line" coordorigin="0,0" coordsize="7995,3610" filled="f" stroked="f">
            <v:shape id="_x0000_s1073" type="#_x0000_t75" style="width:7995;height:3610;position:absolute" filled="f" stroked="f">
              <v:imagedata r:id="rId88" o:title=""/>
            </v:shape>
            <v:shape id="_x0000_s1074" type="#_x0000_t202" style="width:8035;height:365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88" w:line="186" w:lineRule="auto"/>
                      <w:ind w:left="391"/>
                      <w:rPr>
                        <w:rFonts w:ascii="Times New Roman" w:eastAsia="Times New Roman" w:hAnsi="Times New Roman" w:cs="Times New Roman"/>
                        <w:sz w:val="22"/>
                        <w:szCs w:val="2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2"/>
                        <w:szCs w:val="22"/>
                      </w:rPr>
                      <w:t>-86.91</w:t>
                    </w:r>
                  </w:p>
                  <w:p>
                    <w:pPr>
                      <w:spacing w:before="80" w:line="186" w:lineRule="auto"/>
                      <w:ind w:left="895"/>
                      <w:rPr>
                        <w:rFonts w:ascii="Times New Roman" w:eastAsia="Times New Roman" w:hAnsi="Times New Roman" w:cs="Times New Roman"/>
                        <w:sz w:val="22"/>
                        <w:szCs w:val="2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2"/>
                        <w:szCs w:val="22"/>
                      </w:rPr>
                      <w:t>-80.60</w:t>
                    </w:r>
                  </w:p>
                  <w:p>
                    <w:pPr>
                      <w:spacing w:before="80" w:line="186" w:lineRule="auto"/>
                      <w:ind w:left="3694"/>
                      <w:rPr>
                        <w:rFonts w:ascii="Times New Roman" w:eastAsia="Times New Roman" w:hAnsi="Times New Roman" w:cs="Times New Roman"/>
                        <w:sz w:val="22"/>
                        <w:szCs w:val="2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2"/>
                        <w:szCs w:val="22"/>
                      </w:rPr>
                      <w:t>-45.52</w:t>
                    </w:r>
                  </w:p>
                  <w:p>
                    <w:pPr>
                      <w:spacing w:before="81" w:line="186" w:lineRule="auto"/>
                      <w:ind w:left="3702"/>
                      <w:rPr>
                        <w:rFonts w:ascii="Times New Roman" w:eastAsia="Times New Roman" w:hAnsi="Times New Roman" w:cs="Times New Roman"/>
                        <w:sz w:val="22"/>
                        <w:szCs w:val="2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2"/>
                        <w:szCs w:val="22"/>
                      </w:rPr>
                      <w:t>-45.42</w:t>
                    </w:r>
                  </w:p>
                  <w:p>
                    <w:pPr>
                      <w:spacing w:before="81" w:line="186" w:lineRule="auto"/>
                      <w:ind w:left="3723"/>
                      <w:rPr>
                        <w:rFonts w:ascii="Times New Roman" w:eastAsia="Times New Roman" w:hAnsi="Times New Roman" w:cs="Times New Roman"/>
                        <w:sz w:val="22"/>
                        <w:szCs w:val="2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2"/>
                        <w:szCs w:val="22"/>
                      </w:rPr>
                      <w:t>-45.16</w:t>
                    </w:r>
                  </w:p>
                  <w:p>
                    <w:pPr>
                      <w:spacing w:before="81" w:line="186" w:lineRule="auto"/>
                      <w:ind w:left="3820"/>
                      <w:rPr>
                        <w:rFonts w:ascii="Times New Roman" w:eastAsia="Times New Roman" w:hAnsi="Times New Roman" w:cs="Times New Roman"/>
                        <w:sz w:val="22"/>
                        <w:szCs w:val="2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2"/>
                        <w:szCs w:val="22"/>
                      </w:rPr>
                      <w:t>-43.94</w:t>
                    </w:r>
                  </w:p>
                  <w:p>
                    <w:pPr>
                      <w:spacing w:before="81" w:line="186" w:lineRule="auto"/>
                      <w:ind w:left="4239"/>
                      <w:rPr>
                        <w:rFonts w:ascii="Times New Roman" w:eastAsia="Times New Roman" w:hAnsi="Times New Roman" w:cs="Times New Roman"/>
                        <w:sz w:val="22"/>
                        <w:szCs w:val="2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2"/>
                        <w:szCs w:val="22"/>
                      </w:rPr>
                      <w:t>-38.70</w:t>
                    </w:r>
                  </w:p>
                  <w:p>
                    <w:pPr>
                      <w:spacing w:before="81" w:line="186" w:lineRule="auto"/>
                      <w:ind w:left="4596"/>
                      <w:rPr>
                        <w:rFonts w:ascii="Times New Roman" w:eastAsia="Times New Roman" w:hAnsi="Times New Roman" w:cs="Times New Roman"/>
                        <w:sz w:val="22"/>
                        <w:szCs w:val="2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2"/>
                        <w:szCs w:val="22"/>
                      </w:rPr>
                      <w:t>-34.21</w:t>
                    </w:r>
                  </w:p>
                  <w:p>
                    <w:pPr>
                      <w:spacing w:before="81" w:line="186" w:lineRule="auto"/>
                      <w:ind w:left="4651"/>
                      <w:rPr>
                        <w:rFonts w:ascii="Times New Roman" w:eastAsia="Times New Roman" w:hAnsi="Times New Roman" w:cs="Times New Roman"/>
                        <w:sz w:val="22"/>
                        <w:szCs w:val="2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2"/>
                        <w:szCs w:val="22"/>
                      </w:rPr>
                      <w:t>-33.52</w:t>
                    </w:r>
                  </w:p>
                  <w:p>
                    <w:pPr>
                      <w:spacing w:before="81" w:line="186" w:lineRule="auto"/>
                      <w:ind w:left="4841"/>
                      <w:rPr>
                        <w:rFonts w:ascii="Times New Roman" w:eastAsia="Times New Roman" w:hAnsi="Times New Roman" w:cs="Times New Roman"/>
                        <w:sz w:val="22"/>
                        <w:szCs w:val="2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2"/>
                        <w:szCs w:val="22"/>
                      </w:rPr>
                      <w:t>-31.14</w:t>
                    </w:r>
                  </w:p>
                  <w:p>
                    <w:pPr>
                      <w:spacing w:before="81" w:line="186" w:lineRule="auto"/>
                      <w:ind w:left="5012"/>
                      <w:rPr>
                        <w:rFonts w:ascii="Times New Roman" w:eastAsia="Times New Roman" w:hAnsi="Times New Roman" w:cs="Times New Roman"/>
                        <w:sz w:val="22"/>
                        <w:szCs w:val="2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2"/>
                        <w:szCs w:val="22"/>
                      </w:rPr>
                      <w:t>-29.01</w:t>
                    </w:r>
                  </w:p>
                  <w:p>
                    <w:pPr>
                      <w:spacing w:before="81" w:line="186" w:lineRule="auto"/>
                      <w:ind w:left="5104"/>
                      <w:rPr>
                        <w:rFonts w:ascii="Times New Roman" w:eastAsia="Times New Roman" w:hAnsi="Times New Roman" w:cs="Times New Roman"/>
                        <w:sz w:val="22"/>
                        <w:szCs w:val="2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2"/>
                        <w:szCs w:val="22"/>
                      </w:rPr>
                      <w:t>-27.85</w:t>
                    </w:r>
                  </w:p>
                  <w:p>
                    <w:pPr>
                      <w:spacing w:before="82" w:line="186" w:lineRule="auto"/>
                      <w:ind w:left="5144"/>
                      <w:rPr>
                        <w:rFonts w:ascii="Times New Roman" w:eastAsia="Times New Roman" w:hAnsi="Times New Roman" w:cs="Times New Roman"/>
                        <w:sz w:val="22"/>
                        <w:szCs w:val="2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2"/>
                        <w:szCs w:val="22"/>
                      </w:rPr>
                      <w:t>-27.34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72" w:line="186" w:lineRule="auto"/>
        <w:ind w:left="875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"/>
          <w:sz w:val="22"/>
          <w:szCs w:val="22"/>
        </w:rPr>
        <w:t>-100</w:t>
      </w:r>
      <w:r>
        <w:rPr>
          <w:rFonts w:ascii="Times New Roman" w:eastAsia="Times New Roman" w:hAnsi="Times New Roman" w:cs="Times New Roman"/>
          <w:spacing w:val="2"/>
          <w:sz w:val="22"/>
          <w:szCs w:val="22"/>
        </w:rPr>
        <w:t xml:space="preserve">        </w:t>
      </w:r>
      <w:r>
        <w:rPr>
          <w:rFonts w:ascii="Times New Roman" w:eastAsia="Times New Roman" w:hAnsi="Times New Roman" w:cs="Times New Roman"/>
          <w:spacing w:val="-1"/>
          <w:sz w:val="22"/>
          <w:szCs w:val="22"/>
        </w:rPr>
        <w:t xml:space="preserve">-90         -80          -70   </w:t>
      </w:r>
      <w:r>
        <w:rPr>
          <w:rFonts w:ascii="Times New Roman" w:eastAsia="Times New Roman" w:hAnsi="Times New Roman" w:cs="Times New Roman"/>
          <w:spacing w:val="-2"/>
          <w:sz w:val="22"/>
          <w:szCs w:val="22"/>
        </w:rPr>
        <w:t xml:space="preserve">      -60          -50</w:t>
      </w:r>
      <w:r>
        <w:rPr>
          <w:rFonts w:ascii="Times New Roman" w:eastAsia="Times New Roman" w:hAnsi="Times New Roman" w:cs="Times New Roman"/>
          <w:spacing w:val="2"/>
          <w:sz w:val="22"/>
          <w:szCs w:val="22"/>
        </w:rPr>
        <w:t xml:space="preserve">         </w:t>
      </w:r>
      <w:r>
        <w:rPr>
          <w:rFonts w:ascii="Times New Roman" w:eastAsia="Times New Roman" w:hAnsi="Times New Roman" w:cs="Times New Roman"/>
          <w:spacing w:val="-2"/>
          <w:sz w:val="22"/>
          <w:szCs w:val="22"/>
        </w:rPr>
        <w:t>-40</w:t>
      </w:r>
      <w:r>
        <w:rPr>
          <w:rFonts w:ascii="Times New Roman" w:eastAsia="Times New Roman" w:hAnsi="Times New Roman" w:cs="Times New Roman"/>
          <w:spacing w:val="2"/>
          <w:sz w:val="22"/>
          <w:szCs w:val="22"/>
        </w:rPr>
        <w:t xml:space="preserve">         </w:t>
      </w:r>
      <w:r>
        <w:rPr>
          <w:rFonts w:ascii="Times New Roman" w:eastAsia="Times New Roman" w:hAnsi="Times New Roman" w:cs="Times New Roman"/>
          <w:spacing w:val="-2"/>
          <w:sz w:val="22"/>
          <w:szCs w:val="22"/>
        </w:rPr>
        <w:t>-30</w:t>
      </w:r>
      <w:r>
        <w:rPr>
          <w:rFonts w:ascii="Times New Roman" w:eastAsia="Times New Roman" w:hAnsi="Times New Roman" w:cs="Times New Roman"/>
          <w:spacing w:val="2"/>
          <w:sz w:val="22"/>
          <w:szCs w:val="22"/>
        </w:rPr>
        <w:t xml:space="preserve">         </w:t>
      </w:r>
      <w:r>
        <w:rPr>
          <w:rFonts w:ascii="Times New Roman" w:eastAsia="Times New Roman" w:hAnsi="Times New Roman" w:cs="Times New Roman"/>
          <w:spacing w:val="-2"/>
          <w:sz w:val="22"/>
          <w:szCs w:val="22"/>
        </w:rPr>
        <w:t>-20</w:t>
      </w:r>
      <w:r>
        <w:rPr>
          <w:rFonts w:ascii="Times New Roman" w:eastAsia="Times New Roman" w:hAnsi="Times New Roman" w:cs="Times New Roman"/>
          <w:spacing w:val="2"/>
          <w:sz w:val="22"/>
          <w:szCs w:val="22"/>
        </w:rPr>
        <w:t xml:space="preserve">         </w:t>
      </w:r>
      <w:r>
        <w:rPr>
          <w:rFonts w:ascii="Times New Roman" w:eastAsia="Times New Roman" w:hAnsi="Times New Roman" w:cs="Times New Roman"/>
          <w:spacing w:val="-2"/>
          <w:sz w:val="22"/>
          <w:szCs w:val="22"/>
        </w:rPr>
        <w:t>-10           0</w:t>
      </w:r>
    </w:p>
    <w:p>
      <w:pPr>
        <w:spacing w:line="186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br/>
      </w:r>
      <w:r>
        <w:rPr>
          <w:rFonts w:ascii="Times New Roman" w:eastAsia="Times New Roman" w:hAnsi="Times New Roman" w:cs="Times New Roman"/>
          <w:sz w:val="22"/>
          <w:szCs w:val="2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https://d.book118.com/487004046021006034</w:t>
        </w:r>
      </w:hyperlink>
    </w:p>
    <w:p>
      <w:pPr>
        <w:spacing w:line="186" w:lineRule="auto"/>
        <w:rPr>
          <w:rFonts w:ascii="Times New Roman" w:eastAsia="Times New Roman" w:hAnsi="Times New Roman" w:cs="Times New Roman"/>
          <w:sz w:val="22"/>
          <w:szCs w:val="22"/>
        </w:rPr>
      </w:pPr>
    </w:p>
    <w:sectPr>
      <w:headerReference w:type="default" r:id="rId90"/>
      <w:footerReference w:type="default" r:id="rId91"/>
      <w:type w:val="continuous"/>
      <w:pgSz w:w="19200" w:h="10800"/>
      <w:pgMar w:top="400" w:right="0" w:bottom="252" w:left="0" w:header="0" w:footer="32" w:gutter="0"/>
      <w:pgNumType w:start="13"/>
      <w:cols w:num="3" w:space="708" w:equalWidth="0">
        <w:col w:w="1631" w:space="100"/>
        <w:col w:w="7714" w:space="100"/>
        <w:col w:w="965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18214"/>
      <w:rPr>
        <w:rFonts w:ascii="Arial" w:eastAsia="Arial" w:hAnsi="Arial" w:cs="Arial"/>
        <w:sz w:val="24"/>
        <w:szCs w:val="24"/>
      </w:rPr>
    </w:pPr>
    <w:r>
      <w:rPr>
        <w:rFonts w:ascii="Arial" w:eastAsia="Arial" w:hAnsi="Arial" w:cs="Arial"/>
        <w:color w:val="FFFFFF"/>
        <w:sz w:val="24"/>
        <w:szCs w:val="24"/>
      </w:rPr>
      <w:t>5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18214"/>
      <w:rPr>
        <w:rFonts w:ascii="Arial" w:eastAsia="Arial" w:hAnsi="Arial" w:cs="Arial"/>
        <w:sz w:val="24"/>
        <w:szCs w:val="24"/>
      </w:rPr>
    </w:pPr>
    <w:r>
      <w:rPr>
        <w:rFonts w:ascii="Arial" w:eastAsia="Arial" w:hAnsi="Arial" w:cs="Arial"/>
        <w:color w:val="FFFFFF"/>
        <w:sz w:val="24"/>
        <w:szCs w:val="24"/>
      </w:rPr>
      <w:t>5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1551123309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1123309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40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IM 4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1449250269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9250269" name="IM 4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60" name="IM 6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IM 6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780866008" name="IM 6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0866008" name="IM 6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64" name="IM 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" name="IM 6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1717810929" name="IM 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7810929" name="IM 6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1482510894" name="IM 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2510894" name="IM 6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2080617490" name="IM 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0617490" name="IM 6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950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176" name="IM 1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" name="IM 17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052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1733346894" name="IM 1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3346894" name="IM 17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30"/>
      <w:szCs w:val="30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KaiTi" w:eastAsia="KaiTi" w:hAnsi="KaiTi" w:cs="KaiTi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header" Target="header2.xml" /><Relationship Id="rId12" Type="http://schemas.openxmlformats.org/officeDocument/2006/relationships/header" Target="header3.xml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header" Target="header4.xml" /><Relationship Id="rId18" Type="http://schemas.openxmlformats.org/officeDocument/2006/relationships/header" Target="header5.xml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image" Target="media/image13.png" /><Relationship Id="rId22" Type="http://schemas.openxmlformats.org/officeDocument/2006/relationships/image" Target="media/image14.png" /><Relationship Id="rId23" Type="http://schemas.openxmlformats.org/officeDocument/2006/relationships/image" Target="media/image15.png" /><Relationship Id="rId24" Type="http://schemas.openxmlformats.org/officeDocument/2006/relationships/image" Target="media/image16.png" /><Relationship Id="rId25" Type="http://schemas.openxmlformats.org/officeDocument/2006/relationships/image" Target="media/image17.png" /><Relationship Id="rId26" Type="http://schemas.openxmlformats.org/officeDocument/2006/relationships/image" Target="media/image18.png" /><Relationship Id="rId27" Type="http://schemas.openxmlformats.org/officeDocument/2006/relationships/image" Target="media/image19.png" /><Relationship Id="rId28" Type="http://schemas.openxmlformats.org/officeDocument/2006/relationships/image" Target="media/image20.png" /><Relationship Id="rId29" Type="http://schemas.openxmlformats.org/officeDocument/2006/relationships/image" Target="media/image21.png" /><Relationship Id="rId3" Type="http://schemas.openxmlformats.org/officeDocument/2006/relationships/fontTable" Target="fontTable.xml" /><Relationship Id="rId30" Type="http://schemas.openxmlformats.org/officeDocument/2006/relationships/image" Target="media/image22.png" /><Relationship Id="rId31" Type="http://schemas.openxmlformats.org/officeDocument/2006/relationships/image" Target="media/image23.png" /><Relationship Id="rId32" Type="http://schemas.openxmlformats.org/officeDocument/2006/relationships/image" Target="media/image24.png" /><Relationship Id="rId33" Type="http://schemas.openxmlformats.org/officeDocument/2006/relationships/image" Target="media/image25.png" /><Relationship Id="rId34" Type="http://schemas.openxmlformats.org/officeDocument/2006/relationships/image" Target="media/image26.png" /><Relationship Id="rId35" Type="http://schemas.openxmlformats.org/officeDocument/2006/relationships/image" Target="media/image27.png" /><Relationship Id="rId36" Type="http://schemas.openxmlformats.org/officeDocument/2006/relationships/image" Target="media/image28.png" /><Relationship Id="rId37" Type="http://schemas.openxmlformats.org/officeDocument/2006/relationships/image" Target="media/image29.png" /><Relationship Id="rId38" Type="http://schemas.openxmlformats.org/officeDocument/2006/relationships/image" Target="media/image30.png" /><Relationship Id="rId39" Type="http://schemas.openxmlformats.org/officeDocument/2006/relationships/image" Target="media/image31.png" /><Relationship Id="rId4" Type="http://schemas.openxmlformats.org/officeDocument/2006/relationships/image" Target="media/image1.png" /><Relationship Id="rId40" Type="http://schemas.openxmlformats.org/officeDocument/2006/relationships/image" Target="media/image32.png" /><Relationship Id="rId41" Type="http://schemas.openxmlformats.org/officeDocument/2006/relationships/image" Target="media/image33.png" /><Relationship Id="rId42" Type="http://schemas.openxmlformats.org/officeDocument/2006/relationships/image" Target="media/image34.png" /><Relationship Id="rId43" Type="http://schemas.openxmlformats.org/officeDocument/2006/relationships/image" Target="media/image35.png" /><Relationship Id="rId44" Type="http://schemas.openxmlformats.org/officeDocument/2006/relationships/image" Target="media/image36.png" /><Relationship Id="rId45" Type="http://schemas.openxmlformats.org/officeDocument/2006/relationships/image" Target="media/image37.png" /><Relationship Id="rId46" Type="http://schemas.openxmlformats.org/officeDocument/2006/relationships/image" Target="media/image38.png" /><Relationship Id="rId47" Type="http://schemas.openxmlformats.org/officeDocument/2006/relationships/image" Target="media/image39.png" /><Relationship Id="rId48" Type="http://schemas.openxmlformats.org/officeDocument/2006/relationships/image" Target="media/image40.png" /><Relationship Id="rId49" Type="http://schemas.openxmlformats.org/officeDocument/2006/relationships/image" Target="media/image41.png" /><Relationship Id="rId5" Type="http://schemas.openxmlformats.org/officeDocument/2006/relationships/header" Target="header1.xml" /><Relationship Id="rId50" Type="http://schemas.openxmlformats.org/officeDocument/2006/relationships/image" Target="media/image42.png" /><Relationship Id="rId51" Type="http://schemas.openxmlformats.org/officeDocument/2006/relationships/image" Target="media/image43.png" /><Relationship Id="rId52" Type="http://schemas.openxmlformats.org/officeDocument/2006/relationships/image" Target="media/image44.png" /><Relationship Id="rId53" Type="http://schemas.openxmlformats.org/officeDocument/2006/relationships/image" Target="media/image45.png" /><Relationship Id="rId54" Type="http://schemas.openxmlformats.org/officeDocument/2006/relationships/image" Target="media/image46.png" /><Relationship Id="rId55" Type="http://schemas.openxmlformats.org/officeDocument/2006/relationships/image" Target="media/image47.png" /><Relationship Id="rId56" Type="http://schemas.openxmlformats.org/officeDocument/2006/relationships/image" Target="media/image48.png" /><Relationship Id="rId57" Type="http://schemas.openxmlformats.org/officeDocument/2006/relationships/image" Target="media/image49.png" /><Relationship Id="rId58" Type="http://schemas.openxmlformats.org/officeDocument/2006/relationships/image" Target="media/image50.png" /><Relationship Id="rId59" Type="http://schemas.openxmlformats.org/officeDocument/2006/relationships/image" Target="media/image51.png" /><Relationship Id="rId6" Type="http://schemas.openxmlformats.org/officeDocument/2006/relationships/image" Target="media/image3.png" /><Relationship Id="rId60" Type="http://schemas.openxmlformats.org/officeDocument/2006/relationships/image" Target="media/image52.png" /><Relationship Id="rId61" Type="http://schemas.openxmlformats.org/officeDocument/2006/relationships/image" Target="media/image53.png" /><Relationship Id="rId62" Type="http://schemas.openxmlformats.org/officeDocument/2006/relationships/image" Target="media/image54.png" /><Relationship Id="rId63" Type="http://schemas.openxmlformats.org/officeDocument/2006/relationships/image" Target="media/image55.png" /><Relationship Id="rId64" Type="http://schemas.openxmlformats.org/officeDocument/2006/relationships/image" Target="media/image56.png" /><Relationship Id="rId65" Type="http://schemas.openxmlformats.org/officeDocument/2006/relationships/image" Target="media/image57.png" /><Relationship Id="rId66" Type="http://schemas.openxmlformats.org/officeDocument/2006/relationships/header" Target="header8.xml" /><Relationship Id="rId67" Type="http://schemas.openxmlformats.org/officeDocument/2006/relationships/footer" Target="footer1.xml" /><Relationship Id="rId68" Type="http://schemas.openxmlformats.org/officeDocument/2006/relationships/image" Target="media/image58.png" /><Relationship Id="rId69" Type="http://schemas.openxmlformats.org/officeDocument/2006/relationships/image" Target="media/image59.png" /><Relationship Id="rId7" Type="http://schemas.openxmlformats.org/officeDocument/2006/relationships/image" Target="media/image4.png" /><Relationship Id="rId70" Type="http://schemas.openxmlformats.org/officeDocument/2006/relationships/image" Target="media/image60.png" /><Relationship Id="rId71" Type="http://schemas.openxmlformats.org/officeDocument/2006/relationships/image" Target="media/image61.png" /><Relationship Id="rId72" Type="http://schemas.openxmlformats.org/officeDocument/2006/relationships/image" Target="media/image62.png" /><Relationship Id="rId73" Type="http://schemas.openxmlformats.org/officeDocument/2006/relationships/header" Target="header9.xml" /><Relationship Id="rId74" Type="http://schemas.openxmlformats.org/officeDocument/2006/relationships/footer" Target="footer2.xml" /><Relationship Id="rId75" Type="http://schemas.openxmlformats.org/officeDocument/2006/relationships/image" Target="media/image63.png" /><Relationship Id="rId76" Type="http://schemas.openxmlformats.org/officeDocument/2006/relationships/image" Target="media/image64.png" /><Relationship Id="rId77" Type="http://schemas.openxmlformats.org/officeDocument/2006/relationships/image" Target="media/image65.png" /><Relationship Id="rId78" Type="http://schemas.openxmlformats.org/officeDocument/2006/relationships/image" Target="media/image66.png" /><Relationship Id="rId79" Type="http://schemas.openxmlformats.org/officeDocument/2006/relationships/header" Target="header10.xml" /><Relationship Id="rId8" Type="http://schemas.openxmlformats.org/officeDocument/2006/relationships/image" Target="media/image5.png" /><Relationship Id="rId80" Type="http://schemas.openxmlformats.org/officeDocument/2006/relationships/footer" Target="footer3.xml" /><Relationship Id="rId81" Type="http://schemas.openxmlformats.org/officeDocument/2006/relationships/header" Target="header11.xml" /><Relationship Id="rId82" Type="http://schemas.openxmlformats.org/officeDocument/2006/relationships/footer" Target="footer4.xml" /><Relationship Id="rId83" Type="http://schemas.openxmlformats.org/officeDocument/2006/relationships/header" Target="header12.xml" /><Relationship Id="rId84" Type="http://schemas.openxmlformats.org/officeDocument/2006/relationships/footer" Target="footer5.xml" /><Relationship Id="rId85" Type="http://schemas.openxmlformats.org/officeDocument/2006/relationships/image" Target="media/image67.png" /><Relationship Id="rId86" Type="http://schemas.openxmlformats.org/officeDocument/2006/relationships/image" Target="media/image68.png" /><Relationship Id="rId87" Type="http://schemas.openxmlformats.org/officeDocument/2006/relationships/image" Target="media/image69.jpeg" /><Relationship Id="rId88" Type="http://schemas.openxmlformats.org/officeDocument/2006/relationships/image" Target="media/image70.png" /><Relationship Id="rId89" Type="http://schemas.openxmlformats.org/officeDocument/2006/relationships/hyperlink" Target="https://d.book118.com/487004046021006034" TargetMode="External" /><Relationship Id="rId9" Type="http://schemas.openxmlformats.org/officeDocument/2006/relationships/image" Target="media/image6.png" /><Relationship Id="rId90" Type="http://schemas.openxmlformats.org/officeDocument/2006/relationships/header" Target="header13.xml" /><Relationship Id="rId91" Type="http://schemas.openxmlformats.org/officeDocument/2006/relationships/footer" Target="footer6.xml" /><Relationship Id="rId92" Type="http://schemas.openxmlformats.org/officeDocument/2006/relationships/theme" Target="theme/theme1.xml" /><Relationship Id="rId93" Type="http://schemas.openxmlformats.org/officeDocument/2006/relationships/styles" Target="styles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兴业证券-可转债2023年复盘&amp;2024年一季度展望：可为期的变与不变-240102.pdf</dc:title>
  <cp:revision>0</cp:revision>
  <dcterms:created xsi:type="dcterms:W3CDTF">2024-01-25T09:20:20Z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2024-01-25T09:29:57Z</vt:filetime>
  </property>
  <property fmtid="{D5CDD505-2E9C-101B-9397-08002B2CF9AE}" pid="3" name="CRO">
    <vt:lpwstr>wqlLaW5nc29mdCBQREYgdG8gV1BTIDkw</vt:lpwstr>
  </property>
</Properties>
</file>