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STXingkai" w:eastAsia="STXingkai"/>
          <w:b/>
          <w:bCs/>
          <w:sz w:val="72"/>
        </w:rPr>
      </w:pPr>
    </w:p>
    <w:p>
      <w:pPr>
        <w:rPr>
          <w:rFonts w:ascii="STXingkai" w:eastAsia="STXingkai"/>
          <w:b/>
          <w:bCs/>
          <w:szCs w:val="24"/>
        </w:rPr>
      </w:pPr>
    </w:p>
    <w:p>
      <w:pPr>
        <w:pStyle w:val="Heading1"/>
        <w:spacing w:line="360" w:lineRule="auto"/>
        <w:rPr>
          <w:szCs w:val="36"/>
          <w:shd w:val="clear" w:color="auto" w:fill="FFFFFF"/>
        </w:rPr>
      </w:pPr>
      <w:bookmarkStart w:id="0" w:name="_Toc422393878"/>
      <w:r>
        <w:rPr>
          <w:rFonts w:hint="eastAsia"/>
          <w:shd w:val="clear" w:color="auto" w:fill="FFFFFF"/>
        </w:rPr>
        <w:t>前言</w:t>
      </w:r>
      <w:bookmarkEnd w:id="0"/>
    </w:p>
    <w:p>
      <w:pPr>
        <w:spacing w:line="360" w:lineRule="auto"/>
        <w:ind w:firstLine="480" w:firstLineChars="200"/>
        <w:rPr>
          <w:szCs w:val="24"/>
        </w:rPr>
      </w:pPr>
      <w:bookmarkStart w:id="1" w:name="_Toc422393879"/>
      <w:r>
        <w:rPr>
          <w:rFonts w:hint="eastAsia"/>
          <w:szCs w:val="24"/>
        </w:rPr>
        <w:t>随着人们科学技术的日益提高，多功能智能材料正在不知不觉中影响并改善着我们的日常生活。许多智能材料目前正在替代普通材料成为我们日常生活中不可或缺的组分，其中尤其以金属系智能材料被广泛的研究并应用。金属系智能材料不仅拥有优良的力学性能，例如：强度、硬度、韧性等，还可以对自身存在的问题进行判定及更正，并识别和积累必要的信息反馈给其他系统。智能材料是指能感知外部环境的变化做出反应，并能像生物体一样判断并适当处理且本身可以执行的一种新型功能材料，所以对提高人们的生产效率和生活质量有很大程度上的帮助。</w:t>
      </w:r>
    </w:p>
    <w:p>
      <w:pPr>
        <w:spacing w:line="360" w:lineRule="auto"/>
        <w:ind w:firstLine="480" w:firstLineChars="200"/>
        <w:rPr>
          <w:szCs w:val="24"/>
        </w:rPr>
      </w:pPr>
      <w:r>
        <w:rPr>
          <w:rFonts w:hint="eastAsia"/>
          <w:szCs w:val="24"/>
        </w:rPr>
        <w:t>根据人们不断地发现和改良，会得到更适合应用的新型材料，并将其广泛的应用于日常生活之中，为我们带来便利。因此新型智能材料的研究从始至终都是材料科学界十分关注、比较活跃而且特别先进的方向之一；当下对新型智能材料的研究可谓日新月异，将有更符合当下趋势的智能材料被发现并运用于我们的生活，丰富我们的生活。</w:t>
      </w:r>
    </w:p>
    <w:p>
      <w:pPr>
        <w:spacing w:line="360" w:lineRule="auto"/>
        <w:ind w:firstLine="480" w:firstLineChars="200"/>
        <w:rPr>
          <w:szCs w:val="24"/>
        </w:rPr>
        <w:sectPr>
          <w:headerReference w:type="even" r:id="rId5"/>
          <w:footerReference w:type="even" r:id="rId6"/>
          <w:footerReference w:type="default" r:id="rId7"/>
          <w:pgSz w:w="11906" w:h="16838"/>
          <w:pgMar w:top="1418" w:right="1134" w:bottom="1418" w:left="1418" w:header="851" w:footer="992" w:gutter="0"/>
          <w:pgNumType w:start="1"/>
          <w:cols w:num="1" w:space="720"/>
          <w:docGrid w:type="lines" w:linePitch="312" w:charSpace="0"/>
        </w:sectPr>
      </w:pPr>
      <w:r>
        <w:rPr>
          <w:rFonts w:hint="eastAsia"/>
          <w:szCs w:val="24"/>
        </w:rPr>
        <w:t>智能材料的分类有很多种，现如今许多智能材料已经被应用于建筑方面、飞机制造方面、医疗方面以及军事方面等。随着智能材料普遍被人们发现并运用，压电材料，磁致伸缩材料以及形状记忆合等新型材料逐渐走入我们的视线；而其中，形状记忆合金是智能材料的一个十分重要的进展标志。下面来简单的介绍一下这三种材料：压电材料是一种通过实现电信号与形变的相互转化来传递信息的新型智能型材料。其受到不同大小的外电场力后，能够在压电材料两个端面之间出现有差别的电压，以此来实现电信号与微小变形的相互转化。磁致伸缩材料的使用条件，顾名思义是在电磁场的作用下。微变形或声能与电磁能之间的转化都可以通过这类材料进行</w:t>
      </w:r>
      <w:r>
        <w:rPr>
          <w:rFonts w:hint="eastAsia"/>
          <w:szCs w:val="24"/>
          <w:vertAlign w:val="superscript"/>
        </w:rPr>
        <w:t>[1]</w:t>
      </w:r>
    </w:p>
    <w:p>
      <w:pPr>
        <w:spacing w:line="360" w:lineRule="auto"/>
        <w:ind w:firstLine="480" w:firstLineChars="200"/>
        <w:rPr>
          <w:szCs w:val="24"/>
        </w:rPr>
      </w:pPr>
      <w:r>
        <w:rPr>
          <w:rFonts w:hint="eastAsia"/>
          <w:szCs w:val="24"/>
        </w:rPr>
        <w:t>，这类材料还拥有机械响应速度快和功率密度高等许多优点。但是这种材料使用范围不大，原因在于其输出应变小，材质脆性大，而且制备成本高，不适合大规模的应用在生产中。由于这种材料可以感知热和应力变化，所以当其在一定温度下成型后能够记住这个形状，以至于再到达这个温度时能够自觉地恢复成原来的形状，这种特性使其变成了拥有驱动功能的功能材料。因此，形状记忆合金在智能材料的研究开发中，起到了里程碑式的作用。但是这还远远不够，因为这些材料不能满足在驱动过程中同时拥有响应速度快、输出以及应变大的条件；材料必须符合以上三点条件，才能满足当代生产的要求，所以其在使用中必须能够实现电、磁以及热能的相互转换。刚才所提到的三种智能材料都不能令这种相互转换得以实现，于是在形状记忆合金的基础上产生了铁磁形状记忆合金。</w:t>
      </w:r>
    </w:p>
    <w:p>
      <w:pPr>
        <w:pStyle w:val="Heading1"/>
        <w:spacing w:line="360" w:lineRule="auto"/>
        <w:rPr>
          <w:szCs w:val="36"/>
          <w:shd w:val="clear" w:color="auto" w:fill="FFFFFF"/>
        </w:rPr>
      </w:pPr>
      <w:r>
        <w:rPr>
          <w:shd w:val="clear" w:color="auto" w:fill="FFFFFF"/>
        </w:rPr>
        <w:t xml:space="preserve">1  </w:t>
      </w:r>
      <w:bookmarkEnd w:id="1"/>
      <w:r>
        <w:rPr>
          <w:rFonts w:hint="eastAsia"/>
        </w:rPr>
        <w:t>绪论</w:t>
      </w:r>
    </w:p>
    <w:p>
      <w:pPr>
        <w:pStyle w:val="Heading2"/>
        <w:spacing w:before="0" w:after="0" w:line="360" w:lineRule="auto"/>
        <w:rPr>
          <w:rFonts w:ascii="Times New Roman" w:hAnsi="Times New Roman"/>
          <w:shd w:val="clear" w:color="auto" w:fill="FFFFFF"/>
        </w:rPr>
      </w:pPr>
      <w:bookmarkStart w:id="2" w:name="_Toc422393880"/>
      <w:r>
        <w:rPr>
          <w:rFonts w:ascii="Times New Roman" w:hAnsi="Times New Roman"/>
          <w:shd w:val="clear" w:color="auto" w:fill="FFFFFF"/>
        </w:rPr>
        <w:t xml:space="preserve">1.1 </w:t>
      </w:r>
      <w:bookmarkEnd w:id="2"/>
      <w:r>
        <w:rPr>
          <w:rFonts w:ascii="Times New Roman" w:hAnsi="Times New Roman"/>
          <w:shd w:val="clear" w:color="auto" w:fill="FFFFFF"/>
        </w:rPr>
        <w:t xml:space="preserve"> </w:t>
      </w:r>
      <w:bookmarkStart w:id="3" w:name="_GoBack"/>
      <w:r>
        <w:rPr>
          <w:rFonts w:ascii="Times New Roman" w:hAnsi="Times New Roman"/>
          <w:szCs w:val="30"/>
        </w:rPr>
        <w:t>铁磁形状记忆合金</w:t>
      </w:r>
      <w:bookmarkEnd w:id="3"/>
    </w:p>
    <w:p>
      <w:pPr>
        <w:spacing w:line="360" w:lineRule="auto"/>
        <w:ind w:firstLine="480" w:firstLineChars="200"/>
        <w:rPr>
          <w:rFonts w:ascii="宋体" w:hAnsi="宋体"/>
          <w:bCs/>
        </w:rPr>
      </w:pPr>
      <w:r>
        <w:rPr>
          <w:rFonts w:hint="eastAsia"/>
          <w:szCs w:val="24"/>
        </w:rPr>
        <w:t>传统的形状记忆合金能够用温度场或者压力场驱动引起相变，因为其受到温度场的影响，所以在使用期间需要更改温度区间，往往要对记忆合金进行加热或冷却。特别是当遇到冷却时间较长过程相对缓慢的合金时，合金的相变就不能在很短时间内轻易地被控制，会引发响应频率变低等问题，极大的制约了合金在实际生产与生活中的可用性。</w:t>
      </w:r>
      <w:r>
        <w:rPr>
          <w:rFonts w:ascii="宋体" w:hAnsi="宋体" w:hint="eastAsia"/>
          <w:bCs/>
        </w:rPr>
        <w:t>近几年，研究者们醉心于研究发掘那些因为外部磁场发生变化而产生形状记忆效应的磁性形状记忆合金，又称之为铁磁形状记忆合金。这种合金不只能够用温度和压力进行驱动，还可以在外加磁场的驱动下产生足够大的形变量。</w:t>
      </w:r>
    </w:p>
    <w:p>
      <w:pPr>
        <w:spacing w:line="360" w:lineRule="auto"/>
        <w:ind w:firstLine="480" w:firstLineChars="200"/>
        <w:rPr>
          <w:rFonts w:ascii="宋体" w:hAnsi="宋体"/>
          <w:bCs/>
        </w:rPr>
      </w:pPr>
      <w:r>
        <w:rPr>
          <w:rFonts w:ascii="宋体" w:hAnsi="宋体" w:hint="eastAsia"/>
          <w:bCs/>
        </w:rPr>
        <w:t>磁性形状记忆合金在驱动磁场消失后宏观上表现为恢复形状。响应频率快是其备受广大研究人员喜爱的重要原因，与此同时磁性形状记忆合金与记忆合金一样，也能通过外加磁场或升降温度来达到恢复形状的效果。随着这种新型合金的发展，只有通过外加磁场或温度变化才能发生形变的传统记忆型合金将被淘汰。外加磁场驱动下，磁性形状记忆合金发生马氏体相变，而后磁性形状记忆合金合金出现形变趋势并被加热到某一特定温度的时候，马氏体变回奥氏体形状的现象就是形状记忆效应。这种现象的产生是由于马氏体逆相变产生奥氏体相或者是冷却过程中内部弹性能的释放，使马氏体变回奥氏体形状。</w:t>
      </w:r>
    </w:p>
    <w:p>
      <w:pPr>
        <w:widowControl/>
        <w:spacing w:line="360" w:lineRule="auto"/>
        <w:ind w:firstLine="480" w:firstLineChars="200"/>
        <w:rPr>
          <w:szCs w:val="24"/>
        </w:rPr>
      </w:pPr>
      <w:r>
        <w:rPr>
          <w:rFonts w:hint="eastAsia"/>
          <w:szCs w:val="24"/>
        </w:rPr>
        <w:t>说到铁磁形状记忆合金的种类，不得不提的就是Heusler合金了。F.Heusler的小组在1903年第一次发现了一种拥有奇特现象的铁磁性的合金。即Cu</w:t>
      </w:r>
      <w:r>
        <w:rPr>
          <w:rFonts w:hint="eastAsia"/>
          <w:szCs w:val="24"/>
          <w:vertAlign w:val="subscript"/>
        </w:rPr>
        <w:t>2</w:t>
      </w:r>
      <w:r>
        <w:rPr>
          <w:rFonts w:hint="eastAsia"/>
          <w:szCs w:val="24"/>
        </w:rPr>
        <w:t>MnSn系与Cu</w:t>
      </w:r>
      <w:r>
        <w:rPr>
          <w:rFonts w:hint="eastAsia"/>
          <w:szCs w:val="24"/>
          <w:vertAlign w:val="subscript"/>
        </w:rPr>
        <w:t>2</w:t>
      </w:r>
      <w:r>
        <w:rPr>
          <w:rFonts w:hint="eastAsia"/>
          <w:szCs w:val="24"/>
        </w:rPr>
        <w:t>MnAl系合金，这是一类并不具有铁磁性的元素，但是组成的合金却具有铁磁性的合金，人们把该合金命名为哈斯勒合金</w:t>
      </w:r>
      <w:r>
        <w:rPr>
          <w:rFonts w:hint="eastAsia"/>
          <w:szCs w:val="24"/>
          <w:vertAlign w:val="superscript"/>
        </w:rPr>
        <w:t>[2]</w:t>
      </w:r>
      <w:r>
        <w:rPr>
          <w:rFonts w:hint="eastAsia"/>
          <w:szCs w:val="24"/>
        </w:rPr>
        <w:t>。自此之后，人们通过对Heusler合金进行研究，在此基础上发现了许多种与其性能类似的合金，将其统一归类为Heusler型合金。</w:t>
      </w:r>
    </w:p>
    <w:p>
      <w:pPr>
        <w:widowControl/>
        <w:spacing w:line="360" w:lineRule="auto"/>
        <w:ind w:firstLine="480" w:firstLineChars="200"/>
        <w:rPr>
          <w:szCs w:val="24"/>
        </w:rPr>
      </w:pPr>
      <w:r>
        <w:rPr>
          <w:szCs w:val="24"/>
        </w:rPr>
        <w:br/>
      </w:r>
      <w:r>
        <w:rPr>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https://d.book118.com/487036046166006044</w:t>
        </w:r>
      </w:hyperlink>
    </w:p>
    <w:p>
      <w:pPr>
        <w:widowControl/>
        <w:spacing w:line="360" w:lineRule="auto"/>
        <w:ind w:firstLine="480" w:firstLineChars="200"/>
        <w:rPr>
          <w:szCs w:val="24"/>
        </w:rPr>
      </w:pPr>
    </w:p>
    <w:sectPr>
      <w:headerReference w:type="even" r:id="rId9"/>
      <w:footerReference w:type="even" r:id="rId10"/>
      <w:footerReference w:type="default" r:id="rId11"/>
      <w:type w:val="nextPage"/>
      <w:pgSz w:w="11906" w:h="16838"/>
      <w:pgMar w:top="1418" w:right="1134" w:bottom="1418" w:left="1418"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STXingkai">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40</w:t>
    </w:r>
    <w:r>
      <w:fldChar w:fldCharType="end"/>
    </w:r>
  </w:p>
  <w:p>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jc w:val="right"/>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framePr w:wrap="around" w:vAnchor="text" w:hAnchor="margin" w:xAlign="right" w:y="1"/>
      <w:ind w:right="360"/>
      <w:rPr>
        <w:rStyle w:val="PageNumber"/>
      </w:rPr>
    </w:pPr>
  </w:p>
  <w:p>
    <w:pPr>
      <w:pStyle w:val="Footer"/>
      <w:ind w:right="540" w:firstLine="360"/>
      <w:jc w:val="right"/>
    </w:pPr>
    <w:r>
      <w:rP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40</w:t>
    </w:r>
    <w:r>
      <w:fldChar w:fldCharType="end"/>
    </w:r>
  </w:p>
  <w:p>
    <w:pP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jc w:val="right"/>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framePr w:wrap="around" w:vAnchor="text" w:hAnchor="margin" w:xAlign="right" w:y="1"/>
      <w:ind w:right="360"/>
      <w:rPr>
        <w:rStyle w:val="PageNumber"/>
      </w:rPr>
    </w:pPr>
  </w:p>
  <w:p>
    <w:pPr>
      <w:pStyle w:val="Footer"/>
      <w:ind w:right="540" w:firstLine="360"/>
      <w:jc w:val="right"/>
    </w:pPr>
    <w:r>
      <w:rPr>
        <w:rFonts w:hint="eastAsia"/>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佟奕杉：Si对电弧熔炼NiMn基多元合金组织及性能研究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佟奕杉：Si对电弧熔炼NiMn基多元合金组织及性能研究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D4DE253"/>
    <w:multiLevelType w:val="singleLevel"/>
    <w:tmpl w:val="8D4DE253"/>
    <w:lvl w:ilvl="0">
      <w:start w:val="1"/>
      <w:numFmt w:val="decimal"/>
      <w:lvlText w:val="%1."/>
      <w:lvlJc w:val="left"/>
      <w:pPr>
        <w:tabs>
          <w:tab w:val="left" w:pos="312"/>
        </w:tabs>
      </w:pPr>
    </w:lvl>
  </w:abstractNum>
  <w:abstractNum w:abstractNumId="1">
    <w:nsid w:val="B1D663F5"/>
    <w:multiLevelType w:val="singleLevel"/>
    <w:tmpl w:val="B1D663F5"/>
    <w:lvl w:ilvl="0">
      <w:start w:val="1"/>
      <w:numFmt w:val="decimal"/>
      <w:lvlText w:val="%1."/>
      <w:lvlJc w:val="left"/>
      <w:pPr>
        <w:tabs>
          <w:tab w:val="left" w:pos="312"/>
        </w:tabs>
      </w:pPr>
    </w:lvl>
  </w:abstractNum>
  <w:abstractNum w:abstractNumId="2">
    <w:nsid w:val="CFC39EB6"/>
    <w:multiLevelType w:val="singleLevel"/>
    <w:tmpl w:val="CFC39EB6"/>
    <w:lvl w:ilvl="0">
      <w:start w:val="1"/>
      <w:numFmt w:val="decimal"/>
      <w:suff w:val="nothing"/>
      <w:lvlText w:val="（%1）"/>
      <w:lvlJc w:val="left"/>
    </w:lvl>
  </w:abstractNum>
  <w:abstractNum w:abstractNumId="3">
    <w:nsid w:val="2CCEDE70"/>
    <w:multiLevelType w:val="singleLevel"/>
    <w:tmpl w:val="2CCEDE70"/>
    <w:lvl w:ilvl="0">
      <w:start w:val="1"/>
      <w:numFmt w:val="decimal"/>
      <w:suff w:val="nothing"/>
      <w:lvlText w:val="（%1）"/>
      <w:lvlJc w:val="left"/>
    </w:lvl>
  </w:abstractNum>
  <w:abstractNum w:abstractNumId="4">
    <w:nsid w:val="5373B15D"/>
    <w:multiLevelType w:val="singleLevel"/>
    <w:tmpl w:val="5373B15D"/>
    <w:lvl w:ilvl="0">
      <w:start w:val="3"/>
      <w:numFmt w:val="decimal"/>
      <w:lvlText w:val="(%1)"/>
      <w:lvlJc w:val="left"/>
      <w:pPr>
        <w:tabs>
          <w:tab w:val="left" w:pos="312"/>
        </w:tabs>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418"/>
    <w:rsid w:val="00170D0C"/>
    <w:rsid w:val="0027313B"/>
    <w:rsid w:val="007E7418"/>
    <w:rsid w:val="00A37320"/>
    <w:rsid w:val="3ED1734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4"/>
      <w:lang w:val="en-US" w:eastAsia="zh-CN" w:bidi="ar-SA"/>
    </w:rPr>
  </w:style>
  <w:style w:type="paragraph" w:styleId="Heading1">
    <w:name w:val="heading 1"/>
    <w:basedOn w:val="Normal"/>
    <w:next w:val="Normal"/>
    <w:link w:val="110"/>
    <w:qFormat/>
    <w:pPr>
      <w:keepNext/>
      <w:keepLines/>
      <w:spacing w:line="578" w:lineRule="auto"/>
      <w:outlineLvl w:val="0"/>
    </w:pPr>
    <w:rPr>
      <w:rFonts w:eastAsia="黑体"/>
      <w:bCs/>
      <w:kern w:val="44"/>
      <w:sz w:val="36"/>
      <w:szCs w:val="44"/>
    </w:rPr>
  </w:style>
  <w:style w:type="paragraph" w:styleId="Heading2">
    <w:name w:val="heading 2"/>
    <w:basedOn w:val="Normal"/>
    <w:next w:val="Normal"/>
    <w:link w:val="2"/>
    <w:qFormat/>
    <w:pPr>
      <w:keepNext/>
      <w:keepLines/>
      <w:spacing w:before="260" w:after="260" w:line="416" w:lineRule="auto"/>
      <w:outlineLvl w:val="1"/>
    </w:pPr>
    <w:rPr>
      <w:rFonts w:ascii="Arial" w:eastAsia="黑体" w:hAnsi="Arial"/>
      <w:bCs/>
      <w:sz w:val="30"/>
      <w:szCs w:val="32"/>
    </w:rPr>
  </w:style>
  <w:style w:type="paragraph" w:styleId="Heading3">
    <w:name w:val="heading 3"/>
    <w:basedOn w:val="Normal"/>
    <w:next w:val="Normal"/>
    <w:link w:val="3"/>
    <w:qFormat/>
    <w:pPr>
      <w:keepNext/>
      <w:keepLines/>
      <w:spacing w:before="260" w:after="260" w:line="416" w:lineRule="auto"/>
      <w:outlineLvl w:val="2"/>
    </w:pPr>
    <w:rPr>
      <w:rFonts w:eastAsia="黑体"/>
      <w:bCs/>
      <w:sz w:val="28"/>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semiHidden/>
    <w:qFormat/>
    <w:pPr>
      <w:ind w:left="2520" w:leftChars="1200"/>
    </w:pPr>
    <w:rPr>
      <w:szCs w:val="24"/>
    </w:rPr>
  </w:style>
  <w:style w:type="paragraph" w:styleId="DocumentMap">
    <w:name w:val="Document Map"/>
    <w:basedOn w:val="Normal"/>
    <w:link w:val="a6"/>
    <w:semiHidden/>
    <w:qFormat/>
    <w:pPr>
      <w:shd w:val="clear" w:color="auto" w:fill="000080"/>
    </w:pPr>
  </w:style>
  <w:style w:type="paragraph" w:styleId="CommentText">
    <w:name w:val="annotation text"/>
    <w:basedOn w:val="Normal"/>
    <w:link w:val="a7"/>
    <w:qFormat/>
    <w:pPr>
      <w:jc w:val="left"/>
    </w:pPr>
  </w:style>
  <w:style w:type="paragraph" w:styleId="BodyText">
    <w:name w:val="Body Text"/>
    <w:basedOn w:val="Normal"/>
    <w:link w:val="a4"/>
    <w:qFormat/>
    <w:pPr>
      <w:spacing w:after="120"/>
    </w:pPr>
    <w:rPr>
      <w:szCs w:val="24"/>
    </w:rPr>
  </w:style>
  <w:style w:type="paragraph" w:styleId="BodyTextIndent">
    <w:name w:val="Body Text Indent"/>
    <w:basedOn w:val="Normal"/>
    <w:qFormat/>
    <w:pPr>
      <w:spacing w:before="60" w:line="360" w:lineRule="exact"/>
      <w:ind w:firstLine="454"/>
    </w:pPr>
  </w:style>
  <w:style w:type="paragraph" w:styleId="TOC5">
    <w:name w:val="toc 5"/>
    <w:basedOn w:val="Normal"/>
    <w:next w:val="Normal"/>
    <w:semiHidden/>
    <w:qFormat/>
    <w:pPr>
      <w:ind w:left="1680" w:leftChars="800"/>
    </w:pPr>
    <w:rPr>
      <w:szCs w:val="24"/>
    </w:rPr>
  </w:style>
  <w:style w:type="paragraph" w:styleId="TOC3">
    <w:name w:val="toc 3"/>
    <w:basedOn w:val="Normal"/>
    <w:next w:val="Normal"/>
    <w:uiPriority w:val="39"/>
    <w:qFormat/>
    <w:pPr>
      <w:tabs>
        <w:tab w:val="right" w:leader="dot" w:pos="9360"/>
      </w:tabs>
      <w:spacing w:line="360" w:lineRule="auto"/>
      <w:outlineLvl w:val="1"/>
    </w:pPr>
    <w:rPr>
      <w:rFonts w:eastAsia="楷体"/>
      <w:sz w:val="28"/>
    </w:rPr>
  </w:style>
  <w:style w:type="paragraph" w:styleId="TOC8">
    <w:name w:val="toc 8"/>
    <w:basedOn w:val="Normal"/>
    <w:next w:val="Normal"/>
    <w:semiHidden/>
    <w:qFormat/>
    <w:pPr>
      <w:ind w:left="2940" w:leftChars="1400"/>
    </w:pPr>
    <w:rPr>
      <w:szCs w:val="24"/>
    </w:rPr>
  </w:style>
  <w:style w:type="paragraph" w:styleId="EndnoteText">
    <w:name w:val="endnote text"/>
    <w:basedOn w:val="Normal"/>
    <w:link w:val="a1"/>
    <w:qFormat/>
    <w:pPr>
      <w:snapToGrid w:val="0"/>
      <w:jc w:val="left"/>
    </w:pPr>
  </w:style>
  <w:style w:type="paragraph" w:styleId="BalloonText">
    <w:name w:val="Balloon Text"/>
    <w:basedOn w:val="Normal"/>
    <w:link w:val="a3"/>
    <w:qFormat/>
    <w:rPr>
      <w:sz w:val="18"/>
      <w:szCs w:val="18"/>
    </w:rPr>
  </w:style>
  <w:style w:type="paragraph" w:styleId="Footer">
    <w:name w:val="footer"/>
    <w:basedOn w:val="Normal"/>
    <w:link w:val="a10"/>
    <w:qFormat/>
    <w:pPr>
      <w:tabs>
        <w:tab w:val="center" w:pos="4153"/>
        <w:tab w:val="right" w:pos="8306"/>
      </w:tabs>
      <w:snapToGrid w:val="0"/>
      <w:jc w:val="left"/>
    </w:pPr>
    <w:rPr>
      <w:sz w:val="18"/>
      <w:szCs w:val="18"/>
    </w:rPr>
  </w:style>
  <w:style w:type="paragraph" w:styleId="Header">
    <w:name w:val="header"/>
    <w:basedOn w:val="Normal"/>
    <w:link w:val="a8"/>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9360"/>
      </w:tabs>
      <w:spacing w:line="360" w:lineRule="auto"/>
      <w:ind w:left="180" w:hanging="180" w:hangingChars="50"/>
    </w:pPr>
    <w:rPr>
      <w:rFonts w:eastAsia="黑体"/>
      <w:sz w:val="28"/>
    </w:rPr>
  </w:style>
  <w:style w:type="paragraph" w:styleId="TOC4">
    <w:name w:val="toc 4"/>
    <w:basedOn w:val="Normal"/>
    <w:next w:val="Normal"/>
    <w:semiHidden/>
    <w:qFormat/>
    <w:pPr>
      <w:ind w:left="1260" w:leftChars="600"/>
    </w:pPr>
    <w:rPr>
      <w:szCs w:val="24"/>
    </w:rPr>
  </w:style>
  <w:style w:type="paragraph" w:styleId="TOC6">
    <w:name w:val="toc 6"/>
    <w:basedOn w:val="Normal"/>
    <w:next w:val="Normal"/>
    <w:semiHidden/>
    <w:qFormat/>
    <w:pPr>
      <w:ind w:left="2100" w:leftChars="1000"/>
    </w:pPr>
    <w:rPr>
      <w:szCs w:val="24"/>
    </w:rPr>
  </w:style>
  <w:style w:type="paragraph" w:styleId="TOC2">
    <w:name w:val="toc 2"/>
    <w:basedOn w:val="Normal"/>
    <w:next w:val="Normal"/>
    <w:uiPriority w:val="39"/>
    <w:qFormat/>
    <w:pPr>
      <w:tabs>
        <w:tab w:val="right" w:leader="dot" w:pos="9360"/>
      </w:tabs>
      <w:spacing w:line="360" w:lineRule="auto"/>
    </w:pPr>
    <w:rPr>
      <w:sz w:val="28"/>
    </w:rPr>
  </w:style>
  <w:style w:type="paragraph" w:styleId="TOC9">
    <w:name w:val="toc 9"/>
    <w:basedOn w:val="Normal"/>
    <w:next w:val="Normal"/>
    <w:semiHidden/>
    <w:qFormat/>
    <w:pPr>
      <w:ind w:left="3360" w:leftChars="1600"/>
    </w:pPr>
    <w:rPr>
      <w:szCs w:val="24"/>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Cs w:val="24"/>
    </w:rPr>
  </w:style>
  <w:style w:type="paragraph" w:styleId="Title">
    <w:name w:val="Title"/>
    <w:basedOn w:val="Normal"/>
    <w:next w:val="Normal"/>
    <w:link w:val="a2"/>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a5"/>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ndnoteReference">
    <w:name w:val="endnote reference"/>
    <w:qFormat/>
    <w:rPr>
      <w:vertAlign w:val="superscript"/>
    </w:rPr>
  </w:style>
  <w:style w:type="character" w:styleId="PageNumber">
    <w:name w:val="page number"/>
    <w:basedOn w:val="DefaultParagraphFont"/>
    <w:qFormat/>
  </w:style>
  <w:style w:type="character" w:styleId="Emphasis">
    <w:name w:val="Emphasis"/>
    <w:basedOn w:val="DefaultParagraphFont"/>
    <w:qFormat/>
    <w:rPr>
      <w:i/>
    </w:rPr>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paragraph" w:customStyle="1" w:styleId="a">
    <w:name w:val="!表内正文"/>
    <w:basedOn w:val="Normal"/>
    <w:qFormat/>
    <w:pPr>
      <w:spacing w:line="360" w:lineRule="auto"/>
      <w:jc w:val="center"/>
    </w:pPr>
    <w:rPr>
      <w:szCs w:val="16"/>
    </w:rPr>
  </w:style>
  <w:style w:type="paragraph" w:customStyle="1" w:styleId="22212">
    <w:name w:val="样式 样式 正文首行缩进 2 + 左侧:  2 字符 首行缩进:  2 字符1 + 首行缩进:  2 字符"/>
    <w:basedOn w:val="Normal"/>
    <w:link w:val="22212Char"/>
    <w:qFormat/>
    <w:pPr>
      <w:widowControl/>
      <w:tabs>
        <w:tab w:val="left" w:pos="0"/>
      </w:tabs>
      <w:adjustRightInd w:val="0"/>
      <w:snapToGrid w:val="0"/>
      <w:spacing w:line="360" w:lineRule="auto"/>
      <w:ind w:left="115" w:firstLine="480" w:firstLineChars="200"/>
    </w:pPr>
    <w:rPr>
      <w:rFonts w:cs="宋体"/>
      <w:spacing w:val="10"/>
      <w:kern w:val="0"/>
      <w:szCs w:val="24"/>
    </w:rPr>
  </w:style>
  <w:style w:type="paragraph" w:customStyle="1" w:styleId="15">
    <w:name w:val="样式 小四 行距: 1.5 倍行距"/>
    <w:basedOn w:val="Normal"/>
    <w:qFormat/>
    <w:pPr>
      <w:spacing w:line="360" w:lineRule="auto"/>
      <w:ind w:firstLine="480" w:firstLineChars="200"/>
    </w:pPr>
    <w:rPr>
      <w:rFonts w:cs="宋体"/>
    </w:rPr>
  </w:style>
  <w:style w:type="paragraph" w:customStyle="1" w:styleId="tgt">
    <w:name w:val="tgt"/>
    <w:basedOn w:val="Normal"/>
    <w:qFormat/>
    <w:pPr>
      <w:widowControl/>
      <w:spacing w:before="100" w:beforeAutospacing="1" w:after="100" w:afterAutospacing="1"/>
      <w:jc w:val="left"/>
    </w:pPr>
    <w:rPr>
      <w:rFonts w:ascii="宋体" w:hAnsi="宋体" w:cs="宋体"/>
      <w:kern w:val="0"/>
      <w:szCs w:val="24"/>
    </w:rPr>
  </w:style>
  <w:style w:type="paragraph" w:customStyle="1" w:styleId="a0">
    <w:name w:val="样式 五号 居中 行距: 单倍行距"/>
    <w:basedOn w:val="Normal"/>
    <w:qFormat/>
    <w:pPr>
      <w:widowControl/>
      <w:tabs>
        <w:tab w:val="left" w:pos="377"/>
      </w:tabs>
      <w:spacing w:before="156" w:beforeLines="50"/>
      <w:ind w:firstLine="374"/>
      <w:jc w:val="center"/>
    </w:pPr>
    <w:rPr>
      <w:rFonts w:cs="宋体"/>
      <w:spacing w:val="10"/>
      <w:kern w:val="0"/>
    </w:rPr>
  </w:style>
  <w:style w:type="character" w:customStyle="1" w:styleId="a1">
    <w:name w:val="尾注文本 字符"/>
    <w:link w:val="EndnoteText"/>
    <w:qFormat/>
    <w:rPr>
      <w:kern w:val="2"/>
      <w:sz w:val="24"/>
    </w:rPr>
  </w:style>
  <w:style w:type="character" w:customStyle="1" w:styleId="a2">
    <w:name w:val="标题 字符"/>
    <w:link w:val="Title"/>
    <w:qFormat/>
    <w:rPr>
      <w:rFonts w:ascii="Cambria" w:hAnsi="Cambria" w:cs="Times New Roman"/>
      <w:b/>
      <w:bCs/>
      <w:kern w:val="2"/>
      <w:sz w:val="32"/>
      <w:szCs w:val="32"/>
    </w:rPr>
  </w:style>
  <w:style w:type="character" w:customStyle="1" w:styleId="3">
    <w:name w:val="标题 3 字符"/>
    <w:link w:val="Heading3"/>
    <w:qFormat/>
    <w:rPr>
      <w:rFonts w:eastAsia="黑体"/>
      <w:bCs/>
      <w:kern w:val="2"/>
      <w:sz w:val="28"/>
      <w:szCs w:val="32"/>
    </w:rPr>
  </w:style>
  <w:style w:type="character" w:customStyle="1" w:styleId="22212Char">
    <w:name w:val="样式 样式 正文首行缩进 2 + 左侧:  2 字符 首行缩进:  2 字符1 + 首行缩进:  2 字符 Char"/>
    <w:link w:val="22212"/>
    <w:qFormat/>
    <w:rPr>
      <w:rFonts w:eastAsia="宋体" w:cs="宋体"/>
      <w:spacing w:val="10"/>
      <w:sz w:val="24"/>
      <w:szCs w:val="24"/>
      <w:lang w:val="en-US" w:eastAsia="zh-CN" w:bidi="ar-SA"/>
    </w:rPr>
  </w:style>
  <w:style w:type="character" w:customStyle="1" w:styleId="a3">
    <w:name w:val="批注框文本 字符"/>
    <w:link w:val="BalloonText"/>
    <w:qFormat/>
    <w:rPr>
      <w:kern w:val="2"/>
      <w:sz w:val="18"/>
      <w:szCs w:val="18"/>
    </w:rPr>
  </w:style>
  <w:style w:type="character" w:customStyle="1" w:styleId="a4">
    <w:name w:val="正文文本 字符"/>
    <w:link w:val="BodyText"/>
    <w:qFormat/>
    <w:locked/>
    <w:rPr>
      <w:rFonts w:eastAsia="宋体"/>
      <w:kern w:val="2"/>
      <w:sz w:val="24"/>
      <w:szCs w:val="24"/>
      <w:lang w:val="en-US" w:eastAsia="zh-CN" w:bidi="ar-SA"/>
    </w:rPr>
  </w:style>
  <w:style w:type="character" w:customStyle="1" w:styleId="1">
    <w:name w:val="标题 1 字符"/>
    <w:qFormat/>
    <w:rPr>
      <w:rFonts w:eastAsia="黑体"/>
      <w:bCs/>
      <w:kern w:val="44"/>
      <w:sz w:val="36"/>
      <w:szCs w:val="44"/>
      <w:lang w:val="en-US" w:eastAsia="zh-CN" w:bidi="ar-SA"/>
    </w:rPr>
  </w:style>
  <w:style w:type="character" w:customStyle="1" w:styleId="a5">
    <w:name w:val="批注主题 字符"/>
    <w:link w:val="CommentSubject"/>
    <w:qFormat/>
    <w:rPr>
      <w:b/>
      <w:bCs/>
      <w:kern w:val="2"/>
      <w:sz w:val="24"/>
    </w:rPr>
  </w:style>
  <w:style w:type="character" w:customStyle="1" w:styleId="2">
    <w:name w:val="标题 2 字符"/>
    <w:link w:val="Heading2"/>
    <w:qFormat/>
    <w:rPr>
      <w:rFonts w:ascii="Arial" w:eastAsia="黑体" w:hAnsi="Arial"/>
      <w:bCs/>
      <w:kern w:val="2"/>
      <w:sz w:val="30"/>
      <w:szCs w:val="32"/>
    </w:rPr>
  </w:style>
  <w:style w:type="character" w:customStyle="1" w:styleId="a6">
    <w:name w:val="文档结构图 字符"/>
    <w:link w:val="DocumentMap"/>
    <w:semiHidden/>
    <w:qFormat/>
    <w:rPr>
      <w:kern w:val="2"/>
      <w:sz w:val="24"/>
      <w:shd w:val="clear" w:color="auto" w:fill="000080"/>
    </w:rPr>
  </w:style>
  <w:style w:type="character" w:customStyle="1" w:styleId="a7">
    <w:name w:val="批注文字 字符"/>
    <w:link w:val="CommentText"/>
    <w:qFormat/>
    <w:rPr>
      <w:kern w:val="2"/>
      <w:sz w:val="24"/>
    </w:rPr>
  </w:style>
  <w:style w:type="character" w:customStyle="1" w:styleId="a8">
    <w:name w:val="页眉 字符"/>
    <w:link w:val="Header"/>
    <w:qFormat/>
    <w:rPr>
      <w:kern w:val="2"/>
      <w:sz w:val="18"/>
      <w:szCs w:val="18"/>
    </w:rPr>
  </w:style>
  <w:style w:type="character" w:customStyle="1" w:styleId="a9">
    <w:name w:val="样式 (符号) 宋体 小四"/>
    <w:qFormat/>
    <w:rPr>
      <w:rFonts w:eastAsia="宋体"/>
      <w:sz w:val="24"/>
    </w:rPr>
  </w:style>
  <w:style w:type="character" w:customStyle="1" w:styleId="apple-converted-space">
    <w:name w:val="apple-converted-space"/>
    <w:basedOn w:val="DefaultParagraphFont"/>
    <w:qFormat/>
  </w:style>
  <w:style w:type="character" w:customStyle="1" w:styleId="a10">
    <w:name w:val="页脚 字符"/>
    <w:link w:val="Footer"/>
    <w:qFormat/>
    <w:rPr>
      <w:kern w:val="2"/>
      <w:sz w:val="18"/>
      <w:szCs w:val="18"/>
    </w:rPr>
  </w:style>
  <w:style w:type="table" w:customStyle="1" w:styleId="Style51">
    <w:name w:val="_Style 51"/>
    <w:basedOn w:val="TableNormal"/>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Style52">
    <w:name w:val="_Style 52"/>
    <w:basedOn w:val="TableNormal"/>
    <w:uiPriority w:val="46"/>
    <w:qFormat/>
    <w:tblPr>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top w:val="nil"/>
          <w:left w:val="single" w:sz="12" w:space="0" w:color="9CC2E5"/>
          <w:bottom w:val="nil"/>
          <w:right w:val="nil"/>
          <w:insideH w:val="nil"/>
          <w:insideV w:val="nil"/>
          <w:tl2br w:val="nil"/>
          <w:tr2bl w:val="nil"/>
        </w:tcBorders>
      </w:tcPr>
    </w:tblStylePr>
    <w:tblStylePr w:type="lastRow">
      <w:rPr>
        <w:b/>
        <w:bCs/>
      </w:rPr>
      <w:tblPr/>
      <w:tcPr>
        <w:tcBorders>
          <w:top w:val="double" w:sz="2" w:space="0" w:color="9CC2E5"/>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Style53">
    <w:name w:val="_Style 53"/>
    <w:basedOn w:val="TableNormal"/>
    <w:uiPriority w:val="42"/>
    <w:qFormat/>
    <w:tblPr>
      <w:tblBorders>
        <w:top w:val="single" w:sz="4" w:space="0" w:color="7F7F7F"/>
        <w:bottom w:val="single" w:sz="4" w:space="0" w:color="7F7F7F"/>
      </w:tblBorders>
    </w:tblPr>
    <w:tblStylePr w:type="firstRow">
      <w:rPr>
        <w:b/>
        <w:bCs/>
      </w:rPr>
      <w:tblPr/>
      <w:tcPr>
        <w:tcBorders>
          <w:top w:val="nil"/>
          <w:left w:val="single" w:sz="4" w:space="0" w:color="7F7F7F"/>
          <w:bottom w:val="nil"/>
          <w:right w:val="nil"/>
          <w:insideH w:val="nil"/>
          <w:insideV w:val="nil"/>
          <w:tl2br w:val="nil"/>
          <w:tr2bl w:val="nil"/>
        </w:tcBorders>
      </w:tcPr>
    </w:tblStylePr>
    <w:tblStylePr w:type="lastRow">
      <w:rPr>
        <w:b/>
        <w:bCs/>
      </w:rPr>
      <w:tblPr/>
      <w:tcPr>
        <w:tcBorders>
          <w:top w:val="single" w:sz="4" w:space="0" w:color="7F7F7F"/>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single" w:sz="4" w:space="0" w:color="7F7F7F"/>
          <w:right w:val="single" w:sz="4" w:space="0" w:color="7F7F7F"/>
          <w:insideH w:val="nil"/>
          <w:insideV w:val="nil"/>
          <w:tl2br w:val="nil"/>
          <w:tr2bl w:val="nil"/>
        </w:tcBorders>
      </w:tcPr>
    </w:tblStylePr>
    <w:tblStylePr w:type="band2Vert">
      <w:tblPr/>
      <w:tcPr>
        <w:tcBorders>
          <w:top w:val="nil"/>
          <w:left w:val="nil"/>
          <w:bottom w:val="single" w:sz="4" w:space="0" w:color="7F7F7F"/>
          <w:right w:val="single" w:sz="4" w:space="0" w:color="7F7F7F"/>
          <w:insideH w:val="nil"/>
          <w:insideV w:val="nil"/>
          <w:tl2br w:val="nil"/>
          <w:tr2bl w:val="nil"/>
        </w:tcBorders>
      </w:tcPr>
    </w:tblStylePr>
    <w:tblStylePr w:type="band1Horz">
      <w:tblPr/>
      <w:tcPr>
        <w:tcBorders>
          <w:top w:val="single" w:sz="4" w:space="0" w:color="7F7F7F"/>
          <w:left w:val="single" w:sz="4" w:space="0" w:color="7F7F7F"/>
          <w:bottom w:val="nil"/>
          <w:right w:val="nil"/>
          <w:insideH w:val="nil"/>
          <w:insideV w:val="nil"/>
          <w:tl2br w:val="nil"/>
          <w:tr2bl w:val="nil"/>
        </w:tcBorders>
      </w:tcPr>
    </w:tblStylePr>
  </w:style>
  <w:style w:type="table" w:customStyle="1" w:styleId="Style54">
    <w:name w:val="_Style 54"/>
    <w:basedOn w:val="TableNormal"/>
    <w:uiPriority w:val="46"/>
    <w:qFormat/>
    <w:tblPr>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top w:val="nil"/>
          <w:left w:val="single" w:sz="12" w:space="0" w:color="A8D08D"/>
          <w:bottom w:val="nil"/>
          <w:right w:val="nil"/>
          <w:insideH w:val="nil"/>
          <w:insideV w:val="nil"/>
          <w:tl2br w:val="nil"/>
          <w:tr2bl w:val="nil"/>
        </w:tcBorders>
      </w:tcPr>
    </w:tblStylePr>
    <w:tblStylePr w:type="lastRow">
      <w:rPr>
        <w:b/>
        <w:bCs/>
      </w:rPr>
      <w:tblPr/>
      <w:tcPr>
        <w:tcBorders>
          <w:top w:val="double" w:sz="2" w:space="0" w:color="A8D08D"/>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Style55">
    <w:name w:val="_Style 55"/>
    <w:basedOn w:val="TableNormal"/>
    <w:uiPriority w:val="41"/>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Style56">
    <w:name w:val="_Style 56"/>
    <w:basedOn w:val="TableNormal"/>
    <w:uiPriority w:val="46"/>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top w:val="nil"/>
          <w:left w:val="single" w:sz="12" w:space="0" w:color="8EAADB"/>
          <w:bottom w:val="nil"/>
          <w:right w:val="nil"/>
          <w:insideH w:val="nil"/>
          <w:insideV w:val="nil"/>
          <w:tl2br w:val="nil"/>
          <w:tr2bl w:val="nil"/>
        </w:tcBorders>
      </w:tcPr>
    </w:tblStylePr>
    <w:tblStylePr w:type="lastRow">
      <w:rPr>
        <w:b/>
        <w:bCs/>
      </w:rPr>
      <w:tblPr/>
      <w:tcPr>
        <w:tcBorders>
          <w:top w:val="double" w:sz="2" w:space="0" w:color="8EAADB"/>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Style57">
    <w:name w:val="_Style 57"/>
    <w:basedOn w:val="TableNormal"/>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il"/>
          <w:left w:val="single" w:sz="12" w:space="0" w:color="666666"/>
          <w:bottom w:val="nil"/>
          <w:right w:val="nil"/>
          <w:insideH w:val="nil"/>
          <w:insideV w:val="nil"/>
          <w:tl2br w:val="nil"/>
          <w:tr2bl w:val="nil"/>
        </w:tcBorders>
      </w:tcPr>
    </w:tblStylePr>
    <w:tblStylePr w:type="lastRow">
      <w:rPr>
        <w:b/>
        <w:bCs/>
      </w:rPr>
      <w:tblPr/>
      <w:tcPr>
        <w:tcBorders>
          <w:top w:val="double" w:sz="2" w:space="0" w:color="666666"/>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Style58">
    <w:name w:val="_Style 58"/>
    <w:basedOn w:val="TableNormal"/>
    <w:uiPriority w:val="45"/>
    <w:qFormat/>
    <w:tblPr/>
    <w:tblStylePr w:type="firstRow">
      <w:rPr>
        <w:rFonts w:cs="Times New Roman"/>
        <w:i/>
        <w:iCs/>
        <w:sz w:val="26"/>
      </w:rPr>
      <w:tblPr/>
      <w:tcPr>
        <w:tcBorders>
          <w:top w:val="nil"/>
          <w:left w:val="single" w:sz="4" w:space="0" w:color="7F7F7F"/>
          <w:bottom w:val="nil"/>
          <w:right w:val="nil"/>
          <w:insideH w:val="nil"/>
          <w:insideV w:val="nil"/>
          <w:tl2br w:val="nil"/>
          <w:tr2bl w:val="nil"/>
        </w:tcBorders>
        <w:shd w:val="clear" w:color="auto" w:fill="FFFFFF"/>
      </w:tcPr>
    </w:tblStylePr>
    <w:tblStylePr w:type="lastRow">
      <w:rPr>
        <w:rFonts w:cs="Times New Roman"/>
        <w:i/>
        <w:iCs/>
        <w:sz w:val="26"/>
      </w:rPr>
      <w:tblPr/>
      <w:tcPr>
        <w:tcBorders>
          <w:top w:val="single" w:sz="4" w:space="0" w:color="7F7F7F"/>
          <w:left w:val="nil"/>
          <w:bottom w:val="nil"/>
          <w:right w:val="nil"/>
          <w:insideH w:val="nil"/>
          <w:insideV w:val="nil"/>
          <w:tl2br w:val="nil"/>
          <w:tr2bl w:val="nil"/>
        </w:tcBorders>
        <w:shd w:val="clear" w:color="auto" w:fill="FFFFFF"/>
      </w:tcPr>
    </w:tblStylePr>
    <w:tblStylePr w:type="firstCol">
      <w:pPr>
        <w:jc w:val="right"/>
      </w:pPr>
      <w:rPr>
        <w:rFonts w:cs="Times New Roman"/>
        <w:i/>
        <w:iCs/>
        <w:sz w:val="26"/>
      </w:rPr>
      <w:tblPr/>
      <w:tcPr>
        <w:tcBorders>
          <w:top w:val="nil"/>
          <w:left w:val="nil"/>
          <w:bottom w:val="nil"/>
          <w:right w:val="single" w:sz="4" w:space="0" w:color="7F7F7F"/>
          <w:insideH w:val="nil"/>
          <w:insideV w:val="nil"/>
          <w:tl2br w:val="nil"/>
          <w:tr2bl w:val="nil"/>
        </w:tcBorders>
        <w:shd w:val="clear" w:color="auto" w:fill="FFFFFF"/>
      </w:tcPr>
    </w:tblStylePr>
    <w:tblStylePr w:type="lastCol">
      <w:rPr>
        <w:rFonts w:cs="Times New Roman"/>
        <w:i/>
        <w:iCs/>
        <w:sz w:val="26"/>
      </w:rPr>
      <w:tblPr/>
      <w:tcPr>
        <w:tcBorders>
          <w:top w:val="nil"/>
          <w:left w:val="nil"/>
          <w:bottom w:val="single" w:sz="4" w:space="0" w:color="7F7F7F"/>
          <w:right w:val="nil"/>
          <w:insideH w:val="nil"/>
          <w:insideV w:val="nil"/>
          <w:tl2br w:val="nil"/>
          <w:tr2bl w:val="nil"/>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Style59">
    <w:name w:val="_Style 59"/>
    <w:basedOn w:val="TableNormal"/>
    <w:uiPriority w:val="43"/>
    <w:qFormat/>
    <w:tblPr/>
    <w:tblStylePr w:type="firstRow">
      <w:rPr>
        <w:b/>
        <w:bCs/>
        <w:caps/>
      </w:rPr>
      <w:tblPr/>
      <w:tcPr>
        <w:tcBorders>
          <w:top w:val="nil"/>
          <w:left w:val="single" w:sz="4" w:space="0" w:color="7F7F7F"/>
          <w:bottom w:val="nil"/>
          <w:right w:val="nil"/>
          <w:insideH w:val="nil"/>
          <w:insideV w:val="nil"/>
          <w:tl2br w:val="nil"/>
          <w:tr2bl w:val="nil"/>
        </w:tcBorders>
      </w:tcPr>
    </w:tblStylePr>
    <w:tblStylePr w:type="lastRow">
      <w:rPr>
        <w:b/>
        <w:bCs/>
        <w:caps/>
      </w:rPr>
      <w:tblPr/>
      <w:tcPr>
        <w:tcBorders>
          <w:top w:val="nil"/>
          <w:left w:val="nil"/>
          <w:bottom w:val="nil"/>
          <w:right w:val="nil"/>
          <w:insideH w:val="nil"/>
          <w:insideV w:val="nil"/>
          <w:tl2br w:val="nil"/>
          <w:tr2bl w:val="nil"/>
        </w:tcBorders>
      </w:tcPr>
    </w:tblStylePr>
    <w:tblStylePr w:type="firstCol">
      <w:rPr>
        <w:b/>
        <w:bCs/>
        <w:caps/>
      </w:rPr>
      <w:tblPr/>
      <w:tcPr>
        <w:tcBorders>
          <w:top w:val="nil"/>
          <w:left w:val="nil"/>
          <w:bottom w:val="nil"/>
          <w:right w:val="single" w:sz="4" w:space="0" w:color="7F7F7F"/>
          <w:insideH w:val="nil"/>
          <w:insideV w:val="nil"/>
          <w:tl2br w:val="nil"/>
          <w:tr2bl w:val="nil"/>
        </w:tcBorders>
      </w:tcPr>
    </w:tblStylePr>
    <w:tblStylePr w:type="lastCol">
      <w:rPr>
        <w:b/>
        <w:bCs/>
        <w:caps/>
      </w:rPr>
      <w:tblPr/>
      <w:tcPr>
        <w:tcBorders>
          <w:top w:val="nil"/>
          <w:left w:val="nil"/>
          <w:bottom w:val="nil"/>
          <w:right w:val="nil"/>
          <w:insideH w:val="nil"/>
          <w:insideV w:val="nil"/>
          <w:tl2br w:val="nil"/>
          <w:tr2bl w:val="nil"/>
        </w:tcBorders>
      </w:tcPr>
    </w:tblStylePr>
    <w:tblStylePr w:type="band1Vert">
      <w:tblPr/>
      <w:tcPr>
        <w:shd w:val="clear" w:color="auto" w:fill="F2F2F2"/>
      </w:tcPr>
    </w:tblStylePr>
    <w:tblStylePr w:type="band1Horz">
      <w:tblPr/>
      <w:tcPr>
        <w:shd w:val="clear" w:color="auto" w:fill="F2F2F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table" w:customStyle="1" w:styleId="20">
    <w:name w:val="网格型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61">
    <w:name w:val="_Style 61"/>
    <w:basedOn w:val="TableNormal"/>
    <w:uiPriority w:val="46"/>
    <w:qFormat/>
    <w:tblPr>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top w:val="nil"/>
          <w:left w:val="single" w:sz="12" w:space="0" w:color="FFD966"/>
          <w:bottom w:val="nil"/>
          <w:right w:val="nil"/>
          <w:insideH w:val="nil"/>
          <w:insideV w:val="nil"/>
          <w:tl2br w:val="nil"/>
          <w:tr2bl w:val="nil"/>
        </w:tcBorders>
      </w:tcPr>
    </w:tblStylePr>
    <w:tblStylePr w:type="lastRow">
      <w:rPr>
        <w:b/>
        <w:bCs/>
      </w:rPr>
      <w:tblPr/>
      <w:tcPr>
        <w:tcBorders>
          <w:top w:val="double" w:sz="2" w:space="0" w:color="FFD966"/>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10">
    <w:name w:val="网格型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63">
    <w:name w:val="_Style 63"/>
    <w:basedOn w:val="TableNormal"/>
    <w:uiPriority w:val="40"/>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Style64">
    <w:name w:val="_Style 64"/>
    <w:basedOn w:val="TableNormal"/>
    <w:uiPriority w:val="46"/>
    <w:qFormat/>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top w:val="nil"/>
          <w:left w:val="single" w:sz="12" w:space="0" w:color="C9C9C9"/>
          <w:bottom w:val="nil"/>
          <w:right w:val="nil"/>
          <w:insideH w:val="nil"/>
          <w:insideV w:val="nil"/>
          <w:tl2br w:val="nil"/>
          <w:tr2bl w:val="nil"/>
        </w:tcBorders>
      </w:tcPr>
    </w:tblStylePr>
    <w:tblStylePr w:type="lastRow">
      <w:rPr>
        <w:b/>
        <w:bCs/>
      </w:rPr>
      <w:tblPr/>
      <w:tcPr>
        <w:tcBorders>
          <w:top w:val="double" w:sz="2" w:space="0" w:color="C9C9C9"/>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Style65">
    <w:name w:val="_Style 65"/>
    <w:basedOn w:val="TableNormal"/>
    <w:uiPriority w:val="46"/>
    <w:qFormat/>
    <w:tblPr>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top w:val="nil"/>
          <w:left w:val="single" w:sz="12" w:space="0" w:color="F4B083"/>
          <w:bottom w:val="nil"/>
          <w:right w:val="nil"/>
          <w:insideH w:val="nil"/>
          <w:insideV w:val="nil"/>
          <w:tl2br w:val="nil"/>
          <w:tr2bl w:val="nil"/>
        </w:tcBorders>
      </w:tcPr>
    </w:tblStylePr>
    <w:tblStylePr w:type="lastRow">
      <w:rPr>
        <w:b/>
        <w:bCs/>
      </w:rPr>
      <w:tblPr/>
      <w:tcPr>
        <w:tcBorders>
          <w:top w:val="double" w:sz="2" w:space="0" w:color="F4B083"/>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11">
    <w:name w:val="网格型1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网格型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0">
    <w:name w:val="标题 1 字符1"/>
    <w:basedOn w:val="DefaultParagraphFont"/>
    <w:link w:val="Heading1"/>
    <w:qFormat/>
    <w:rPr>
      <w:rFonts w:eastAsia="黑体"/>
      <w:bCs/>
      <w:kern w:val="44"/>
      <w:sz w:val="32"/>
      <w:szCs w:val="44"/>
    </w:rPr>
  </w:style>
  <w:style w:type="character" w:customStyle="1" w:styleId="font31">
    <w:name w:val="font31"/>
    <w:basedOn w:val="DefaultParagraphFont"/>
    <w:qFormat/>
    <w:rPr>
      <w:rFonts w:ascii="宋体" w:eastAsia="宋体" w:hAnsi="宋体" w:cs="宋体" w:hint="eastAsia"/>
      <w:color w:val="000000"/>
      <w:sz w:val="22"/>
      <w:szCs w:val="22"/>
      <w:u w:val="none"/>
    </w:rPr>
  </w:style>
  <w:style w:type="character" w:customStyle="1" w:styleId="font21">
    <w:name w:val="font21"/>
    <w:basedOn w:val="DefaultParagraphFont"/>
    <w:qFormat/>
    <w:rPr>
      <w:rFonts w:ascii="Calibri" w:hAnsi="Calibri" w:cs="Calibri" w:hint="default"/>
      <w:color w:val="000000"/>
      <w:sz w:val="22"/>
      <w:szCs w:val="22"/>
      <w:u w:val="none"/>
    </w:rPr>
  </w:style>
  <w:style w:type="character" w:customStyle="1" w:styleId="font11">
    <w:name w:val="font11"/>
    <w:basedOn w:val="DefaultParagraphFont"/>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https://d.book118.com/487036046166006044" TargetMode="Externa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3112</Words>
  <Characters>17739</Characters>
  <Application>Microsoft Office Word</Application>
  <DocSecurity>0</DocSecurity>
  <Lines>147</Lines>
  <Paragraphs>41</Paragraphs>
  <ScaleCrop>false</ScaleCrop>
  <Company>Microsoft</Company>
  <LinksUpToDate>false</LinksUpToDate>
  <CharactersWithSpaces>20810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钠离子电池石墨负极材料的制备及性能研究</dc:title>
  <dc:creator>Administrator</dc:creator>
  <cp:lastModifiedBy>张老师</cp:lastModifiedBy>
  <cp:revision>2</cp:revision>
  <cp:lastPrinted>2017-06-19T13:19:00Z</cp:lastPrinted>
  <dcterms:created xsi:type="dcterms:W3CDTF">2017-06-06T11:01:00Z</dcterms:created>
  <dcterms:modified xsi:type="dcterms:W3CDTF">2023-10-29T05:41:33Z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2909120EA9694BA9AC976594BD091348_12</vt:lpwstr>
  </property>
  <property fmtid="{D5CDD505-2E9C-101B-9397-08002B2CF9AE}" pid="3" name="KSOProductBuildVer">
    <vt:lpwstr>2052-12.1.0.15712</vt:lpwstr>
  </property>
</Properties>
</file>