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IGBT逆变式电焊机项目发展计划</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4387" w:history="1">
        <w:r>
          <w:rPr>
            <w:rFonts w:ascii="仿宋" w:eastAsia="仿宋" w:hAnsi="仿宋" w:cs="仿宋" w:hint="eastAsia"/>
            <w:lang w:eastAsia="zh-CN"/>
          </w:rPr>
          <w:t>序言</w:t>
        </w:r>
        <w:r>
          <w:tab/>
        </w:r>
        <w:r>
          <w:fldChar w:fldCharType="begin"/>
        </w:r>
        <w:r>
          <w:instrText xml:space="preserve"> PAGEREF _Toc24387 \h </w:instrText>
        </w:r>
        <w:r>
          <w:fldChar w:fldCharType="separate"/>
        </w:r>
        <w:r>
          <w:t>3</w:t>
        </w:r>
        <w:r>
          <w:fldChar w:fldCharType="end"/>
        </w:r>
      </w:hyperlink>
    </w:p>
    <w:p>
      <w:pPr>
        <w:pStyle w:val="TOC1"/>
        <w:tabs>
          <w:tab w:val="right" w:leader="dot" w:pos="8306"/>
        </w:tabs>
      </w:pPr>
      <w:hyperlink w:anchor="_Toc12191" w:history="1">
        <w:r>
          <w:rPr>
            <w:rFonts w:ascii="仿宋" w:eastAsia="仿宋" w:hAnsi="仿宋" w:cs="仿宋" w:hint="eastAsia"/>
            <w:lang w:eastAsia="zh-CN"/>
          </w:rPr>
          <w:t>一、工艺先进性</w:t>
        </w:r>
        <w:r>
          <w:tab/>
        </w:r>
        <w:r>
          <w:fldChar w:fldCharType="begin"/>
        </w:r>
        <w:r>
          <w:instrText xml:space="preserve"> PAGEREF _Toc12191 \h </w:instrText>
        </w:r>
        <w:r>
          <w:fldChar w:fldCharType="separate"/>
        </w:r>
        <w:r>
          <w:t>3</w:t>
        </w:r>
        <w:r>
          <w:fldChar w:fldCharType="end"/>
        </w:r>
      </w:hyperlink>
    </w:p>
    <w:p>
      <w:pPr>
        <w:pStyle w:val="TOC2"/>
        <w:tabs>
          <w:tab w:val="right" w:leader="dot" w:pos="8306"/>
        </w:tabs>
      </w:pPr>
      <w:hyperlink w:anchor="_Toc12977" w:history="1">
        <w:r>
          <w:rPr>
            <w:rFonts w:ascii="仿宋" w:eastAsia="仿宋" w:hAnsi="仿宋" w:cs="仿宋" w:hint="eastAsia"/>
            <w:lang w:eastAsia="zh-CN"/>
          </w:rPr>
          <w:t>(一)、IGBT逆变式电焊机项目建设期的原辅材料保障</w:t>
        </w:r>
        <w:r>
          <w:tab/>
        </w:r>
        <w:r>
          <w:fldChar w:fldCharType="begin"/>
        </w:r>
        <w:r>
          <w:instrText xml:space="preserve"> PAGEREF _Toc12977 \h </w:instrText>
        </w:r>
        <w:r>
          <w:fldChar w:fldCharType="separate"/>
        </w:r>
        <w:r>
          <w:t>3</w:t>
        </w:r>
        <w:r>
          <w:fldChar w:fldCharType="end"/>
        </w:r>
      </w:hyperlink>
    </w:p>
    <w:p>
      <w:pPr>
        <w:pStyle w:val="TOC2"/>
        <w:tabs>
          <w:tab w:val="right" w:leader="dot" w:pos="8306"/>
        </w:tabs>
      </w:pPr>
      <w:hyperlink w:anchor="_Toc3128" w:history="1">
        <w:r>
          <w:rPr>
            <w:rFonts w:ascii="仿宋" w:eastAsia="仿宋" w:hAnsi="仿宋" w:cs="仿宋" w:hint="eastAsia"/>
            <w:lang w:eastAsia="zh-CN"/>
          </w:rPr>
          <w:t>(二)、IGBT逆变式电焊机项目运营期的原辅材料采购与管理</w:t>
        </w:r>
        <w:r>
          <w:tab/>
        </w:r>
        <w:r>
          <w:fldChar w:fldCharType="begin"/>
        </w:r>
        <w:r>
          <w:instrText xml:space="preserve"> PAGEREF _Toc3128 \h </w:instrText>
        </w:r>
        <w:r>
          <w:fldChar w:fldCharType="separate"/>
        </w:r>
        <w:r>
          <w:t>4</w:t>
        </w:r>
        <w:r>
          <w:fldChar w:fldCharType="end"/>
        </w:r>
      </w:hyperlink>
    </w:p>
    <w:p>
      <w:pPr>
        <w:pStyle w:val="TOC2"/>
        <w:tabs>
          <w:tab w:val="right" w:leader="dot" w:pos="8306"/>
        </w:tabs>
      </w:pPr>
      <w:hyperlink w:anchor="_Toc23003" w:history="1">
        <w:r>
          <w:rPr>
            <w:rFonts w:ascii="仿宋" w:eastAsia="仿宋" w:hAnsi="仿宋" w:cs="仿宋" w:hint="eastAsia"/>
            <w:lang w:eastAsia="zh-CN"/>
          </w:rPr>
          <w:t>(三)、技术管理的独特特色</w:t>
        </w:r>
        <w:r>
          <w:tab/>
        </w:r>
        <w:r>
          <w:fldChar w:fldCharType="begin"/>
        </w:r>
        <w:r>
          <w:instrText xml:space="preserve"> PAGEREF _Toc23003 \h </w:instrText>
        </w:r>
        <w:r>
          <w:fldChar w:fldCharType="separate"/>
        </w:r>
        <w:r>
          <w:t>5</w:t>
        </w:r>
        <w:r>
          <w:fldChar w:fldCharType="end"/>
        </w:r>
      </w:hyperlink>
    </w:p>
    <w:p>
      <w:pPr>
        <w:pStyle w:val="TOC2"/>
        <w:tabs>
          <w:tab w:val="right" w:leader="dot" w:pos="8306"/>
        </w:tabs>
      </w:pPr>
      <w:hyperlink w:anchor="_Toc6910" w:history="1">
        <w:r>
          <w:rPr>
            <w:rFonts w:ascii="仿宋" w:eastAsia="仿宋" w:hAnsi="仿宋" w:cs="仿宋" w:hint="eastAsia"/>
            <w:lang w:eastAsia="zh-CN"/>
          </w:rPr>
          <w:t>(四)、IGBT逆变式电焊机项目工艺技术设计方案</w:t>
        </w:r>
        <w:r>
          <w:tab/>
        </w:r>
        <w:r>
          <w:fldChar w:fldCharType="begin"/>
        </w:r>
        <w:r>
          <w:instrText xml:space="preserve"> PAGEREF _Toc6910 \h </w:instrText>
        </w:r>
        <w:r>
          <w:fldChar w:fldCharType="separate"/>
        </w:r>
        <w:r>
          <w:t>7</w:t>
        </w:r>
        <w:r>
          <w:fldChar w:fldCharType="end"/>
        </w:r>
      </w:hyperlink>
    </w:p>
    <w:p>
      <w:pPr>
        <w:pStyle w:val="TOC2"/>
        <w:tabs>
          <w:tab w:val="right" w:leader="dot" w:pos="8306"/>
        </w:tabs>
      </w:pPr>
      <w:hyperlink w:anchor="_Toc28511" w:history="1">
        <w:r>
          <w:rPr>
            <w:rFonts w:ascii="仿宋" w:eastAsia="仿宋" w:hAnsi="仿宋" w:cs="仿宋" w:hint="eastAsia"/>
            <w:lang w:eastAsia="zh-CN"/>
          </w:rPr>
          <w:t>(五)、设备选型的智能化方案</w:t>
        </w:r>
        <w:r>
          <w:tab/>
        </w:r>
        <w:r>
          <w:fldChar w:fldCharType="begin"/>
        </w:r>
        <w:r>
          <w:instrText xml:space="preserve"> PAGEREF _Toc28511 \h </w:instrText>
        </w:r>
        <w:r>
          <w:fldChar w:fldCharType="separate"/>
        </w:r>
        <w:r>
          <w:t>8</w:t>
        </w:r>
        <w:r>
          <w:fldChar w:fldCharType="end"/>
        </w:r>
      </w:hyperlink>
    </w:p>
    <w:p>
      <w:pPr>
        <w:pStyle w:val="TOC1"/>
        <w:tabs>
          <w:tab w:val="right" w:leader="dot" w:pos="8306"/>
        </w:tabs>
      </w:pPr>
      <w:hyperlink w:anchor="_Toc10511" w:history="1">
        <w:r>
          <w:rPr>
            <w:rFonts w:ascii="仿宋" w:eastAsia="仿宋" w:hAnsi="仿宋" w:cs="仿宋" w:hint="eastAsia"/>
            <w:lang w:eastAsia="zh-CN"/>
          </w:rPr>
          <w:t>二、IGBT逆变式电焊机项目建设地分析</w:t>
        </w:r>
        <w:r>
          <w:tab/>
        </w:r>
        <w:r>
          <w:fldChar w:fldCharType="begin"/>
        </w:r>
        <w:r>
          <w:instrText xml:space="preserve"> PAGEREF _Toc10511 \h </w:instrText>
        </w:r>
        <w:r>
          <w:fldChar w:fldCharType="separate"/>
        </w:r>
        <w:r>
          <w:t>9</w:t>
        </w:r>
        <w:r>
          <w:fldChar w:fldCharType="end"/>
        </w:r>
      </w:hyperlink>
    </w:p>
    <w:p>
      <w:pPr>
        <w:pStyle w:val="TOC2"/>
        <w:tabs>
          <w:tab w:val="right" w:leader="dot" w:pos="8306"/>
        </w:tabs>
      </w:pPr>
      <w:hyperlink w:anchor="_Toc7416" w:history="1">
        <w:r>
          <w:rPr>
            <w:rFonts w:ascii="仿宋" w:eastAsia="仿宋" w:hAnsi="仿宋" w:cs="仿宋" w:hint="eastAsia"/>
            <w:lang w:eastAsia="zh-CN"/>
          </w:rPr>
          <w:t>(一)、IGBT逆变式电焊机项目选址原则</w:t>
        </w:r>
        <w:r>
          <w:tab/>
        </w:r>
        <w:r>
          <w:fldChar w:fldCharType="begin"/>
        </w:r>
        <w:r>
          <w:instrText xml:space="preserve"> PAGEREF _Toc7416 \h </w:instrText>
        </w:r>
        <w:r>
          <w:fldChar w:fldCharType="separate"/>
        </w:r>
        <w:r>
          <w:t>9</w:t>
        </w:r>
        <w:r>
          <w:fldChar w:fldCharType="end"/>
        </w:r>
      </w:hyperlink>
    </w:p>
    <w:p>
      <w:pPr>
        <w:pStyle w:val="TOC2"/>
        <w:tabs>
          <w:tab w:val="right" w:leader="dot" w:pos="8306"/>
        </w:tabs>
      </w:pPr>
      <w:hyperlink w:anchor="_Toc19972" w:history="1">
        <w:r>
          <w:rPr>
            <w:rFonts w:ascii="仿宋" w:eastAsia="仿宋" w:hAnsi="仿宋" w:cs="仿宋" w:hint="eastAsia"/>
            <w:lang w:eastAsia="zh-CN"/>
          </w:rPr>
          <w:t>(二)、IGBT逆变式电焊机项目选址</w:t>
        </w:r>
        <w:r>
          <w:tab/>
        </w:r>
        <w:r>
          <w:fldChar w:fldCharType="begin"/>
        </w:r>
        <w:r>
          <w:instrText xml:space="preserve"> PAGEREF _Toc19972 \h </w:instrText>
        </w:r>
        <w:r>
          <w:fldChar w:fldCharType="separate"/>
        </w:r>
        <w:r>
          <w:t>10</w:t>
        </w:r>
        <w:r>
          <w:fldChar w:fldCharType="end"/>
        </w:r>
      </w:hyperlink>
    </w:p>
    <w:p>
      <w:pPr>
        <w:pStyle w:val="TOC2"/>
        <w:tabs>
          <w:tab w:val="right" w:leader="dot" w:pos="8306"/>
        </w:tabs>
      </w:pPr>
      <w:hyperlink w:anchor="_Toc1402" w:history="1">
        <w:r>
          <w:rPr>
            <w:rFonts w:ascii="仿宋" w:eastAsia="仿宋" w:hAnsi="仿宋" w:cs="仿宋" w:hint="eastAsia"/>
            <w:lang w:eastAsia="zh-CN"/>
          </w:rPr>
          <w:t>(三)、建设条件分析</w:t>
        </w:r>
        <w:r>
          <w:tab/>
        </w:r>
        <w:r>
          <w:fldChar w:fldCharType="begin"/>
        </w:r>
        <w:r>
          <w:instrText xml:space="preserve"> PAGEREF _Toc1402 \h </w:instrText>
        </w:r>
        <w:r>
          <w:fldChar w:fldCharType="separate"/>
        </w:r>
        <w:r>
          <w:t>11</w:t>
        </w:r>
        <w:r>
          <w:fldChar w:fldCharType="end"/>
        </w:r>
      </w:hyperlink>
    </w:p>
    <w:p>
      <w:pPr>
        <w:pStyle w:val="TOC2"/>
        <w:tabs>
          <w:tab w:val="right" w:leader="dot" w:pos="8306"/>
        </w:tabs>
      </w:pPr>
      <w:hyperlink w:anchor="_Toc27771" w:history="1">
        <w:r>
          <w:rPr>
            <w:rFonts w:ascii="仿宋" w:eastAsia="仿宋" w:hAnsi="仿宋" w:cs="仿宋" w:hint="eastAsia"/>
            <w:lang w:eastAsia="zh-CN"/>
          </w:rPr>
          <w:t>(四)、用地控制指标</w:t>
        </w:r>
        <w:r>
          <w:tab/>
        </w:r>
        <w:r>
          <w:fldChar w:fldCharType="begin"/>
        </w:r>
        <w:r>
          <w:instrText xml:space="preserve"> PAGEREF _Toc27771 \h </w:instrText>
        </w:r>
        <w:r>
          <w:fldChar w:fldCharType="separate"/>
        </w:r>
        <w:r>
          <w:t>12</w:t>
        </w:r>
        <w:r>
          <w:fldChar w:fldCharType="end"/>
        </w:r>
      </w:hyperlink>
    </w:p>
    <w:p>
      <w:pPr>
        <w:pStyle w:val="TOC2"/>
        <w:tabs>
          <w:tab w:val="right" w:leader="dot" w:pos="8306"/>
        </w:tabs>
      </w:pPr>
      <w:hyperlink w:anchor="_Toc1980" w:history="1">
        <w:r>
          <w:rPr>
            <w:rFonts w:ascii="仿宋" w:eastAsia="仿宋" w:hAnsi="仿宋" w:cs="仿宋" w:hint="eastAsia"/>
            <w:lang w:eastAsia="zh-CN"/>
          </w:rPr>
          <w:t>(五)、用地总体要求</w:t>
        </w:r>
        <w:r>
          <w:tab/>
        </w:r>
        <w:r>
          <w:fldChar w:fldCharType="begin"/>
        </w:r>
        <w:r>
          <w:instrText xml:space="preserve"> PAGEREF _Toc1980 \h </w:instrText>
        </w:r>
        <w:r>
          <w:fldChar w:fldCharType="separate"/>
        </w:r>
        <w:r>
          <w:t>13</w:t>
        </w:r>
        <w:r>
          <w:fldChar w:fldCharType="end"/>
        </w:r>
      </w:hyperlink>
    </w:p>
    <w:p>
      <w:pPr>
        <w:pStyle w:val="TOC2"/>
        <w:tabs>
          <w:tab w:val="right" w:leader="dot" w:pos="8306"/>
        </w:tabs>
      </w:pPr>
      <w:hyperlink w:anchor="_Toc7127" w:history="1">
        <w:r>
          <w:rPr>
            <w:rFonts w:ascii="仿宋" w:eastAsia="仿宋" w:hAnsi="仿宋" w:cs="仿宋" w:hint="eastAsia"/>
            <w:lang w:eastAsia="zh-CN"/>
          </w:rPr>
          <w:t>(六)、节约用地措施</w:t>
        </w:r>
        <w:r>
          <w:tab/>
        </w:r>
        <w:r>
          <w:fldChar w:fldCharType="begin"/>
        </w:r>
        <w:r>
          <w:instrText xml:space="preserve"> PAGEREF _Toc7127 \h </w:instrText>
        </w:r>
        <w:r>
          <w:fldChar w:fldCharType="separate"/>
        </w:r>
        <w:r>
          <w:t>14</w:t>
        </w:r>
        <w:r>
          <w:fldChar w:fldCharType="end"/>
        </w:r>
      </w:hyperlink>
    </w:p>
    <w:p>
      <w:pPr>
        <w:pStyle w:val="TOC2"/>
        <w:tabs>
          <w:tab w:val="right" w:leader="dot" w:pos="8306"/>
        </w:tabs>
      </w:pPr>
      <w:hyperlink w:anchor="_Toc27099" w:history="1">
        <w:r>
          <w:rPr>
            <w:rFonts w:ascii="仿宋" w:eastAsia="仿宋" w:hAnsi="仿宋" w:cs="仿宋" w:hint="eastAsia"/>
            <w:lang w:eastAsia="zh-CN"/>
          </w:rPr>
          <w:t>(七)、总图布置方案</w:t>
        </w:r>
        <w:r>
          <w:tab/>
        </w:r>
        <w:r>
          <w:fldChar w:fldCharType="begin"/>
        </w:r>
        <w:r>
          <w:instrText xml:space="preserve"> PAGEREF _Toc27099 \h </w:instrText>
        </w:r>
        <w:r>
          <w:fldChar w:fldCharType="separate"/>
        </w:r>
        <w:r>
          <w:t>15</w:t>
        </w:r>
        <w:r>
          <w:fldChar w:fldCharType="end"/>
        </w:r>
      </w:hyperlink>
    </w:p>
    <w:p>
      <w:pPr>
        <w:pStyle w:val="TOC2"/>
        <w:tabs>
          <w:tab w:val="right" w:leader="dot" w:pos="8306"/>
        </w:tabs>
      </w:pPr>
      <w:hyperlink w:anchor="_Toc27904" w:history="1">
        <w:r>
          <w:rPr>
            <w:rFonts w:ascii="仿宋" w:eastAsia="仿宋" w:hAnsi="仿宋" w:cs="仿宋" w:hint="eastAsia"/>
            <w:lang w:eastAsia="zh-CN"/>
          </w:rPr>
          <w:t>(八)、运输组成</w:t>
        </w:r>
        <w:r>
          <w:tab/>
        </w:r>
        <w:r>
          <w:fldChar w:fldCharType="begin"/>
        </w:r>
        <w:r>
          <w:instrText xml:space="preserve"> PAGEREF _Toc27904 \h </w:instrText>
        </w:r>
        <w:r>
          <w:fldChar w:fldCharType="separate"/>
        </w:r>
        <w:r>
          <w:t>17</w:t>
        </w:r>
        <w:r>
          <w:fldChar w:fldCharType="end"/>
        </w:r>
      </w:hyperlink>
    </w:p>
    <w:p>
      <w:pPr>
        <w:pStyle w:val="TOC2"/>
        <w:tabs>
          <w:tab w:val="right" w:leader="dot" w:pos="8306"/>
        </w:tabs>
      </w:pPr>
      <w:hyperlink w:anchor="_Toc14195" w:history="1">
        <w:r>
          <w:rPr>
            <w:rFonts w:ascii="仿宋" w:eastAsia="仿宋" w:hAnsi="仿宋" w:cs="仿宋" w:hint="eastAsia"/>
            <w:lang w:eastAsia="zh-CN"/>
          </w:rPr>
          <w:t>(九)、选址综合评价</w:t>
        </w:r>
        <w:r>
          <w:tab/>
        </w:r>
        <w:r>
          <w:fldChar w:fldCharType="begin"/>
        </w:r>
        <w:r>
          <w:instrText xml:space="preserve"> PAGEREF _Toc14195 \h </w:instrText>
        </w:r>
        <w:r>
          <w:fldChar w:fldCharType="separate"/>
        </w:r>
        <w:r>
          <w:t>20</w:t>
        </w:r>
        <w:r>
          <w:fldChar w:fldCharType="end"/>
        </w:r>
      </w:hyperlink>
    </w:p>
    <w:p>
      <w:pPr>
        <w:pStyle w:val="TOC1"/>
        <w:tabs>
          <w:tab w:val="right" w:leader="dot" w:pos="8306"/>
        </w:tabs>
      </w:pPr>
      <w:hyperlink w:anchor="_Toc18987" w:history="1">
        <w:r>
          <w:rPr>
            <w:rFonts w:ascii="仿宋" w:eastAsia="仿宋" w:hAnsi="仿宋" w:cs="仿宋" w:hint="eastAsia"/>
            <w:lang w:eastAsia="zh-CN"/>
          </w:rPr>
          <w:t>三、背景和必要性研究</w:t>
        </w:r>
        <w:r>
          <w:tab/>
        </w:r>
        <w:r>
          <w:fldChar w:fldCharType="begin"/>
        </w:r>
        <w:r>
          <w:instrText xml:space="preserve"> PAGEREF _Toc18987 \h </w:instrText>
        </w:r>
        <w:r>
          <w:fldChar w:fldCharType="separate"/>
        </w:r>
        <w:r>
          <w:t>20</w:t>
        </w:r>
        <w:r>
          <w:fldChar w:fldCharType="end"/>
        </w:r>
      </w:hyperlink>
    </w:p>
    <w:p>
      <w:pPr>
        <w:pStyle w:val="TOC2"/>
        <w:tabs>
          <w:tab w:val="right" w:leader="dot" w:pos="8306"/>
        </w:tabs>
      </w:pPr>
      <w:hyperlink w:anchor="_Toc12992" w:history="1">
        <w:r>
          <w:rPr>
            <w:rFonts w:ascii="仿宋" w:eastAsia="仿宋" w:hAnsi="仿宋" w:cs="仿宋" w:hint="eastAsia"/>
            <w:lang w:eastAsia="zh-CN"/>
          </w:rPr>
          <w:t>(一)、IGBT逆变式电焊机项目承办单位背景分析</w:t>
        </w:r>
        <w:r>
          <w:tab/>
        </w:r>
        <w:r>
          <w:fldChar w:fldCharType="begin"/>
        </w:r>
        <w:r>
          <w:instrText xml:space="preserve"> PAGEREF _Toc12992 \h </w:instrText>
        </w:r>
        <w:r>
          <w:fldChar w:fldCharType="separate"/>
        </w:r>
        <w:r>
          <w:t>20</w:t>
        </w:r>
        <w:r>
          <w:fldChar w:fldCharType="end"/>
        </w:r>
      </w:hyperlink>
    </w:p>
    <w:p>
      <w:pPr>
        <w:pStyle w:val="TOC2"/>
        <w:tabs>
          <w:tab w:val="right" w:leader="dot" w:pos="8306"/>
        </w:tabs>
      </w:pPr>
      <w:hyperlink w:anchor="_Toc29178" w:history="1">
        <w:r>
          <w:rPr>
            <w:rFonts w:ascii="仿宋" w:eastAsia="仿宋" w:hAnsi="仿宋" w:cs="仿宋" w:hint="eastAsia"/>
            <w:lang w:eastAsia="zh-CN"/>
          </w:rPr>
          <w:t>(二)、IGBT逆变式电焊机项目背景分析</w:t>
        </w:r>
        <w:r>
          <w:tab/>
        </w:r>
        <w:r>
          <w:fldChar w:fldCharType="begin"/>
        </w:r>
        <w:r>
          <w:instrText xml:space="preserve"> PAGEREF _Toc29178 \h </w:instrText>
        </w:r>
        <w:r>
          <w:fldChar w:fldCharType="separate"/>
        </w:r>
        <w:r>
          <w:t>21</w:t>
        </w:r>
        <w:r>
          <w:fldChar w:fldCharType="end"/>
        </w:r>
      </w:hyperlink>
    </w:p>
    <w:p>
      <w:pPr>
        <w:pStyle w:val="TOC1"/>
        <w:tabs>
          <w:tab w:val="right" w:leader="dot" w:pos="8306"/>
        </w:tabs>
      </w:pPr>
      <w:hyperlink w:anchor="_Toc30672" w:history="1">
        <w:r>
          <w:rPr>
            <w:rFonts w:ascii="仿宋" w:eastAsia="仿宋" w:hAnsi="仿宋" w:cs="仿宋" w:hint="eastAsia"/>
            <w:lang w:eastAsia="zh-CN"/>
          </w:rPr>
          <w:t>四、风险应对评估</w:t>
        </w:r>
        <w:r>
          <w:tab/>
        </w:r>
        <w:r>
          <w:fldChar w:fldCharType="begin"/>
        </w:r>
        <w:r>
          <w:instrText xml:space="preserve"> PAGEREF _Toc30672 \h </w:instrText>
        </w:r>
        <w:r>
          <w:fldChar w:fldCharType="separate"/>
        </w:r>
        <w:r>
          <w:t>22</w:t>
        </w:r>
        <w:r>
          <w:fldChar w:fldCharType="end"/>
        </w:r>
      </w:hyperlink>
    </w:p>
    <w:p>
      <w:pPr>
        <w:pStyle w:val="TOC2"/>
        <w:tabs>
          <w:tab w:val="right" w:leader="dot" w:pos="8306"/>
        </w:tabs>
      </w:pPr>
      <w:hyperlink w:anchor="_Toc20589" w:history="1">
        <w:r>
          <w:rPr>
            <w:rFonts w:ascii="仿宋" w:eastAsia="仿宋" w:hAnsi="仿宋" w:cs="仿宋" w:hint="eastAsia"/>
            <w:lang w:eastAsia="zh-CN"/>
          </w:rPr>
          <w:t>(一)、政策风险分析</w:t>
        </w:r>
        <w:r>
          <w:tab/>
        </w:r>
        <w:r>
          <w:fldChar w:fldCharType="begin"/>
        </w:r>
        <w:r>
          <w:instrText xml:space="preserve"> PAGEREF _Toc20589 \h </w:instrText>
        </w:r>
        <w:r>
          <w:fldChar w:fldCharType="separate"/>
        </w:r>
        <w:r>
          <w:t>22</w:t>
        </w:r>
        <w:r>
          <w:fldChar w:fldCharType="end"/>
        </w:r>
      </w:hyperlink>
    </w:p>
    <w:p>
      <w:pPr>
        <w:pStyle w:val="TOC2"/>
        <w:tabs>
          <w:tab w:val="right" w:leader="dot" w:pos="8306"/>
        </w:tabs>
      </w:pPr>
      <w:hyperlink w:anchor="_Toc10790" w:history="1">
        <w:r>
          <w:rPr>
            <w:rFonts w:ascii="仿宋" w:eastAsia="仿宋" w:hAnsi="仿宋" w:cs="仿宋" w:hint="eastAsia"/>
            <w:lang w:eastAsia="zh-CN"/>
          </w:rPr>
          <w:t>(二)、社会风险分析</w:t>
        </w:r>
        <w:r>
          <w:tab/>
        </w:r>
        <w:r>
          <w:fldChar w:fldCharType="begin"/>
        </w:r>
        <w:r>
          <w:instrText xml:space="preserve"> PAGEREF _Toc10790 \h </w:instrText>
        </w:r>
        <w:r>
          <w:fldChar w:fldCharType="separate"/>
        </w:r>
        <w:r>
          <w:t>23</w:t>
        </w:r>
        <w:r>
          <w:fldChar w:fldCharType="end"/>
        </w:r>
      </w:hyperlink>
    </w:p>
    <w:p>
      <w:pPr>
        <w:pStyle w:val="TOC2"/>
        <w:tabs>
          <w:tab w:val="right" w:leader="dot" w:pos="8306"/>
        </w:tabs>
      </w:pPr>
      <w:hyperlink w:anchor="_Toc19577" w:history="1">
        <w:r>
          <w:rPr>
            <w:rFonts w:ascii="仿宋" w:eastAsia="仿宋" w:hAnsi="仿宋" w:cs="仿宋" w:hint="eastAsia"/>
            <w:lang w:eastAsia="zh-CN"/>
          </w:rPr>
          <w:t>(三)、市场风险分析</w:t>
        </w:r>
        <w:r>
          <w:tab/>
        </w:r>
        <w:r>
          <w:fldChar w:fldCharType="begin"/>
        </w:r>
        <w:r>
          <w:instrText xml:space="preserve"> PAGEREF _Toc19577 \h </w:instrText>
        </w:r>
        <w:r>
          <w:fldChar w:fldCharType="separate"/>
        </w:r>
        <w:r>
          <w:t>23</w:t>
        </w:r>
        <w:r>
          <w:fldChar w:fldCharType="end"/>
        </w:r>
      </w:hyperlink>
    </w:p>
    <w:p>
      <w:pPr>
        <w:pStyle w:val="TOC2"/>
        <w:tabs>
          <w:tab w:val="right" w:leader="dot" w:pos="8306"/>
        </w:tabs>
      </w:pPr>
      <w:hyperlink w:anchor="_Toc2169" w:history="1">
        <w:r>
          <w:rPr>
            <w:rFonts w:ascii="仿宋" w:eastAsia="仿宋" w:hAnsi="仿宋" w:cs="仿宋" w:hint="eastAsia"/>
            <w:lang w:eastAsia="zh-CN"/>
          </w:rPr>
          <w:t>(四)、资金风险分析</w:t>
        </w:r>
        <w:r>
          <w:tab/>
        </w:r>
        <w:r>
          <w:fldChar w:fldCharType="begin"/>
        </w:r>
        <w:r>
          <w:instrText xml:space="preserve"> PAGEREF _Toc2169 \h </w:instrText>
        </w:r>
        <w:r>
          <w:fldChar w:fldCharType="separate"/>
        </w:r>
        <w:r>
          <w:t>23</w:t>
        </w:r>
        <w:r>
          <w:fldChar w:fldCharType="end"/>
        </w:r>
      </w:hyperlink>
    </w:p>
    <w:p>
      <w:pPr>
        <w:pStyle w:val="TOC2"/>
        <w:tabs>
          <w:tab w:val="right" w:leader="dot" w:pos="8306"/>
        </w:tabs>
      </w:pPr>
      <w:hyperlink w:anchor="_Toc5953" w:history="1">
        <w:r>
          <w:rPr>
            <w:rFonts w:ascii="仿宋" w:eastAsia="仿宋" w:hAnsi="仿宋" w:cs="仿宋" w:hint="eastAsia"/>
            <w:lang w:eastAsia="zh-CN"/>
          </w:rPr>
          <w:t>(五)、技术风险分析</w:t>
        </w:r>
        <w:r>
          <w:tab/>
        </w:r>
        <w:r>
          <w:fldChar w:fldCharType="begin"/>
        </w:r>
        <w:r>
          <w:instrText xml:space="preserve"> PAGEREF _Toc5953 \h </w:instrText>
        </w:r>
        <w:r>
          <w:fldChar w:fldCharType="separate"/>
        </w:r>
        <w:r>
          <w:t>23</w:t>
        </w:r>
        <w:r>
          <w:fldChar w:fldCharType="end"/>
        </w:r>
      </w:hyperlink>
    </w:p>
    <w:p>
      <w:pPr>
        <w:pStyle w:val="TOC2"/>
        <w:tabs>
          <w:tab w:val="right" w:leader="dot" w:pos="8306"/>
        </w:tabs>
      </w:pPr>
      <w:hyperlink w:anchor="_Toc24442" w:history="1">
        <w:r>
          <w:rPr>
            <w:rFonts w:ascii="仿宋" w:eastAsia="仿宋" w:hAnsi="仿宋" w:cs="仿宋" w:hint="eastAsia"/>
            <w:lang w:eastAsia="zh-CN"/>
          </w:rPr>
          <w:t>(六)、财务风险分析</w:t>
        </w:r>
        <w:r>
          <w:tab/>
        </w:r>
        <w:r>
          <w:fldChar w:fldCharType="begin"/>
        </w:r>
        <w:r>
          <w:instrText xml:space="preserve"> PAGEREF _Toc24442 \h </w:instrText>
        </w:r>
        <w:r>
          <w:fldChar w:fldCharType="separate"/>
        </w:r>
        <w:r>
          <w:t>24</w:t>
        </w:r>
        <w:r>
          <w:fldChar w:fldCharType="end"/>
        </w:r>
      </w:hyperlink>
    </w:p>
    <w:p>
      <w:pPr>
        <w:pStyle w:val="TOC2"/>
        <w:tabs>
          <w:tab w:val="right" w:leader="dot" w:pos="8306"/>
        </w:tabs>
      </w:pPr>
      <w:hyperlink w:anchor="_Toc12878" w:history="1">
        <w:r>
          <w:rPr>
            <w:rFonts w:ascii="仿宋" w:eastAsia="仿宋" w:hAnsi="仿宋" w:cs="仿宋" w:hint="eastAsia"/>
            <w:lang w:eastAsia="zh-CN"/>
          </w:rPr>
          <w:t>(七)、管理风险分析</w:t>
        </w:r>
        <w:r>
          <w:tab/>
        </w:r>
        <w:r>
          <w:fldChar w:fldCharType="begin"/>
        </w:r>
        <w:r>
          <w:instrText xml:space="preserve"> PAGEREF _Toc12878 \h </w:instrText>
        </w:r>
        <w:r>
          <w:fldChar w:fldCharType="separate"/>
        </w:r>
        <w:r>
          <w:t>24</w:t>
        </w:r>
        <w:r>
          <w:fldChar w:fldCharType="end"/>
        </w:r>
      </w:hyperlink>
    </w:p>
    <w:p>
      <w:pPr>
        <w:pStyle w:val="TOC2"/>
        <w:tabs>
          <w:tab w:val="right" w:leader="dot" w:pos="8306"/>
        </w:tabs>
      </w:pPr>
      <w:hyperlink w:anchor="_Toc23495" w:history="1">
        <w:r>
          <w:rPr>
            <w:rFonts w:ascii="仿宋" w:eastAsia="仿宋" w:hAnsi="仿宋" w:cs="仿宋" w:hint="eastAsia"/>
            <w:lang w:eastAsia="zh-CN"/>
          </w:rPr>
          <w:t>(八)、其它风险分析</w:t>
        </w:r>
        <w:r>
          <w:tab/>
        </w:r>
        <w:r>
          <w:fldChar w:fldCharType="begin"/>
        </w:r>
        <w:r>
          <w:instrText xml:space="preserve"> PAGEREF _Toc23495 \h </w:instrText>
        </w:r>
        <w:r>
          <w:fldChar w:fldCharType="separate"/>
        </w:r>
        <w:r>
          <w:t>24</w:t>
        </w:r>
        <w:r>
          <w:fldChar w:fldCharType="end"/>
        </w:r>
      </w:hyperlink>
    </w:p>
    <w:p>
      <w:pPr>
        <w:pStyle w:val="TOC1"/>
        <w:tabs>
          <w:tab w:val="right" w:leader="dot" w:pos="8306"/>
        </w:tabs>
      </w:pPr>
      <w:hyperlink w:anchor="_Toc19503" w:history="1">
        <w:r>
          <w:rPr>
            <w:rFonts w:ascii="仿宋" w:eastAsia="仿宋" w:hAnsi="仿宋" w:cs="仿宋" w:hint="eastAsia"/>
            <w:lang w:eastAsia="zh-CN"/>
          </w:rPr>
          <w:t>五、IGBT逆变式电焊机项目收尾与总结</w:t>
        </w:r>
        <w:r>
          <w:tab/>
        </w:r>
        <w:r>
          <w:fldChar w:fldCharType="begin"/>
        </w:r>
        <w:r>
          <w:instrText xml:space="preserve"> PAGEREF _Toc19503 \h </w:instrText>
        </w:r>
        <w:r>
          <w:fldChar w:fldCharType="separate"/>
        </w:r>
        <w:r>
          <w:t>25</w:t>
        </w:r>
        <w:r>
          <w:fldChar w:fldCharType="end"/>
        </w:r>
      </w:hyperlink>
    </w:p>
    <w:p>
      <w:pPr>
        <w:pStyle w:val="TOC2"/>
        <w:tabs>
          <w:tab w:val="right" w:leader="dot" w:pos="8306"/>
        </w:tabs>
      </w:pPr>
      <w:hyperlink w:anchor="_Toc31857" w:history="1">
        <w:r>
          <w:rPr>
            <w:rFonts w:ascii="仿宋" w:eastAsia="仿宋" w:hAnsi="仿宋" w:cs="仿宋" w:hint="eastAsia"/>
            <w:lang w:eastAsia="zh-CN"/>
          </w:rPr>
          <w:t>(一)、IGBT逆变式电焊机项目总结与经验分享</w:t>
        </w:r>
        <w:r>
          <w:tab/>
        </w:r>
        <w:r>
          <w:fldChar w:fldCharType="begin"/>
        </w:r>
        <w:r>
          <w:instrText xml:space="preserve"> PAGEREF _Toc31857 \h </w:instrText>
        </w:r>
        <w:r>
          <w:fldChar w:fldCharType="separate"/>
        </w:r>
        <w:r>
          <w:t>25</w:t>
        </w:r>
        <w:r>
          <w:fldChar w:fldCharType="end"/>
        </w:r>
      </w:hyperlink>
    </w:p>
    <w:p>
      <w:pPr>
        <w:pStyle w:val="TOC2"/>
        <w:tabs>
          <w:tab w:val="right" w:leader="dot" w:pos="8306"/>
        </w:tabs>
      </w:pPr>
      <w:hyperlink w:anchor="_Toc20326" w:history="1">
        <w:r>
          <w:rPr>
            <w:rFonts w:ascii="仿宋" w:eastAsia="仿宋" w:hAnsi="仿宋" w:cs="仿宋" w:hint="eastAsia"/>
            <w:lang w:eastAsia="zh-CN"/>
          </w:rPr>
          <w:t>(二)、IGBT逆变式电焊机项目报告与归档</w:t>
        </w:r>
        <w:r>
          <w:tab/>
        </w:r>
        <w:r>
          <w:fldChar w:fldCharType="begin"/>
        </w:r>
        <w:r>
          <w:instrText xml:space="preserve"> PAGEREF _Toc20326 \h </w:instrText>
        </w:r>
        <w:r>
          <w:fldChar w:fldCharType="separate"/>
        </w:r>
        <w:r>
          <w:t>28</w:t>
        </w:r>
        <w:r>
          <w:fldChar w:fldCharType="end"/>
        </w:r>
      </w:hyperlink>
    </w:p>
    <w:p>
      <w:pPr>
        <w:pStyle w:val="TOC2"/>
        <w:tabs>
          <w:tab w:val="right" w:leader="dot" w:pos="8306"/>
        </w:tabs>
      </w:pPr>
      <w:hyperlink w:anchor="_Toc12998" w:history="1">
        <w:r>
          <w:rPr>
            <w:rFonts w:ascii="仿宋" w:eastAsia="仿宋" w:hAnsi="仿宋" w:cs="仿宋" w:hint="eastAsia"/>
            <w:lang w:eastAsia="zh-CN"/>
          </w:rPr>
          <w:t>(三)、IGBT逆变式电焊机项目收尾与结算</w:t>
        </w:r>
        <w:r>
          <w:tab/>
        </w:r>
        <w:r>
          <w:fldChar w:fldCharType="begin"/>
        </w:r>
        <w:r>
          <w:instrText xml:space="preserve"> PAGEREF _Toc12998 \h </w:instrText>
        </w:r>
        <w:r>
          <w:fldChar w:fldCharType="separate"/>
        </w:r>
        <w:r>
          <w:t>29</w:t>
        </w:r>
        <w:r>
          <w:fldChar w:fldCharType="end"/>
        </w:r>
      </w:hyperlink>
    </w:p>
    <w:p>
      <w:pPr>
        <w:pStyle w:val="TOC2"/>
        <w:tabs>
          <w:tab w:val="right" w:leader="dot" w:pos="8306"/>
        </w:tabs>
      </w:pPr>
      <w:hyperlink w:anchor="_Toc7577" w:history="1">
        <w:r>
          <w:rPr>
            <w:rFonts w:ascii="仿宋" w:eastAsia="仿宋" w:hAnsi="仿宋" w:cs="仿宋" w:hint="eastAsia"/>
            <w:lang w:eastAsia="zh-CN"/>
          </w:rPr>
          <w:t>(四)、团队人员调整与反馈</w:t>
        </w:r>
        <w:r>
          <w:tab/>
        </w:r>
        <w:r>
          <w:fldChar w:fldCharType="begin"/>
        </w:r>
        <w:r>
          <w:instrText xml:space="preserve"> PAGEREF _Toc7577 \h </w:instrText>
        </w:r>
        <w:r>
          <w:fldChar w:fldCharType="separate"/>
        </w:r>
        <w:r>
          <w:t>31</w:t>
        </w:r>
        <w:r>
          <w:fldChar w:fldCharType="end"/>
        </w:r>
      </w:hyperlink>
    </w:p>
    <w:p>
      <w:pPr>
        <w:pStyle w:val="TOC1"/>
        <w:tabs>
          <w:tab w:val="right" w:leader="dot" w:pos="8306"/>
        </w:tabs>
      </w:pPr>
      <w:hyperlink w:anchor="_Toc24885" w:history="1">
        <w:r>
          <w:rPr>
            <w:rFonts w:ascii="仿宋" w:eastAsia="仿宋" w:hAnsi="仿宋" w:cs="仿宋" w:hint="eastAsia"/>
            <w:lang w:eastAsia="zh-CN"/>
          </w:rPr>
          <w:t>六、危机管理与应急响应</w:t>
        </w:r>
        <w:r>
          <w:tab/>
        </w:r>
        <w:r>
          <w:fldChar w:fldCharType="begin"/>
        </w:r>
        <w:r>
          <w:instrText xml:space="preserve"> PAGEREF _Toc24885 \h </w:instrText>
        </w:r>
        <w:r>
          <w:fldChar w:fldCharType="separate"/>
        </w:r>
        <w:r>
          <w:t>32</w:t>
        </w:r>
        <w:r>
          <w:fldChar w:fldCharType="end"/>
        </w:r>
      </w:hyperlink>
    </w:p>
    <w:p>
      <w:pPr>
        <w:pStyle w:val="TOC2"/>
        <w:tabs>
          <w:tab w:val="right" w:leader="dot" w:pos="8306"/>
        </w:tabs>
      </w:pPr>
      <w:hyperlink w:anchor="_Toc343" w:history="1">
        <w:r>
          <w:rPr>
            <w:rFonts w:ascii="仿宋" w:eastAsia="仿宋" w:hAnsi="仿宋" w:cs="仿宋" w:hint="eastAsia"/>
            <w:lang w:eastAsia="zh-CN"/>
          </w:rPr>
          <w:t>(一)、危机管理计划制定</w:t>
        </w:r>
        <w:r>
          <w:tab/>
        </w:r>
        <w:r>
          <w:fldChar w:fldCharType="begin"/>
        </w:r>
        <w:r>
          <w:instrText xml:space="preserve"> PAGEREF _Toc343 \h </w:instrText>
        </w:r>
        <w:r>
          <w:fldChar w:fldCharType="separate"/>
        </w:r>
        <w:r>
          <w:t>32</w:t>
        </w:r>
        <w:r>
          <w:fldChar w:fldCharType="end"/>
        </w:r>
      </w:hyperlink>
    </w:p>
    <w:p>
      <w:pPr>
        <w:pStyle w:val="TOC2"/>
        <w:tabs>
          <w:tab w:val="right" w:leader="dot" w:pos="8306"/>
        </w:tabs>
      </w:pPr>
      <w:hyperlink w:anchor="_Toc14980" w:history="1">
        <w:r>
          <w:rPr>
            <w:rFonts w:ascii="仿宋" w:eastAsia="仿宋" w:hAnsi="仿宋" w:cs="仿宋" w:hint="eastAsia"/>
            <w:lang w:eastAsia="zh-CN"/>
          </w:rPr>
          <w:t>(二)、应急响应流程</w:t>
        </w:r>
        <w:r>
          <w:tab/>
        </w:r>
        <w:r>
          <w:fldChar w:fldCharType="begin"/>
        </w:r>
        <w:r>
          <w:instrText xml:space="preserve"> PAGEREF _Toc14980 \h </w:instrText>
        </w:r>
        <w:r>
          <w:fldChar w:fldCharType="separate"/>
        </w:r>
        <w:r>
          <w:t>33</w:t>
        </w:r>
        <w:r>
          <w:fldChar w:fldCharType="end"/>
        </w:r>
      </w:hyperlink>
    </w:p>
    <w:p>
      <w:pPr>
        <w:pStyle w:val="TOC2"/>
        <w:tabs>
          <w:tab w:val="right" w:leader="dot" w:pos="8306"/>
        </w:tabs>
      </w:pPr>
      <w:hyperlink w:anchor="_Toc29425" w:history="1">
        <w:r>
          <w:rPr>
            <w:rFonts w:ascii="仿宋" w:eastAsia="仿宋" w:hAnsi="仿宋" w:cs="仿宋" w:hint="eastAsia"/>
            <w:lang w:eastAsia="zh-CN"/>
          </w:rPr>
          <w:t>(三)、危机公关与舆情管理</w:t>
        </w:r>
        <w:r>
          <w:tab/>
        </w:r>
        <w:r>
          <w:fldChar w:fldCharType="begin"/>
        </w:r>
        <w:r>
          <w:instrText xml:space="preserve"> PAGEREF _Toc29425 \h </w:instrText>
        </w:r>
        <w:r>
          <w:fldChar w:fldCharType="separate"/>
        </w:r>
        <w:r>
          <w:t>34</w:t>
        </w:r>
        <w:r>
          <w:fldChar w:fldCharType="end"/>
        </w:r>
      </w:hyperlink>
    </w:p>
    <w:p>
      <w:pPr>
        <w:pStyle w:val="TOC2"/>
        <w:tabs>
          <w:tab w:val="right" w:leader="dot" w:pos="8306"/>
        </w:tabs>
      </w:pPr>
      <w:hyperlink w:anchor="_Toc19393" w:history="1">
        <w:r>
          <w:rPr>
            <w:rFonts w:ascii="仿宋" w:eastAsia="仿宋" w:hAnsi="仿宋" w:cs="仿宋" w:hint="eastAsia"/>
            <w:lang w:eastAsia="zh-CN"/>
          </w:rPr>
          <w:t>(四)、事故调查与报告</w:t>
        </w:r>
        <w:r>
          <w:tab/>
        </w:r>
        <w:r>
          <w:fldChar w:fldCharType="begin"/>
        </w:r>
        <w:r>
          <w:instrText xml:space="preserve"> PAGEREF _Toc19393 \h </w:instrText>
        </w:r>
        <w:r>
          <w:fldChar w:fldCharType="separate"/>
        </w:r>
        <w:r>
          <w:t>34</w:t>
        </w:r>
        <w:r>
          <w:fldChar w:fldCharType="end"/>
        </w:r>
      </w:hyperlink>
    </w:p>
    <w:p>
      <w:pPr>
        <w:pStyle w:val="TOC1"/>
        <w:tabs>
          <w:tab w:val="right" w:leader="dot" w:pos="8306"/>
        </w:tabs>
      </w:pPr>
      <w:hyperlink w:anchor="_Toc28985" w:history="1">
        <w:r>
          <w:rPr>
            <w:rFonts w:ascii="仿宋" w:eastAsia="仿宋" w:hAnsi="仿宋" w:cs="仿宋" w:hint="eastAsia"/>
            <w:lang w:eastAsia="zh-CN"/>
          </w:rPr>
          <w:t>七、人员培训与发展</w:t>
        </w:r>
        <w:r>
          <w:tab/>
        </w:r>
        <w:r>
          <w:fldChar w:fldCharType="begin"/>
        </w:r>
        <w:r>
          <w:instrText xml:space="preserve"> PAGEREF _Toc28985 \h </w:instrText>
        </w:r>
        <w:r>
          <w:fldChar w:fldCharType="separate"/>
        </w:r>
        <w:r>
          <w:t>35</w:t>
        </w:r>
        <w:r>
          <w:fldChar w:fldCharType="end"/>
        </w:r>
      </w:hyperlink>
    </w:p>
    <w:p>
      <w:pPr>
        <w:pStyle w:val="TOC2"/>
        <w:tabs>
          <w:tab w:val="right" w:leader="dot" w:pos="8306"/>
        </w:tabs>
      </w:pPr>
      <w:hyperlink w:anchor="_Toc3720" w:history="1">
        <w:r>
          <w:rPr>
            <w:rFonts w:ascii="仿宋" w:eastAsia="仿宋" w:hAnsi="仿宋" w:cs="仿宋" w:hint="eastAsia"/>
            <w:lang w:eastAsia="zh-CN"/>
          </w:rPr>
          <w:t>(一)、培训需求分析</w:t>
        </w:r>
        <w:r>
          <w:tab/>
        </w:r>
        <w:r>
          <w:fldChar w:fldCharType="begin"/>
        </w:r>
        <w:r>
          <w:instrText xml:space="preserve"> PAGEREF _Toc3720 \h </w:instrText>
        </w:r>
        <w:r>
          <w:fldChar w:fldCharType="separate"/>
        </w:r>
        <w:r>
          <w:t>35</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9993" w:history="1">
        <w:r>
          <w:rPr>
            <w:rFonts w:ascii="仿宋" w:eastAsia="仿宋" w:hAnsi="仿宋" w:cs="仿宋" w:hint="eastAsia"/>
            <w:lang w:eastAsia="zh-CN"/>
          </w:rPr>
          <w:t>(二)、培训计划制定</w:t>
        </w:r>
        <w:r>
          <w:tab/>
        </w:r>
        <w:r>
          <w:fldChar w:fldCharType="begin"/>
        </w:r>
        <w:r>
          <w:instrText xml:space="preserve"> PAGEREF _Toc29993 \h </w:instrText>
        </w:r>
        <w:r>
          <w:fldChar w:fldCharType="separate"/>
        </w:r>
        <w:r>
          <w:t>37</w:t>
        </w:r>
        <w:r>
          <w:fldChar w:fldCharType="end"/>
        </w:r>
      </w:hyperlink>
    </w:p>
    <w:p>
      <w:pPr>
        <w:pStyle w:val="TOC2"/>
        <w:tabs>
          <w:tab w:val="right" w:leader="dot" w:pos="8306"/>
        </w:tabs>
      </w:pPr>
      <w:hyperlink w:anchor="_Toc3726" w:history="1">
        <w:r>
          <w:rPr>
            <w:rFonts w:ascii="仿宋" w:eastAsia="仿宋" w:hAnsi="仿宋" w:cs="仿宋" w:hint="eastAsia"/>
            <w:lang w:eastAsia="zh-CN"/>
          </w:rPr>
          <w:t>(三)、培训执行与评估</w:t>
        </w:r>
        <w:r>
          <w:tab/>
        </w:r>
        <w:r>
          <w:fldChar w:fldCharType="begin"/>
        </w:r>
        <w:r>
          <w:instrText xml:space="preserve"> PAGEREF _Toc3726 \h </w:instrText>
        </w:r>
        <w:r>
          <w:fldChar w:fldCharType="separate"/>
        </w:r>
        <w:r>
          <w:t>38</w:t>
        </w:r>
        <w:r>
          <w:fldChar w:fldCharType="end"/>
        </w:r>
      </w:hyperlink>
    </w:p>
    <w:p>
      <w:pPr>
        <w:pStyle w:val="TOC2"/>
        <w:tabs>
          <w:tab w:val="right" w:leader="dot" w:pos="8306"/>
        </w:tabs>
      </w:pPr>
      <w:hyperlink w:anchor="_Toc32695" w:history="1">
        <w:r>
          <w:rPr>
            <w:rFonts w:ascii="仿宋" w:eastAsia="仿宋" w:hAnsi="仿宋" w:cs="仿宋" w:hint="eastAsia"/>
            <w:lang w:eastAsia="zh-CN"/>
          </w:rPr>
          <w:t>(四)、员工职业发展规划</w:t>
        </w:r>
        <w:r>
          <w:tab/>
        </w:r>
        <w:r>
          <w:fldChar w:fldCharType="begin"/>
        </w:r>
        <w:r>
          <w:instrText xml:space="preserve"> PAGEREF _Toc32695 \h </w:instrText>
        </w:r>
        <w:r>
          <w:fldChar w:fldCharType="separate"/>
        </w:r>
        <w:r>
          <w:t>39</w:t>
        </w:r>
        <w:r>
          <w:fldChar w:fldCharType="end"/>
        </w:r>
      </w:hyperlink>
    </w:p>
    <w:p>
      <w:pPr>
        <w:pStyle w:val="TOC1"/>
        <w:tabs>
          <w:tab w:val="right" w:leader="dot" w:pos="8306"/>
        </w:tabs>
      </w:pPr>
      <w:hyperlink w:anchor="_Toc17568" w:history="1">
        <w:r>
          <w:rPr>
            <w:rFonts w:ascii="仿宋" w:eastAsia="仿宋" w:hAnsi="仿宋" w:cs="仿宋" w:hint="eastAsia"/>
            <w:lang w:eastAsia="zh-CN"/>
          </w:rPr>
          <w:t>八、科技创新与研发</w:t>
        </w:r>
        <w:r>
          <w:tab/>
        </w:r>
        <w:r>
          <w:fldChar w:fldCharType="begin"/>
        </w:r>
        <w:r>
          <w:instrText xml:space="preserve"> PAGEREF _Toc17568 \h </w:instrText>
        </w:r>
        <w:r>
          <w:fldChar w:fldCharType="separate"/>
        </w:r>
        <w:r>
          <w:t>41</w:t>
        </w:r>
        <w:r>
          <w:fldChar w:fldCharType="end"/>
        </w:r>
      </w:hyperlink>
    </w:p>
    <w:p>
      <w:pPr>
        <w:pStyle w:val="TOC2"/>
        <w:tabs>
          <w:tab w:val="right" w:leader="dot" w:pos="8306"/>
        </w:tabs>
      </w:pPr>
      <w:hyperlink w:anchor="_Toc31594" w:history="1">
        <w:r>
          <w:rPr>
            <w:rFonts w:ascii="仿宋" w:eastAsia="仿宋" w:hAnsi="仿宋" w:cs="仿宋" w:hint="eastAsia"/>
            <w:lang w:eastAsia="zh-CN"/>
          </w:rPr>
          <w:t>(一)、科技创新战略规划</w:t>
        </w:r>
        <w:r>
          <w:tab/>
        </w:r>
        <w:r>
          <w:fldChar w:fldCharType="begin"/>
        </w:r>
        <w:r>
          <w:instrText xml:space="preserve"> PAGEREF _Toc31594 \h </w:instrText>
        </w:r>
        <w:r>
          <w:fldChar w:fldCharType="separate"/>
        </w:r>
        <w:r>
          <w:t>41</w:t>
        </w:r>
        <w:r>
          <w:fldChar w:fldCharType="end"/>
        </w:r>
      </w:hyperlink>
    </w:p>
    <w:p>
      <w:pPr>
        <w:pStyle w:val="TOC2"/>
        <w:tabs>
          <w:tab w:val="right" w:leader="dot" w:pos="8306"/>
        </w:tabs>
      </w:pPr>
      <w:hyperlink w:anchor="_Toc6767" w:history="1">
        <w:r>
          <w:rPr>
            <w:rFonts w:ascii="仿宋" w:eastAsia="仿宋" w:hAnsi="仿宋" w:cs="仿宋" w:hint="eastAsia"/>
            <w:lang w:eastAsia="zh-CN"/>
          </w:rPr>
          <w:t>(二)、研发团队建设</w:t>
        </w:r>
        <w:r>
          <w:tab/>
        </w:r>
        <w:r>
          <w:fldChar w:fldCharType="begin"/>
        </w:r>
        <w:r>
          <w:instrText xml:space="preserve"> PAGEREF _Toc6767 \h </w:instrText>
        </w:r>
        <w:r>
          <w:fldChar w:fldCharType="separate"/>
        </w:r>
        <w:r>
          <w:t>42</w:t>
        </w:r>
        <w:r>
          <w:fldChar w:fldCharType="end"/>
        </w:r>
      </w:hyperlink>
    </w:p>
    <w:p>
      <w:pPr>
        <w:pStyle w:val="TOC2"/>
        <w:tabs>
          <w:tab w:val="right" w:leader="dot" w:pos="8306"/>
        </w:tabs>
      </w:pPr>
      <w:hyperlink w:anchor="_Toc14181" w:history="1">
        <w:r>
          <w:rPr>
            <w:rFonts w:ascii="仿宋" w:eastAsia="仿宋" w:hAnsi="仿宋" w:cs="仿宋" w:hint="eastAsia"/>
            <w:lang w:eastAsia="zh-CN"/>
          </w:rPr>
          <w:t>(三)、知识产权保护机制</w:t>
        </w:r>
        <w:r>
          <w:tab/>
        </w:r>
        <w:r>
          <w:fldChar w:fldCharType="begin"/>
        </w:r>
        <w:r>
          <w:instrText xml:space="preserve"> PAGEREF _Toc14181 \h </w:instrText>
        </w:r>
        <w:r>
          <w:fldChar w:fldCharType="separate"/>
        </w:r>
        <w:r>
          <w:t>43</w:t>
        </w:r>
        <w:r>
          <w:fldChar w:fldCharType="end"/>
        </w:r>
      </w:hyperlink>
    </w:p>
    <w:p>
      <w:pPr>
        <w:pStyle w:val="TOC2"/>
        <w:tabs>
          <w:tab w:val="right" w:leader="dot" w:pos="8306"/>
        </w:tabs>
      </w:pPr>
      <w:hyperlink w:anchor="_Toc26080" w:history="1">
        <w:r>
          <w:rPr>
            <w:rFonts w:ascii="仿宋" w:eastAsia="仿宋" w:hAnsi="仿宋" w:cs="仿宋" w:hint="eastAsia"/>
            <w:lang w:eastAsia="zh-CN"/>
          </w:rPr>
          <w:t>(四)、技术引进与应用</w:t>
        </w:r>
        <w:r>
          <w:tab/>
        </w:r>
        <w:r>
          <w:fldChar w:fldCharType="begin"/>
        </w:r>
        <w:r>
          <w:instrText xml:space="preserve"> PAGEREF _Toc26080 \h </w:instrText>
        </w:r>
        <w:r>
          <w:fldChar w:fldCharType="separate"/>
        </w:r>
        <w:r>
          <w:t>45</w:t>
        </w:r>
        <w:r>
          <w:fldChar w:fldCharType="end"/>
        </w:r>
      </w:hyperlink>
    </w:p>
    <w:p>
      <w:pPr>
        <w:pStyle w:val="TOC1"/>
        <w:tabs>
          <w:tab w:val="right" w:leader="dot" w:pos="8306"/>
        </w:tabs>
      </w:pPr>
      <w:hyperlink w:anchor="_Toc12296" w:history="1">
        <w:r>
          <w:rPr>
            <w:rFonts w:ascii="仿宋" w:eastAsia="仿宋" w:hAnsi="仿宋" w:cs="仿宋" w:hint="eastAsia"/>
            <w:lang w:eastAsia="zh-CN"/>
          </w:rPr>
          <w:t>九、成本控制与效益提升</w:t>
        </w:r>
        <w:r>
          <w:tab/>
        </w:r>
        <w:r>
          <w:fldChar w:fldCharType="begin"/>
        </w:r>
        <w:r>
          <w:instrText xml:space="preserve"> PAGEREF _Toc12296 \h </w:instrText>
        </w:r>
        <w:r>
          <w:fldChar w:fldCharType="separate"/>
        </w:r>
        <w:r>
          <w:t>46</w:t>
        </w:r>
        <w:r>
          <w:fldChar w:fldCharType="end"/>
        </w:r>
      </w:hyperlink>
    </w:p>
    <w:p>
      <w:pPr>
        <w:pStyle w:val="TOC2"/>
        <w:tabs>
          <w:tab w:val="right" w:leader="dot" w:pos="8306"/>
        </w:tabs>
      </w:pPr>
      <w:hyperlink w:anchor="_Toc24505" w:history="1">
        <w:r>
          <w:rPr>
            <w:rFonts w:ascii="仿宋" w:eastAsia="仿宋" w:hAnsi="仿宋" w:cs="仿宋" w:hint="eastAsia"/>
            <w:lang w:eastAsia="zh-CN"/>
          </w:rPr>
          <w:t>(一)、成本核算与预算管理</w:t>
        </w:r>
        <w:r>
          <w:tab/>
        </w:r>
        <w:r>
          <w:fldChar w:fldCharType="begin"/>
        </w:r>
        <w:r>
          <w:instrText xml:space="preserve"> PAGEREF _Toc24505 \h </w:instrText>
        </w:r>
        <w:r>
          <w:fldChar w:fldCharType="separate"/>
        </w:r>
        <w:r>
          <w:t>46</w:t>
        </w:r>
        <w:r>
          <w:fldChar w:fldCharType="end"/>
        </w:r>
      </w:hyperlink>
    </w:p>
    <w:p>
      <w:pPr>
        <w:pStyle w:val="TOC2"/>
        <w:tabs>
          <w:tab w:val="right" w:leader="dot" w:pos="8306"/>
        </w:tabs>
      </w:pPr>
      <w:hyperlink w:anchor="_Toc14677" w:history="1">
        <w:r>
          <w:rPr>
            <w:rFonts w:ascii="仿宋" w:eastAsia="仿宋" w:hAnsi="仿宋" w:cs="仿宋" w:hint="eastAsia"/>
            <w:lang w:eastAsia="zh-CN"/>
          </w:rPr>
          <w:t>(二)、资源利用效率评估</w:t>
        </w:r>
        <w:r>
          <w:tab/>
        </w:r>
        <w:r>
          <w:fldChar w:fldCharType="begin"/>
        </w:r>
        <w:r>
          <w:instrText xml:space="preserve"> PAGEREF _Toc14677 \h </w:instrText>
        </w:r>
        <w:r>
          <w:fldChar w:fldCharType="separate"/>
        </w:r>
        <w:r>
          <w:t>48</w:t>
        </w:r>
        <w:r>
          <w:fldChar w:fldCharType="end"/>
        </w:r>
      </w:hyperlink>
    </w:p>
    <w:p>
      <w:pPr>
        <w:pStyle w:val="TOC2"/>
        <w:tabs>
          <w:tab w:val="right" w:leader="dot" w:pos="8306"/>
        </w:tabs>
      </w:pPr>
      <w:hyperlink w:anchor="_Toc30951" w:history="1">
        <w:r>
          <w:rPr>
            <w:rFonts w:ascii="仿宋" w:eastAsia="仿宋" w:hAnsi="仿宋" w:cs="仿宋" w:hint="eastAsia"/>
            <w:lang w:eastAsia="zh-CN"/>
          </w:rPr>
          <w:t>(三)、降本增效的具体措施</w:t>
        </w:r>
        <w:r>
          <w:tab/>
        </w:r>
        <w:r>
          <w:fldChar w:fldCharType="begin"/>
        </w:r>
        <w:r>
          <w:instrText xml:space="preserve"> PAGEREF _Toc30951 \h </w:instrText>
        </w:r>
        <w:r>
          <w:fldChar w:fldCharType="separate"/>
        </w:r>
        <w:r>
          <w:t>50</w:t>
        </w:r>
        <w:r>
          <w:fldChar w:fldCharType="end"/>
        </w:r>
      </w:hyperlink>
    </w:p>
    <w:p>
      <w:pPr>
        <w:pStyle w:val="TOC2"/>
        <w:tabs>
          <w:tab w:val="right" w:leader="dot" w:pos="8306"/>
        </w:tabs>
      </w:pPr>
      <w:hyperlink w:anchor="_Toc438" w:history="1">
        <w:r>
          <w:rPr>
            <w:rFonts w:ascii="仿宋" w:eastAsia="仿宋" w:hAnsi="仿宋" w:cs="仿宋" w:hint="eastAsia"/>
            <w:lang w:eastAsia="zh-CN"/>
          </w:rPr>
          <w:t>(四)、成本与效益的平衡策略</w:t>
        </w:r>
        <w:r>
          <w:tab/>
        </w:r>
        <w:r>
          <w:fldChar w:fldCharType="begin"/>
        </w:r>
        <w:r>
          <w:instrText xml:space="preserve"> PAGEREF _Toc438 \h </w:instrText>
        </w:r>
        <w:r>
          <w:fldChar w:fldCharType="separate"/>
        </w:r>
        <w:r>
          <w:t>51</w:t>
        </w:r>
        <w:r>
          <w:fldChar w:fldCharType="end"/>
        </w:r>
      </w:hyperlink>
    </w:p>
    <w:p>
      <w:pPr>
        <w:pStyle w:val="TOC1"/>
        <w:tabs>
          <w:tab w:val="right" w:leader="dot" w:pos="8306"/>
        </w:tabs>
      </w:pPr>
      <w:hyperlink w:anchor="_Toc19112" w:history="1">
        <w:r>
          <w:rPr>
            <w:rFonts w:ascii="仿宋" w:eastAsia="仿宋" w:hAnsi="仿宋" w:cs="仿宋" w:hint="eastAsia"/>
            <w:lang w:eastAsia="zh-CN"/>
          </w:rPr>
          <w:t>十、危机管理与应急响应</w:t>
        </w:r>
        <w:r>
          <w:tab/>
        </w:r>
        <w:r>
          <w:fldChar w:fldCharType="begin"/>
        </w:r>
        <w:r>
          <w:instrText xml:space="preserve"> PAGEREF _Toc19112 \h </w:instrText>
        </w:r>
        <w:r>
          <w:fldChar w:fldCharType="separate"/>
        </w:r>
        <w:r>
          <w:t>53</w:t>
        </w:r>
        <w:r>
          <w:fldChar w:fldCharType="end"/>
        </w:r>
      </w:hyperlink>
    </w:p>
    <w:p>
      <w:pPr>
        <w:pStyle w:val="TOC2"/>
        <w:tabs>
          <w:tab w:val="right" w:leader="dot" w:pos="8306"/>
        </w:tabs>
      </w:pPr>
      <w:hyperlink w:anchor="_Toc22501" w:history="1">
        <w:r>
          <w:rPr>
            <w:rFonts w:ascii="仿宋" w:eastAsia="仿宋" w:hAnsi="仿宋" w:cs="仿宋" w:hint="eastAsia"/>
            <w:lang w:eastAsia="zh-CN"/>
          </w:rPr>
          <w:t>(一)、危机预警机制</w:t>
        </w:r>
        <w:r>
          <w:tab/>
        </w:r>
        <w:r>
          <w:fldChar w:fldCharType="begin"/>
        </w:r>
        <w:r>
          <w:instrText xml:space="preserve"> PAGEREF _Toc22501 \h </w:instrText>
        </w:r>
        <w:r>
          <w:fldChar w:fldCharType="separate"/>
        </w:r>
        <w:r>
          <w:t>53</w:t>
        </w:r>
        <w:r>
          <w:fldChar w:fldCharType="end"/>
        </w:r>
      </w:hyperlink>
    </w:p>
    <w:p>
      <w:pPr>
        <w:pStyle w:val="TOC2"/>
        <w:tabs>
          <w:tab w:val="right" w:leader="dot" w:pos="8306"/>
        </w:tabs>
      </w:pPr>
      <w:hyperlink w:anchor="_Toc356" w:history="1">
        <w:r>
          <w:rPr>
            <w:rFonts w:ascii="仿宋" w:eastAsia="仿宋" w:hAnsi="仿宋" w:cs="仿宋" w:hint="eastAsia"/>
            <w:lang w:eastAsia="zh-CN"/>
          </w:rPr>
          <w:t>(二)、应急预案与演练</w:t>
        </w:r>
        <w:r>
          <w:tab/>
        </w:r>
        <w:r>
          <w:fldChar w:fldCharType="begin"/>
        </w:r>
        <w:r>
          <w:instrText xml:space="preserve"> PAGEREF _Toc356 \h </w:instrText>
        </w:r>
        <w:r>
          <w:fldChar w:fldCharType="separate"/>
        </w:r>
        <w:r>
          <w:t>54</w:t>
        </w:r>
        <w:r>
          <w:fldChar w:fldCharType="end"/>
        </w:r>
      </w:hyperlink>
    </w:p>
    <w:p>
      <w:pPr>
        <w:pStyle w:val="TOC2"/>
        <w:tabs>
          <w:tab w:val="right" w:leader="dot" w:pos="8306"/>
        </w:tabs>
      </w:pPr>
      <w:hyperlink w:anchor="_Toc13558" w:history="1">
        <w:r>
          <w:rPr>
            <w:rFonts w:ascii="仿宋" w:eastAsia="仿宋" w:hAnsi="仿宋" w:cs="仿宋" w:hint="eastAsia"/>
            <w:lang w:eastAsia="zh-CN"/>
          </w:rPr>
          <w:t>(三)、公关与舆情管理</w:t>
        </w:r>
        <w:r>
          <w:tab/>
        </w:r>
        <w:r>
          <w:fldChar w:fldCharType="begin"/>
        </w:r>
        <w:r>
          <w:instrText xml:space="preserve"> PAGEREF _Toc13558 \h </w:instrText>
        </w:r>
        <w:r>
          <w:fldChar w:fldCharType="separate"/>
        </w:r>
        <w:r>
          <w:t>55</w:t>
        </w:r>
        <w:r>
          <w:fldChar w:fldCharType="end"/>
        </w:r>
      </w:hyperlink>
    </w:p>
    <w:p>
      <w:pPr>
        <w:pStyle w:val="TOC2"/>
        <w:tabs>
          <w:tab w:val="right" w:leader="dot" w:pos="8306"/>
        </w:tabs>
      </w:pPr>
      <w:hyperlink w:anchor="_Toc24318" w:history="1">
        <w:r>
          <w:rPr>
            <w:rFonts w:ascii="仿宋" w:eastAsia="仿宋" w:hAnsi="仿宋" w:cs="仿宋" w:hint="eastAsia"/>
            <w:lang w:eastAsia="zh-CN"/>
          </w:rPr>
          <w:t>(四)、危机后期修复与改进</w:t>
        </w:r>
        <w:r>
          <w:tab/>
        </w:r>
        <w:r>
          <w:fldChar w:fldCharType="begin"/>
        </w:r>
        <w:r>
          <w:instrText xml:space="preserve"> PAGEREF _Toc24318 \h </w:instrText>
        </w:r>
        <w:r>
          <w:fldChar w:fldCharType="separate"/>
        </w:r>
        <w:r>
          <w:t>57</w:t>
        </w:r>
        <w:r>
          <w:fldChar w:fldCharType="end"/>
        </w:r>
      </w:hyperlink>
    </w:p>
    <w:p>
      <w:pPr>
        <w:pStyle w:val="TOC1"/>
        <w:tabs>
          <w:tab w:val="right" w:leader="dot" w:pos="8306"/>
        </w:tabs>
      </w:pPr>
      <w:hyperlink w:anchor="_Toc21466" w:history="1">
        <w:r>
          <w:rPr>
            <w:rFonts w:ascii="仿宋" w:eastAsia="仿宋" w:hAnsi="仿宋" w:cs="仿宋" w:hint="eastAsia"/>
            <w:lang w:eastAsia="zh-CN"/>
          </w:rPr>
          <w:t>十一、员工福利与团队建设</w:t>
        </w:r>
        <w:r>
          <w:tab/>
        </w:r>
        <w:r>
          <w:fldChar w:fldCharType="begin"/>
        </w:r>
        <w:r>
          <w:instrText xml:space="preserve"> PAGEREF _Toc21466 \h </w:instrText>
        </w:r>
        <w:r>
          <w:fldChar w:fldCharType="separate"/>
        </w:r>
        <w:r>
          <w:t>59</w:t>
        </w:r>
        <w:r>
          <w:fldChar w:fldCharType="end"/>
        </w:r>
      </w:hyperlink>
    </w:p>
    <w:p>
      <w:pPr>
        <w:pStyle w:val="TOC2"/>
        <w:tabs>
          <w:tab w:val="right" w:leader="dot" w:pos="8306"/>
        </w:tabs>
      </w:pPr>
      <w:hyperlink w:anchor="_Toc6361" w:history="1">
        <w:r>
          <w:rPr>
            <w:rFonts w:ascii="仿宋" w:eastAsia="仿宋" w:hAnsi="仿宋" w:cs="仿宋" w:hint="eastAsia"/>
            <w:lang w:eastAsia="zh-CN"/>
          </w:rPr>
          <w:t>(一)、员工福利政策制定</w:t>
        </w:r>
        <w:r>
          <w:tab/>
        </w:r>
        <w:r>
          <w:fldChar w:fldCharType="begin"/>
        </w:r>
        <w:r>
          <w:instrText xml:space="preserve"> PAGEREF _Toc6361 \h </w:instrText>
        </w:r>
        <w:r>
          <w:fldChar w:fldCharType="separate"/>
        </w:r>
        <w:r>
          <w:t>59</w:t>
        </w:r>
        <w:r>
          <w:fldChar w:fldCharType="end"/>
        </w:r>
      </w:hyperlink>
    </w:p>
    <w:p>
      <w:pPr>
        <w:pStyle w:val="TOC2"/>
        <w:tabs>
          <w:tab w:val="right" w:leader="dot" w:pos="8306"/>
        </w:tabs>
      </w:pPr>
      <w:hyperlink w:anchor="_Toc10708" w:history="1">
        <w:r>
          <w:rPr>
            <w:rFonts w:ascii="仿宋" w:eastAsia="仿宋" w:hAnsi="仿宋" w:cs="仿宋" w:hint="eastAsia"/>
            <w:lang w:eastAsia="zh-CN"/>
          </w:rPr>
          <w:t>(二)、团队建设活动规划</w:t>
        </w:r>
        <w:r>
          <w:tab/>
        </w:r>
        <w:r>
          <w:fldChar w:fldCharType="begin"/>
        </w:r>
        <w:r>
          <w:instrText xml:space="preserve"> PAGEREF _Toc10708 \h </w:instrText>
        </w:r>
        <w:r>
          <w:fldChar w:fldCharType="separate"/>
        </w:r>
        <w:r>
          <w:t>60</w:t>
        </w:r>
        <w:r>
          <w:fldChar w:fldCharType="end"/>
        </w:r>
      </w:hyperlink>
    </w:p>
    <w:p>
      <w:pPr>
        <w:pStyle w:val="TOC2"/>
        <w:tabs>
          <w:tab w:val="right" w:leader="dot" w:pos="8306"/>
        </w:tabs>
      </w:pPr>
      <w:hyperlink w:anchor="_Toc14061" w:history="1">
        <w:r>
          <w:rPr>
            <w:rFonts w:ascii="仿宋" w:eastAsia="仿宋" w:hAnsi="仿宋" w:cs="仿宋" w:hint="eastAsia"/>
            <w:lang w:eastAsia="zh-CN"/>
          </w:rPr>
          <w:t>(三)、员工关怀与激励措施</w:t>
        </w:r>
        <w:r>
          <w:tab/>
        </w:r>
        <w:r>
          <w:fldChar w:fldCharType="begin"/>
        </w:r>
        <w:r>
          <w:instrText xml:space="preserve"> PAGEREF _Toc14061 \h </w:instrText>
        </w:r>
        <w:r>
          <w:fldChar w:fldCharType="separate"/>
        </w:r>
        <w:r>
          <w:t>61</w:t>
        </w:r>
        <w:r>
          <w:fldChar w:fldCharType="end"/>
        </w:r>
      </w:hyperlink>
    </w:p>
    <w:p>
      <w:pPr>
        <w:pStyle w:val="TOC2"/>
        <w:tabs>
          <w:tab w:val="right" w:leader="dot" w:pos="8306"/>
        </w:tabs>
      </w:pPr>
      <w:hyperlink w:anchor="_Toc28595" w:history="1">
        <w:r>
          <w:rPr>
            <w:rFonts w:ascii="仿宋" w:eastAsia="仿宋" w:hAnsi="仿宋" w:cs="仿宋" w:hint="eastAsia"/>
            <w:lang w:eastAsia="zh-CN"/>
          </w:rPr>
          <w:t>(四)、团队文化与价值观塑造</w:t>
        </w:r>
        <w:r>
          <w:tab/>
        </w:r>
        <w:r>
          <w:fldChar w:fldCharType="begin"/>
        </w:r>
        <w:r>
          <w:instrText xml:space="preserve"> PAGEREF _Toc28595 \h </w:instrText>
        </w:r>
        <w:r>
          <w:fldChar w:fldCharType="separate"/>
        </w:r>
        <w:r>
          <w:t>62</w:t>
        </w:r>
        <w:r>
          <w:fldChar w:fldCharType="end"/>
        </w:r>
      </w:hyperlink>
    </w:p>
    <w:p>
      <w:pPr>
        <w:pStyle w:val="TOC1"/>
        <w:tabs>
          <w:tab w:val="right" w:leader="dot" w:pos="8306"/>
        </w:tabs>
      </w:pPr>
      <w:hyperlink w:anchor="_Toc1183" w:history="1">
        <w:r>
          <w:rPr>
            <w:rFonts w:ascii="仿宋" w:eastAsia="仿宋" w:hAnsi="仿宋" w:cs="仿宋" w:hint="eastAsia"/>
            <w:lang w:eastAsia="zh-CN"/>
          </w:rPr>
          <w:t>十二、合规与风险管理</w:t>
        </w:r>
        <w:r>
          <w:tab/>
        </w:r>
        <w:r>
          <w:fldChar w:fldCharType="begin"/>
        </w:r>
        <w:r>
          <w:instrText xml:space="preserve"> PAGEREF _Toc1183 \h </w:instrText>
        </w:r>
        <w:r>
          <w:fldChar w:fldCharType="separate"/>
        </w:r>
        <w:r>
          <w:t>64</w:t>
        </w:r>
        <w:r>
          <w:fldChar w:fldCharType="end"/>
        </w:r>
      </w:hyperlink>
    </w:p>
    <w:p>
      <w:pPr>
        <w:pStyle w:val="TOC2"/>
        <w:tabs>
          <w:tab w:val="right" w:leader="dot" w:pos="8306"/>
        </w:tabs>
      </w:pPr>
      <w:hyperlink w:anchor="_Toc26935" w:history="1">
        <w:r>
          <w:rPr>
            <w:rFonts w:ascii="仿宋" w:eastAsia="仿宋" w:hAnsi="仿宋" w:cs="仿宋" w:hint="eastAsia"/>
            <w:lang w:eastAsia="zh-CN"/>
          </w:rPr>
          <w:t>(一)、法律法规合规体系</w:t>
        </w:r>
        <w:r>
          <w:tab/>
        </w:r>
        <w:r>
          <w:fldChar w:fldCharType="begin"/>
        </w:r>
        <w:r>
          <w:instrText xml:space="preserve"> PAGEREF _Toc26935 \h </w:instrText>
        </w:r>
        <w:r>
          <w:fldChar w:fldCharType="separate"/>
        </w:r>
        <w:r>
          <w:t>64</w:t>
        </w:r>
        <w:r>
          <w:fldChar w:fldCharType="end"/>
        </w:r>
      </w:hyperlink>
    </w:p>
    <w:p>
      <w:pPr>
        <w:pStyle w:val="TOC2"/>
        <w:tabs>
          <w:tab w:val="right" w:leader="dot" w:pos="8306"/>
        </w:tabs>
      </w:pPr>
      <w:hyperlink w:anchor="_Toc19767" w:history="1">
        <w:r>
          <w:rPr>
            <w:rFonts w:ascii="仿宋" w:eastAsia="仿宋" w:hAnsi="仿宋" w:cs="仿宋" w:hint="eastAsia"/>
            <w:lang w:eastAsia="zh-CN"/>
          </w:rPr>
          <w:t>(二)、内部控制与风险评估</w:t>
        </w:r>
        <w:r>
          <w:tab/>
        </w:r>
        <w:r>
          <w:fldChar w:fldCharType="begin"/>
        </w:r>
        <w:r>
          <w:instrText xml:space="preserve"> PAGEREF _Toc19767 \h </w:instrText>
        </w:r>
        <w:r>
          <w:fldChar w:fldCharType="separate"/>
        </w:r>
        <w:r>
          <w:t>65</w:t>
        </w:r>
        <w:r>
          <w:fldChar w:fldCharType="end"/>
        </w:r>
      </w:hyperlink>
    </w:p>
    <w:p>
      <w:pPr>
        <w:pStyle w:val="TOC2"/>
        <w:tabs>
          <w:tab w:val="right" w:leader="dot" w:pos="8306"/>
        </w:tabs>
      </w:pPr>
      <w:hyperlink w:anchor="_Toc27947" w:history="1">
        <w:r>
          <w:rPr>
            <w:rFonts w:ascii="仿宋" w:eastAsia="仿宋" w:hAnsi="仿宋" w:cs="仿宋" w:hint="eastAsia"/>
            <w:lang w:eastAsia="zh-CN"/>
          </w:rPr>
          <w:t>(三)、合规培训与执行</w:t>
        </w:r>
        <w:r>
          <w:tab/>
        </w:r>
        <w:r>
          <w:fldChar w:fldCharType="begin"/>
        </w:r>
        <w:r>
          <w:instrText xml:space="preserve"> PAGEREF _Toc27947 \h </w:instrText>
        </w:r>
        <w:r>
          <w:fldChar w:fldCharType="separate"/>
        </w:r>
        <w:r>
          <w:t>66</w:t>
        </w:r>
        <w:r>
          <w:fldChar w:fldCharType="end"/>
        </w:r>
      </w:hyperlink>
    </w:p>
    <w:p>
      <w:pPr>
        <w:pStyle w:val="TOC2"/>
        <w:tabs>
          <w:tab w:val="right" w:leader="dot" w:pos="8306"/>
        </w:tabs>
      </w:pPr>
      <w:hyperlink w:anchor="_Toc21033" w:history="1">
        <w:r>
          <w:rPr>
            <w:rFonts w:ascii="仿宋" w:eastAsia="仿宋" w:hAnsi="仿宋" w:cs="仿宋" w:hint="eastAsia"/>
            <w:lang w:eastAsia="zh-CN"/>
          </w:rPr>
          <w:t>(四)、合规监测与修正机制</w:t>
        </w:r>
        <w:r>
          <w:tab/>
        </w:r>
        <w:r>
          <w:fldChar w:fldCharType="begin"/>
        </w:r>
        <w:r>
          <w:instrText xml:space="preserve"> PAGEREF _Toc21033 \h </w:instrText>
        </w:r>
        <w:r>
          <w:fldChar w:fldCharType="separate"/>
        </w:r>
        <w:r>
          <w:t>67</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4387"/>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随着全球市场一体化步伐的加快，跨界合作已经成为推动企业发展新趋势。本文档编制之初，即依据双方各自的市场定位、资源能力及未来发展规划，以期达成共识，并深入分析项目的可行性及潜在增值空间。本文档将详细论述合作双方的职责分工、合作流程以及期望成果，其内容和数据均不得用于商业目的，仅供学习和交流之用。我们期待以本计划书为基础，搭建一个稳定可靠的项目合作平台，共创双方利益的最大化。</w:t>
      </w:r>
    </w:p>
    <w:p>
      <w:pPr>
        <w:pStyle w:val="Heading1"/>
        <w:ind w:firstLine="560" w:firstLineChars="200"/>
        <w:rPr>
          <w:rFonts w:ascii="仿宋" w:eastAsia="仿宋" w:hAnsi="仿宋" w:cs="仿宋" w:hint="eastAsia"/>
          <w:sz w:val="28"/>
          <w:lang w:eastAsia="zh-CN"/>
        </w:rPr>
      </w:pPr>
      <w:bookmarkStart w:id="2" w:name="_Toc12191"/>
      <w:r>
        <w:rPr>
          <w:rFonts w:ascii="仿宋" w:eastAsia="仿宋" w:hAnsi="仿宋" w:cs="仿宋" w:hint="eastAsia"/>
          <w:sz w:val="28"/>
          <w:lang w:eastAsia="zh-CN"/>
        </w:rPr>
        <w:t>一、工艺先进性</w:t>
      </w:r>
      <w:bookmarkEnd w:id="2"/>
    </w:p>
    <w:p>
      <w:pPr>
        <w:pStyle w:val="Heading2"/>
        <w:rPr>
          <w:rFonts w:ascii="仿宋" w:eastAsia="仿宋" w:hAnsi="仿宋" w:cs="仿宋" w:hint="eastAsia"/>
          <w:lang w:eastAsia="zh-CN"/>
        </w:rPr>
      </w:pPr>
      <w:bookmarkStart w:id="3" w:name="_Toc12977"/>
      <w:r>
        <w:rPr>
          <w:rFonts w:ascii="仿宋" w:eastAsia="仿宋" w:hAnsi="仿宋" w:cs="仿宋" w:hint="eastAsia"/>
          <w:lang w:eastAsia="zh-CN"/>
        </w:rPr>
        <w:t>(一)、IGBT逆变式电焊机项目建设期的原辅材料保障</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XXIGBT逆变式电焊机项目在施工期间的原辅材料采购主要涵盖以下几个方面：钢材、木材、水泥以及各种建筑和装饰材料。IGBT逆变式电焊机项目所在地周边市场拥有丰富的供应资源，有多家供货厂家和商户，能够满足IGBT逆变式电焊机项目建设期间的原辅材料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其中，钢材是IGBT逆变式电焊机项目施工不可或缺的主要材料之一，涵盖结构钢、型钢等多个种类，市场上存在多家专业生产厂家，提供了多样化的选择。木材作为建筑和装饰的重要原材料，周边供应商可提供各类木材品种，以满足IGBT逆变式电焊机项目的具体需求。</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水泥是建筑施工中的基础材料，IGBT逆变式电焊机项目所在地区有多家水泥生产厂家，保障了IGBT逆变式电焊机项目对水泥的供应。此外，各种建筑及装饰材料，如砖瓦、涂料、地板等，也能在周边市场找到丰富的品种和供应商，确保IGBT逆变式电焊机项目在施工过程中有足够的选择空间。</w:t>
      </w:r>
    </w:p>
    <w:p>
      <w:pPr>
        <w:pStyle w:val="Heading2"/>
        <w:ind w:firstLine="560" w:firstLineChars="200"/>
        <w:rPr>
          <w:rFonts w:ascii="仿宋" w:eastAsia="仿宋" w:hAnsi="仿宋" w:cs="仿宋" w:hint="eastAsia"/>
          <w:sz w:val="28"/>
          <w:lang w:eastAsia="zh-CN"/>
        </w:rPr>
      </w:pPr>
      <w:bookmarkStart w:id="4" w:name="_Toc3128"/>
      <w:r>
        <w:rPr>
          <w:rFonts w:ascii="仿宋" w:eastAsia="仿宋" w:hAnsi="仿宋" w:cs="仿宋" w:hint="eastAsia"/>
          <w:sz w:val="28"/>
          <w:lang w:eastAsia="zh-CN"/>
        </w:rPr>
        <w:t>(二)、IGBT逆变式电焊机项目运营期的原辅材料采购与管理</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在IGBT逆变式电焊机项目运营期，原辅材料的采购及管理是确保生产顺利进行和产品质量稳定的关键环节。以下是对该方面的运营策略：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分类仓库贮存：</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成品及包装材料将分别储存在各分类仓库内，实现合理分区，便于物料管理和快速取料。</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仓库的设计应考虑不同物品的存储条件，如温湿度要求，确保物料贮存环境符合标准。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2. 建立责任体系：</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设立明确的责任体系，明确各仓库管理人员的职责和权限，确保每位管理人员能够有效地负责所管辖仓库的物料管理。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实施定期培训，提升管理人员对物料存储、保管和出入库流程的专业水平。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3. 保障存放安全：</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 xml:space="preserve">    引入现代化安防系统，确保仓库存放安全，包括视频监控、入侵报警系统等。</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建立定期巡检和维护机制，确保仓库设施设备的正常运行，提高存放安全性。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4. IS09000 质量管理体系：</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IGBT逆变式电焊机项目承办单位将建立健全IS09000质量管理和质量保证体系，确保物料的质量控制和管理符合国际标准。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引入先进的检验手段，包括质检设备和检测技术，以保障原辅材料的质量和符合产品生产的要求。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5. 稳定可靠的原料来源：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IGBT逆变式电焊机项目在建设时应确保原料来源的稳定可靠，建立长期合作关系，确保建成后原料的质量和连续供应。</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开展供应商评估和管理，以确保供应商的质量体系和交货准时性。</w:t>
      </w:r>
    </w:p>
    <w:p>
      <w:pPr>
        <w:pStyle w:val="Heading2"/>
        <w:ind w:firstLine="560" w:firstLineChars="200"/>
        <w:rPr>
          <w:rFonts w:ascii="仿宋" w:eastAsia="仿宋" w:hAnsi="仿宋" w:cs="仿宋" w:hint="eastAsia"/>
          <w:sz w:val="28"/>
          <w:lang w:eastAsia="zh-CN"/>
        </w:rPr>
      </w:pPr>
      <w:bookmarkStart w:id="5" w:name="_Toc23003"/>
      <w:r>
        <w:rPr>
          <w:rFonts w:ascii="仿宋" w:eastAsia="仿宋" w:hAnsi="仿宋" w:cs="仿宋" w:hint="eastAsia"/>
          <w:sz w:val="28"/>
          <w:lang w:eastAsia="zh-CN"/>
        </w:rPr>
        <w:t>(三)、技术管理的独特特色</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在IGBT逆变式电焊机项目建设和实施阶段，我们将严格遵循环境保护和安全生产的“三同时”原则，全面贯彻环境保护、职业安全卫生、消防及节能等法律法规和相关措施。关键要求如下：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环境保护要求：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制定并执行符合环保法规的排放标准，确保IGBT逆变式电焊机项目不对周边环境造成污染。</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 xml:space="preserve">    引入清洁生产工艺，降低排放物和废弃物的产生，最大程度减轻对生态环境的压力。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2. 职业安全卫生：</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设立职业安全卫生管理体系，确保工作场所符合卫生标准，员工的职业健康得到保障。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提供必要的职业安全培训，确保员工熟悉并遵守安全操作规程，预防职业伤害。</w:t>
      </w:r>
    </w:p>
    <w:p>
      <w:pPr>
        <w:ind w:firstLine="560" w:firstLineChars="200"/>
        <w:rPr>
          <w:rFonts w:ascii="仿宋" w:eastAsia="仿宋" w:hAnsi="仿宋" w:cs="仿宋" w:hint="eastAsia"/>
          <w:sz w:val="28"/>
        </w:rPr>
      </w:pPr>
      <w:r>
        <w:rPr>
          <w:rFonts w:ascii="仿宋" w:eastAsia="仿宋" w:hAnsi="仿宋" w:cs="仿宋" w:hint="eastAsia"/>
          <w:sz w:val="28"/>
          <w:lang w:eastAsia="zh-CN"/>
        </w:rPr>
        <w:t>3. 消防安全：</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采用先进的消防设备，建立健全的消防安全系统，确保一旦发生火灾能够迅速控制和扑灭。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定期进行消防演练，提高员工的火灾应急处理能力，确保人员安全撤离。</w:t>
      </w:r>
    </w:p>
    <w:p>
      <w:pPr>
        <w:ind w:firstLine="560" w:firstLineChars="200"/>
        <w:rPr>
          <w:rFonts w:ascii="仿宋" w:eastAsia="仿宋" w:hAnsi="仿宋" w:cs="仿宋" w:hint="eastAsia"/>
          <w:sz w:val="28"/>
        </w:rPr>
      </w:pPr>
      <w:r>
        <w:rPr>
          <w:rFonts w:ascii="仿宋" w:eastAsia="仿宋" w:hAnsi="仿宋" w:cs="仿宋" w:hint="eastAsia"/>
          <w:sz w:val="28"/>
          <w:lang w:eastAsia="zh-CN"/>
        </w:rPr>
        <w:t>4. 节能措施：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采用先进的节能设施，降低能源消耗，提高生产效益。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实施定期的能耗评估，优化生产流程，确保IGBT逆变式电焊机项目运行成本最低化。</w:t>
      </w:r>
    </w:p>
    <w:p>
      <w:pPr>
        <w:ind w:firstLine="560" w:firstLineChars="200"/>
        <w:rPr>
          <w:rFonts w:ascii="仿宋" w:eastAsia="仿宋" w:hAnsi="仿宋" w:cs="仿宋" w:hint="eastAsia"/>
          <w:sz w:val="28"/>
        </w:rPr>
      </w:pPr>
      <w:r>
        <w:rPr>
          <w:rFonts w:ascii="仿宋" w:eastAsia="仿宋" w:hAnsi="仿宋" w:cs="仿宋" w:hint="eastAsia"/>
          <w:sz w:val="28"/>
          <w:lang w:eastAsia="zh-CN"/>
        </w:rPr>
        <w:t>二、IGBT逆变式电焊机项目技术优势分析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投资IGBT逆变式电焊机项目具备明显的技术优势，主要体现在以下方面：</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先进的节能设施：</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IGBT逆变式电焊机项目采用先进的节能设施，具备多规格产品转换能力，灵活适应市场需求，运行成本相对较低。</w:t>
      </w:r>
    </w:p>
    <w:p>
      <w:pPr>
        <w:ind w:firstLine="560" w:firstLineChars="200"/>
        <w:rPr>
          <w:rFonts w:ascii="仿宋" w:eastAsia="仿宋" w:hAnsi="仿宋" w:cs="仿宋" w:hint="eastAsia"/>
          <w:sz w:val="28"/>
        </w:rPr>
      </w:pPr>
      <w:r>
        <w:rPr>
          <w:rFonts w:ascii="仿宋" w:eastAsia="仿宋" w:hAnsi="仿宋" w:cs="仿宋" w:hint="eastAsia"/>
          <w:sz w:val="28"/>
          <w:lang w:eastAsia="zh-CN"/>
        </w:rPr>
        <w:t>2. 良好的技术适应性：</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 xml:space="preserve">  </w:t>
      </w: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投资IGBT逆变式电焊机项目所采用的技术与国内资源条件相适应，具有良好的技术适应性。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技术工艺路线简洁，能够适应国内主要原材料的特性，有利于流程控制和设备操作。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技术成熟和可靠性：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IGBT逆变式电焊机项目采用的技术工艺路线在国内生产实践中已经得到验证，证明技术成熟可行。</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技术支援条件良好，具备较强的可靠性，有助于确保IGBT逆变式电焊机项目的平稳运行和高效生产。</w:t>
      </w:r>
    </w:p>
    <w:p>
      <w:pPr>
        <w:pStyle w:val="Heading2"/>
        <w:ind w:firstLine="560" w:firstLineChars="200"/>
        <w:rPr>
          <w:rFonts w:ascii="仿宋" w:eastAsia="仿宋" w:hAnsi="仿宋" w:cs="仿宋" w:hint="eastAsia"/>
          <w:sz w:val="28"/>
          <w:lang w:eastAsia="zh-CN"/>
        </w:rPr>
      </w:pPr>
      <w:bookmarkStart w:id="6" w:name="_Toc6910"/>
      <w:r>
        <w:rPr>
          <w:rFonts w:ascii="仿宋" w:eastAsia="仿宋" w:hAnsi="仿宋" w:cs="仿宋" w:hint="eastAsia"/>
          <w:sz w:val="28"/>
          <w:lang w:eastAsia="zh-CN"/>
        </w:rPr>
        <w:t>(四)、IGBT逆变式电焊机项目工艺技术设计方案</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(一) 工艺技术方案要求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在IGBT逆变式电焊机项目的建设和实施过程中，我们坚定贯彻执行“三同时”原则，即环境保护、职业安全卫生、消防及节能的原则。我们注重遵循与环境保护、职业安全卫生、消防及节能相关的法律法规，并全面贯彻各项措施，确保IGBT逆变式电焊机项目建设和运营过程中的环境友好、安全可控。</w:t>
      </w:r>
    </w:p>
    <w:p>
      <w:pPr>
        <w:ind w:firstLine="560" w:firstLineChars="200"/>
        <w:rPr>
          <w:rFonts w:ascii="仿宋" w:eastAsia="仿宋" w:hAnsi="仿宋" w:cs="仿宋" w:hint="eastAsia"/>
          <w:sz w:val="28"/>
        </w:rPr>
      </w:pPr>
      <w:r>
        <w:rPr>
          <w:rFonts w:ascii="仿宋" w:eastAsia="仿宋" w:hAnsi="仿宋" w:cs="仿宋" w:hint="eastAsia"/>
          <w:sz w:val="28"/>
          <w:lang w:eastAsia="zh-CN"/>
        </w:rPr>
        <w:t>(二) IGBT逆变式电焊机项目技术优势分析</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IGBT逆变式电焊机项目在技术方面拥有独特的优势。首先，我们的节能设施是先进的，并具备多规格产品转换的能力，从而确保IGBT逆变式电焊机项目在运行过程中能够适应市场需求的变化，具备较低的运行成本。其次，投资IGBT逆变式电焊机项目采用的技术与国内资源条件相适应，具有出色的技术适应性。我们的技术工艺路线不仅可以适应国内主要原材料的特性，而且简洁明了，有利于流程控制和设备操作。这一技术路线已在国内生产实践中得到验证，证明技术成熟可靠。同时，我们拥有良好的技术支援条件，为IGBT逆变式电焊机项目提供了强大的技术支持，使其具备了较强的可靠性。在技术方面，IGBT逆变式电焊机项目具备适应市场变化、降低运营成本、提高生产效率的竞争优势。</w:t>
      </w:r>
    </w:p>
    <w:p>
      <w:pPr>
        <w:pStyle w:val="Heading2"/>
        <w:ind w:firstLine="560" w:firstLineChars="200"/>
        <w:rPr>
          <w:rFonts w:ascii="仿宋" w:eastAsia="仿宋" w:hAnsi="仿宋" w:cs="仿宋" w:hint="eastAsia"/>
          <w:sz w:val="28"/>
          <w:lang w:eastAsia="zh-CN"/>
        </w:rPr>
      </w:pPr>
      <w:bookmarkStart w:id="7" w:name="_Toc28511"/>
      <w:r>
        <w:rPr>
          <w:rFonts w:ascii="仿宋" w:eastAsia="仿宋" w:hAnsi="仿宋" w:cs="仿宋" w:hint="eastAsia"/>
          <w:sz w:val="28"/>
          <w:lang w:eastAsia="zh-CN"/>
        </w:rPr>
        <w:t>(五)、设备选型的智能化方案</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IGBT逆变式电焊机项目设备的采购方面，我们坚持以甄选优质供应商为原则。在选择设备供应商时，我们将充分考虑各方面因素，包括供应商的信誉、生产能力、质量管理水平以及售后服务水平等。我们将确保所选设备供应商能够满足工程进度的需要，保证设备的及时交货，提供良好的售后服务，并能够及时提供备品备件，以确保IGBT逆变式电焊机项目的正常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为降低IGBT逆变式电焊机项目投资风险，我们将力求选择设备生产厂家，其设备交货期、售后服务、安装调试等方面表现优越，以确保IGBT逆变式电焊机项目的顺利进行。我们主要选用国产设备，以减少IGBT逆变式电焊机项目投资，最大限度地降低投资风险。我们将选择那些生产设备厂家，其技术装备达到国内一流水平，企业管理科学，符合国际认证标准要求。</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设备和仪器的选型方面，我们主要采用国内一流技术装备。这些设备以专用设备为主，必须满足技术先进、性能可靠、性能价格比合理的要求，以确保我们能够以合理的投资获取高质量的生产设备。我们将合理配置各类设备，充分发挥它们的最佳技术水平，并在满足生产工艺要求的前提下，力求经济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此外，我们还将充分考虑设备的正常运转费用，以确保在生产相同产品的情况下，能够保持最低的生产成本。预计我们将购置安装主要设备共计XXX 台(套)，设备购置费XXX 万元。通过以上措施，我们将确保IGBT逆变式电焊机项目在设备采购方面达到最佳性能和效益。</w:t>
      </w:r>
    </w:p>
    <w:p>
      <w:pPr>
        <w:pStyle w:val="Heading1"/>
        <w:ind w:firstLine="560" w:firstLineChars="200"/>
        <w:rPr>
          <w:rFonts w:ascii="仿宋" w:eastAsia="仿宋" w:hAnsi="仿宋" w:cs="仿宋" w:hint="eastAsia"/>
          <w:sz w:val="28"/>
          <w:lang w:eastAsia="zh-CN"/>
        </w:rPr>
      </w:pPr>
      <w:bookmarkStart w:id="8" w:name="_Toc10511"/>
      <w:r>
        <w:rPr>
          <w:rFonts w:ascii="仿宋" w:eastAsia="仿宋" w:hAnsi="仿宋" w:cs="仿宋" w:hint="eastAsia"/>
          <w:sz w:val="28"/>
          <w:lang w:eastAsia="zh-CN"/>
        </w:rPr>
        <w:t>二、IGBT逆变式电焊机项目建设地分析</w:t>
      </w:r>
      <w:bookmarkEnd w:id="8"/>
    </w:p>
    <w:p>
      <w:pPr>
        <w:pStyle w:val="Heading2"/>
        <w:rPr>
          <w:rFonts w:ascii="仿宋" w:eastAsia="仿宋" w:hAnsi="仿宋" w:cs="仿宋" w:hint="eastAsia"/>
          <w:lang w:eastAsia="zh-CN"/>
        </w:rPr>
      </w:pPr>
      <w:bookmarkStart w:id="9" w:name="_Toc7416"/>
      <w:r>
        <w:rPr>
          <w:rFonts w:ascii="仿宋" w:eastAsia="仿宋" w:hAnsi="仿宋" w:cs="仿宋" w:hint="eastAsia"/>
          <w:lang w:eastAsia="zh-CN"/>
        </w:rPr>
        <w:t>(一)、IGBT逆变式电焊机项目选址原则</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确保IGBT逆变式电焊机项目建设不会对周围环境造成污染，或者任何潜在的污染都将控制在国家法律和标准允许的范围内。IGBT逆变式电焊机项目建设的区域将依据城市总体规划，以确保布局相对独立，便于进行科研、生产经营和管理活动。同时，IGBT逆变式电焊机项目建设区域与城市建设地的联系也将得到全面考虑，以促使IGBT逆变式电焊机项目与城市的发展更为协调。</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IGBT逆变式电焊机项目建设方案将在满足IGBT逆变式电焊机项目产品生产工艺、消防安全、环境保护卫生等要求的前提下，尽量合并建筑，以提高资源利用效率。在布置方面，将充分利用自然空间，贯彻执行“十分珍惜和合理利用土地”的基本国策，根据具体情况因地制宜，合理布置IGBT逆变式电焊机项目建设，确保土地利用的合理性和可持续性。这样的IGBT逆变式电焊机项目规划将确保在IGBT逆变式电焊机项目建设和运营过程中对当地居民和社会不会造成不满和不良影响。</w:t>
      </w:r>
    </w:p>
    <w:p>
      <w:pPr>
        <w:pStyle w:val="Heading2"/>
        <w:ind w:firstLine="560" w:firstLineChars="200"/>
        <w:rPr>
          <w:rFonts w:ascii="仿宋" w:eastAsia="仿宋" w:hAnsi="仿宋" w:cs="仿宋" w:hint="eastAsia"/>
          <w:sz w:val="28"/>
          <w:lang w:eastAsia="zh-CN"/>
        </w:rPr>
      </w:pPr>
      <w:bookmarkStart w:id="10" w:name="_Toc19972"/>
      <w:r>
        <w:rPr>
          <w:rFonts w:ascii="仿宋" w:eastAsia="仿宋" w:hAnsi="仿宋" w:cs="仿宋" w:hint="eastAsia"/>
          <w:sz w:val="28"/>
          <w:lang w:eastAsia="zh-CN"/>
        </w:rPr>
        <w:t>(二)、IGBT逆变式电焊机项目选址</w:t>
      </w:r>
      <w:bookmarkEnd w:id="10"/>
    </w:p>
    <w:p>
      <w:pPr>
        <w:ind w:firstLine="560" w:firstLineChars="200"/>
        <w:rPr>
          <w:rFonts w:ascii="仿宋" w:eastAsia="仿宋" w:hAnsi="仿宋" w:cs="仿宋" w:hint="eastAsia"/>
          <w:sz w:val="28"/>
        </w:rPr>
      </w:pPr>
    </w:p>
    <w:p>
      <w:pPr>
        <w:ind w:firstLine="560" w:firstLineChars="200"/>
        <w:rPr>
          <w:rFonts w:ascii="仿宋" w:eastAsia="仿宋" w:hAnsi="仿宋" w:cs="仿宋" w:hint="eastAsia"/>
          <w:sz w:val="28"/>
        </w:rPr>
      </w:pPr>
      <w:r>
        <w:rPr>
          <w:rFonts w:ascii="仿宋" w:eastAsia="仿宋" w:hAnsi="仿宋" w:cs="仿宋" w:hint="eastAsia"/>
          <w:sz w:val="28"/>
          <w:lang w:eastAsia="zh-CN"/>
        </w:rPr>
        <w:t>IGBT逆变式电焊机项目选址在 xxx 产业示范园区，这一选址的决定经过了充分的论证和考量。首先，xxx 产业示范园区作为地区内产业发展的重要引擎，具备了先进的基础设施和产业配套条件，为IGBT逆变式电焊机项目的顺利开展提供了有力支持。其次，该示范园区拥有便捷的交通网络和优越的地理位置，有利于原材料供应、产品流通以及人员往来，提高了IGBT逆变式电焊机项目的运营效率。</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此外，xxx 产业示范园区还注重生态环保和绿色发展，与IGBT逆变式电焊机项目的环保理念高度契合。选址于示范园区，不仅可以有效整合各类资源，降低IGBT逆变式电焊机项目建设和运营的成本，同时也有助于提升IGBT逆变式电焊机项目的整体竞争力。综合考虑产业集聚效应、交通便捷性以及生态环保等多方面因素，选址于 xxx 产业示范园区对IGBT逆变式电焊机项目的可持续发展具有积极的促进作用。</w:t>
      </w:r>
    </w:p>
    <w:p>
      <w:pPr>
        <w:pStyle w:val="Heading2"/>
        <w:ind w:firstLine="560" w:firstLineChars="200"/>
        <w:rPr>
          <w:rFonts w:ascii="仿宋" w:eastAsia="仿宋" w:hAnsi="仿宋" w:cs="仿宋" w:hint="eastAsia"/>
          <w:sz w:val="28"/>
          <w:lang w:eastAsia="zh-CN"/>
        </w:rPr>
      </w:pPr>
      <w:bookmarkStart w:id="11" w:name="_Toc1402"/>
      <w:r>
        <w:rPr>
          <w:rFonts w:ascii="仿宋" w:eastAsia="仿宋" w:hAnsi="仿宋" w:cs="仿宋" w:hint="eastAsia"/>
          <w:sz w:val="28"/>
          <w:lang w:eastAsia="zh-CN"/>
        </w:rPr>
        <w:t>(三)、建设条件分析</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IGBT逆变式电焊机项目承办单位目前资产运营状况良好，财务管理制度健全且完善，企业财务雄厚。凭借卓越的产品质量、科学的管理模式以及灵活畅通的销售网络，该单位连年实现盈利，为IGBT逆变式电焊机项目建设提供充足的计划自筹资金。当地人民政府和主管部门高度重视IGBT逆变式电焊机项目建设，土地、规划、建设等管理部门提出了切实可行的实施方案和保障措施，并给予充分的认可。此外，IGBT逆变式电焊机项目建设区域拥有充足的水、电、气等资源供给，足以满足IGBT逆变式电焊机项目正常生产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投资IGBT逆变式电焊机项目可依托IGBT逆变式电焊机项目建设地成熟的公用工程、辅助工程、储运设施等富余资源，同时拥有丰富的劳动力资源和完善的社会服务体系。这将有助于加速IGBT逆变式电焊机项目建设进度，降低建设成本，实现IGBT逆变式电焊机项目投资的节约，提升IGBT逆变式电焊机项目承办单位的综合经济效益。</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IGBT逆变式电焊机项目承办单位具备一大批丰富经验的IGBT逆变式电焊机项目产品生产专业技术和管理人才。通过引进和内部培养，形成了一个研究方向多元、完整的专业研发团队，包括核心技术专家、关键技术骨干和一般技术人员，构建了完整的人才梯队。该单位在当地相关行业拥有显著的人才优势。与此同时，IGBT逆变式电焊机项目承办单位还与多家科研院所建立了长期的合作关系，并设立了向科研开发倾斜的奖励机制，每年投入专项资金用于重点产品和关键工艺的研发奖励。这为IGBT逆变式电焊机项目的科研创新提供了有力的支持。</w:t>
      </w:r>
    </w:p>
    <w:p>
      <w:pPr>
        <w:pStyle w:val="Heading2"/>
        <w:ind w:firstLine="560" w:firstLineChars="200"/>
        <w:rPr>
          <w:rFonts w:ascii="仿宋" w:eastAsia="仿宋" w:hAnsi="仿宋" w:cs="仿宋" w:hint="eastAsia"/>
          <w:sz w:val="28"/>
          <w:lang w:eastAsia="zh-CN"/>
        </w:rPr>
      </w:pPr>
      <w:bookmarkStart w:id="12" w:name="_Toc27771"/>
      <w:r>
        <w:rPr>
          <w:rFonts w:ascii="仿宋" w:eastAsia="仿宋" w:hAnsi="仿宋" w:cs="仿宋" w:hint="eastAsia"/>
          <w:sz w:val="28"/>
          <w:lang w:eastAsia="zh-CN"/>
        </w:rPr>
        <w:t>(四)、用地控制指标</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IGBT逆变式电焊机项目选址于 xxx 产业示范园区，关于用地控制指标的规划与管理，本IGBT逆变式电焊机项目将严格遵循国家和地方的相关法规和标准。用地控制指标包括但不限于以下几个方面：</w:t>
      </w:r>
    </w:p>
    <w:p>
      <w:pPr>
        <w:ind w:firstLine="560" w:firstLineChars="200"/>
        <w:rPr>
          <w:rFonts w:ascii="仿宋" w:eastAsia="仿宋" w:hAnsi="仿宋" w:cs="仿宋" w:hint="eastAsia"/>
          <w:sz w:val="28"/>
        </w:rPr>
      </w:pPr>
      <w:r>
        <w:rPr>
          <w:rFonts w:ascii="仿宋" w:eastAsia="仿宋" w:hAnsi="仿宋" w:cs="仿宋" w:hint="eastAsia"/>
          <w:sz w:val="28"/>
          <w:lang w:eastAsia="zh-CN"/>
        </w:rPr>
        <w:t>1. 建筑物基底占地面积： IGBT逆变式电焊机项目将严格按照规划建设主体工程的需要，确保建筑物基底占地面积在符合法规的范围内，以最大限度地利用土地，提高用地利用效率。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建筑密度： 根据示范园区的总体规划，IGBT逆变式电焊机项目将遵循相应的建筑密度标准，合理规划建设，保障IGBT逆变式电焊机项目建设的紧凑性和高效性。</w:t>
      </w:r>
    </w:p>
    <w:p>
      <w:pPr>
        <w:ind w:firstLine="560" w:firstLineChars="200"/>
        <w:rPr>
          <w:rFonts w:ascii="仿宋" w:eastAsia="仿宋" w:hAnsi="仿宋" w:cs="仿宋" w:hint="eastAsia"/>
          <w:sz w:val="28"/>
        </w:rPr>
      </w:pPr>
      <w:r>
        <w:rPr>
          <w:rFonts w:ascii="仿宋" w:eastAsia="仿宋" w:hAnsi="仿宋" w:cs="仿宋" w:hint="eastAsia"/>
          <w:sz w:val="28"/>
          <w:lang w:eastAsia="zh-CN"/>
        </w:rPr>
        <w:t>3. 绿化率： 在IGBT逆变式电焊机项目建设中，将注重绿化工作，确保绿化率达到或超过规划要求。通过科学合理的绿化设计，提升IGBT逆变式电焊机项目周边的生态环境，使其更加宜居宜业。</w:t>
      </w:r>
    </w:p>
    <w:p>
      <w:pPr>
        <w:ind w:firstLine="560" w:firstLineChars="200"/>
        <w:rPr>
          <w:rFonts w:ascii="仿宋" w:eastAsia="仿宋" w:hAnsi="仿宋" w:cs="仿宋" w:hint="eastAsia"/>
          <w:sz w:val="28"/>
        </w:rPr>
      </w:pPr>
      <w:r>
        <w:rPr>
          <w:rFonts w:ascii="仿宋" w:eastAsia="仿宋" w:hAnsi="仿宋" w:cs="仿宋" w:hint="eastAsia"/>
          <w:sz w:val="28"/>
          <w:lang w:eastAsia="zh-CN"/>
        </w:rPr>
        <w:t>4. 建筑高度： 遵循规划规定的建筑高度限制，确保建筑在垂直空间的合理利用，不超过规划范围，保持与周边建筑的协调性。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地上层数和地下层数： IGBT逆变式电焊机项目将根据规划要求，合理规划地上和地下层数，确保建设的稳定性和安全性。</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6. 其他控制要素： 根据示范园区的具体规划和相关法规，IGBT逆变式电焊机项目还将遵循其他用地控制指标，如建筑线、退让线等，确保IGBT逆变式电焊机项目的建设与周边环境的和谐相处。</w:t>
      </w:r>
    </w:p>
    <w:p>
      <w:pPr>
        <w:pStyle w:val="Heading2"/>
        <w:ind w:firstLine="560" w:firstLineChars="200"/>
        <w:rPr>
          <w:rFonts w:ascii="仿宋" w:eastAsia="仿宋" w:hAnsi="仿宋" w:cs="仿宋" w:hint="eastAsia"/>
          <w:sz w:val="28"/>
          <w:lang w:eastAsia="zh-CN"/>
        </w:rPr>
      </w:pPr>
      <w:bookmarkStart w:id="13" w:name="_Toc1980"/>
      <w:r>
        <w:rPr>
          <w:rFonts w:ascii="仿宋" w:eastAsia="仿宋" w:hAnsi="仿宋" w:cs="仿宋" w:hint="eastAsia"/>
          <w:sz w:val="28"/>
          <w:lang w:eastAsia="zh-CN"/>
        </w:rPr>
        <w:t>(五)、用地总体要求</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在本期工程IGBT逆变式电焊机项目的建设规划中，涉及到一系列关键的建设指标，这些指标将有助于确保IGBT逆变式电焊机项目的合理规划和高效建设。具体而言：</w:t>
      </w:r>
    </w:p>
    <w:p>
      <w:pPr>
        <w:ind w:firstLine="560" w:firstLineChars="200"/>
        <w:rPr>
          <w:rFonts w:ascii="仿宋" w:eastAsia="仿宋" w:hAnsi="仿宋" w:cs="仿宋" w:hint="eastAsia"/>
          <w:sz w:val="28"/>
        </w:rPr>
      </w:pPr>
      <w:r>
        <w:rPr>
          <w:rFonts w:ascii="仿宋" w:eastAsia="仿宋" w:hAnsi="仿宋" w:cs="仿宋" w:hint="eastAsia"/>
          <w:sz w:val="28"/>
          <w:lang w:eastAsia="zh-CN"/>
        </w:rPr>
        <w:t>1. 建筑系数： 本期工程IGBT逆变式电焊机项目的建筑系数为XXX%。该系数是对IGBT逆变式电焊机项目建筑面积与用地面积的比例控制，通过设定合理的建筑系数，可以确保IGBT逆变式电焊机项目在有限的用地资源下实现最大的建筑利用率，达到用地经济效益的最佳平衡。</w:t>
      </w:r>
    </w:p>
    <w:p>
      <w:pPr>
        <w:ind w:firstLine="560" w:firstLineChars="200"/>
        <w:rPr>
          <w:rFonts w:ascii="仿宋" w:eastAsia="仿宋" w:hAnsi="仿宋" w:cs="仿宋" w:hint="eastAsia"/>
          <w:sz w:val="28"/>
        </w:rPr>
      </w:pPr>
      <w:r>
        <w:rPr>
          <w:rFonts w:ascii="仿宋" w:eastAsia="仿宋" w:hAnsi="仿宋" w:cs="仿宋" w:hint="eastAsia"/>
          <w:sz w:val="28"/>
          <w:lang w:eastAsia="zh-CN"/>
        </w:rPr>
        <w:t>2. 建筑容积率： IGBT逆变式电焊机项目的建筑容积率为XXX。该率值衡量了建筑物总体积与用地面积的比例，是规划中用来控制建筑高度和密度的关键参数。通过合理控制建筑容积率，可以在确保建筑物结构合理的同时，使IGBT逆变式电焊机项目整体外观更协调。</w:t>
      </w:r>
    </w:p>
    <w:p>
      <w:pPr>
        <w:ind w:firstLine="560" w:firstLineChars="200"/>
        <w:rPr>
          <w:rFonts w:ascii="仿宋" w:eastAsia="仿宋" w:hAnsi="仿宋" w:cs="仿宋" w:hint="eastAsia"/>
          <w:sz w:val="28"/>
        </w:rPr>
      </w:pPr>
      <w:r>
        <w:rPr>
          <w:rFonts w:ascii="仿宋" w:eastAsia="仿宋" w:hAnsi="仿宋" w:cs="仿宋" w:hint="eastAsia"/>
          <w:sz w:val="28"/>
          <w:lang w:eastAsia="zh-CN"/>
        </w:rPr>
        <w:t>3. 绿化覆盖率： 为保护自然环境和提升IGBT逆变式电焊机项目的生态品质，本期工程IGBT逆变式电焊机项目将严格执行绿化覆盖率标准，目标值为XXX%。这意味着在IGBT逆变式电焊机项目建设区域，将有相应的绿化面积，以促进生态平衡、改善空气质量，并提供良好的休闲环境。</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固定资产投资强度：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本期工程IGBT逆变式电焊机项目的固定资产投资强度为XXX万元/亩。该指标表征了每亩土地上的固定资产投资额，是评估IGBT逆变式电焊机项目投资规模的重要参考。通过科学合理地控制投资强度，可以实现资金的有效利用，确保IGBT逆变式电焊机项目的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这些建设规划指标将有助于IGBT逆变式电焊机项目在建设过程中充分考虑资源利用效率、环境保护、投资效益等多个方面，实现可持续发展的目标。</w:t>
      </w:r>
    </w:p>
    <w:p>
      <w:pPr>
        <w:pStyle w:val="Heading2"/>
        <w:ind w:firstLine="560" w:firstLineChars="200"/>
        <w:rPr>
          <w:rFonts w:ascii="仿宋" w:eastAsia="仿宋" w:hAnsi="仿宋" w:cs="仿宋" w:hint="eastAsia"/>
          <w:sz w:val="28"/>
          <w:lang w:eastAsia="zh-CN"/>
        </w:rPr>
      </w:pPr>
      <w:bookmarkStart w:id="14" w:name="_Toc7127"/>
      <w:r>
        <w:rPr>
          <w:rFonts w:ascii="仿宋" w:eastAsia="仿宋" w:hAnsi="仿宋" w:cs="仿宋" w:hint="eastAsia"/>
          <w:sz w:val="28"/>
          <w:lang w:eastAsia="zh-CN"/>
        </w:rPr>
        <w:t>(六)、节约用地措施</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为有效利用土地资源，采取以下措施：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1. 大跨度连跨厂房设计：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采用大跨度连跨厂房布局，有助于方便生产设备的布置，提高厂房面积的利用率。这种设计能够最大程度地减少结构支撑柱，从而节约土地资源。</w:t>
      </w:r>
    </w:p>
    <w:p>
      <w:pPr>
        <w:ind w:firstLine="560" w:firstLineChars="200"/>
        <w:rPr>
          <w:rFonts w:ascii="仿宋" w:eastAsia="仿宋" w:hAnsi="仿宋" w:cs="仿宋" w:hint="eastAsia"/>
          <w:sz w:val="28"/>
        </w:rPr>
      </w:pPr>
      <w:r>
        <w:rPr>
          <w:rFonts w:ascii="仿宋" w:eastAsia="仿宋" w:hAnsi="仿宋" w:cs="仿宋" w:hint="eastAsia"/>
          <w:sz w:val="28"/>
          <w:lang w:eastAsia="zh-CN"/>
        </w:rPr>
        <w:t>2. 简易货架优化仓库布局：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在原料及辅助材料仓库采用简易货架，通过合理布局提高库房的面积和空间利用率。这不仅有效地优化了仓库存储结构，还达到了节约土地资源的目的。</w:t>
      </w:r>
    </w:p>
    <w:p>
      <w:pPr>
        <w:ind w:firstLine="560" w:firstLineChars="200"/>
        <w:rPr>
          <w:rFonts w:ascii="仿宋" w:eastAsia="仿宋" w:hAnsi="仿宋" w:cs="仿宋" w:hint="eastAsia"/>
          <w:sz w:val="28"/>
        </w:rPr>
      </w:pPr>
      <w:r>
        <w:rPr>
          <w:rFonts w:ascii="仿宋" w:eastAsia="仿宋" w:hAnsi="仿宋" w:cs="仿宋" w:hint="eastAsia"/>
          <w:sz w:val="28"/>
          <w:lang w:eastAsia="zh-CN"/>
        </w:rPr>
        <w:t>3. 外协(外购)方式降低建设需求：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IGBT逆变式电焊机项目建设坚持专业化生产原则，将主要生产过程和关键工序由IGBT逆变式电焊机项目承办单位实施，而其他附属商品则采用外协(外购)的方式。通过这种方式，能够避免重复建设，达到节约资金、能源和土地资源的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4. 高效生产工艺和设备布局：</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IGBT逆变式电焊机项目采用高效的生产工艺，通过科学的设备布局，最大程度地提高生产效率，减少生产空间的浪费。这包括合理的生产流程设计，避免不必要的物料运输和仓储空间占用。</w:t>
      </w:r>
    </w:p>
    <w:p>
      <w:pPr>
        <w:ind w:firstLine="560" w:firstLineChars="200"/>
        <w:rPr>
          <w:rFonts w:ascii="仿宋" w:eastAsia="仿宋" w:hAnsi="仿宋" w:cs="仿宋" w:hint="eastAsia"/>
          <w:sz w:val="28"/>
        </w:rPr>
      </w:pPr>
      <w:r>
        <w:rPr>
          <w:rFonts w:ascii="仿宋" w:eastAsia="仿宋" w:hAnsi="仿宋" w:cs="仿宋" w:hint="eastAsia"/>
          <w:sz w:val="28"/>
          <w:lang w:eastAsia="zh-CN"/>
        </w:rPr>
        <w:t>5. 绿色建筑和生态环境保护：</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土地利用的同时，IGBT逆变式电焊机项目建设将考虑采用绿色建筑理念，以减少对周边自然环境的影响。通过科学规划和环保措施，确保生产过程中的废弃物处理和排放均符合环保标准，最小化对土地生态的冲击。</w:t>
      </w:r>
    </w:p>
    <w:p>
      <w:pPr>
        <w:ind w:firstLine="560" w:firstLineChars="200"/>
        <w:rPr>
          <w:rFonts w:ascii="仿宋" w:eastAsia="仿宋" w:hAnsi="仿宋" w:cs="仿宋" w:hint="eastAsia"/>
          <w:sz w:val="28"/>
        </w:rPr>
      </w:pPr>
      <w:r>
        <w:rPr>
          <w:rFonts w:ascii="仿宋" w:eastAsia="仿宋" w:hAnsi="仿宋" w:cs="仿宋" w:hint="eastAsia"/>
          <w:sz w:val="28"/>
          <w:lang w:eastAsia="zh-CN"/>
        </w:rPr>
        <w:t>6. 资源综合利用：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在生产过程中，IGBT逆变式电焊机项目将注重资源的综合利用，减少废弃物的产生。通过回收再利用、能源回收等手段，最大化地减少对新资源的依赖，实现对土地资源的更为有效的利用。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7. 智能化管理系统的引入：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引入智能化的生产管理系统，通过精准的数据分析和优化，降低生产中的浪费，包括原材料、能源和生产空间的浪费。这有助于更加智能、高效地利用土地资源。</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以上综合措施的有机结合，IGBT逆变式电焊机项目建设在土地资源的规划和使用上不仅注重高效性和科技性，同时保持对生态环境的尊重。这种全方位的土地资源节约措施将有助于IGBT逆变式电焊机项目的可持续发展和为社会创造更多的经济效益。</w:t>
      </w:r>
    </w:p>
    <w:p>
      <w:pPr>
        <w:pStyle w:val="Heading2"/>
        <w:ind w:firstLine="560" w:firstLineChars="200"/>
        <w:rPr>
          <w:rFonts w:ascii="仿宋" w:eastAsia="仿宋" w:hAnsi="仿宋" w:cs="仿宋" w:hint="eastAsia"/>
          <w:sz w:val="28"/>
          <w:lang w:eastAsia="zh-CN"/>
        </w:rPr>
      </w:pPr>
      <w:bookmarkStart w:id="15" w:name="_Toc27099"/>
      <w:r>
        <w:rPr>
          <w:rFonts w:ascii="仿宋" w:eastAsia="仿宋" w:hAnsi="仿宋" w:cs="仿宋" w:hint="eastAsia"/>
          <w:sz w:val="28"/>
          <w:lang w:eastAsia="zh-CN"/>
        </w:rPr>
        <w:t>(七)、总图布置方案</w:t>
      </w:r>
      <w:bookmarkEnd w:id="15"/>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在IGBT逆变式电焊机项目规划中，总图布置方案是确保各个组成部分协调有序、高效运作的关键。以下是总图布置方案的主要考虑因素：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1. 整体布局设计：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IGBT逆变式电焊机项目整体布局应基于高效生产流程和员工流动，确保各功能区域之间协调有序。</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确定主要生产区、仓储区、办公区、设备区等功能分区，使得生产过程流畅无阻。</w:t>
      </w:r>
    </w:p>
    <w:p>
      <w:pPr>
        <w:ind w:firstLine="560" w:firstLineChars="200"/>
        <w:rPr>
          <w:rFonts w:ascii="仿宋" w:eastAsia="仿宋" w:hAnsi="仿宋" w:cs="仿宋" w:hint="eastAsia"/>
          <w:sz w:val="28"/>
        </w:rPr>
      </w:pPr>
      <w:r>
        <w:rPr>
          <w:rFonts w:ascii="仿宋" w:eastAsia="仿宋" w:hAnsi="仿宋" w:cs="仿宋" w:hint="eastAsia"/>
          <w:sz w:val="28"/>
          <w:lang w:eastAsia="zh-CN"/>
        </w:rPr>
        <w:t>2. 生产设备配置：</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根据生产工艺和流程，合理配置生产设备，确保设备之间的协同作业，提高生产效率。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采用智能化设备和自动化生产线，最大限度地减少人力介入，提高生产精度和速度。</w:t>
      </w:r>
    </w:p>
    <w:p>
      <w:pPr>
        <w:ind w:firstLine="560" w:firstLineChars="200"/>
        <w:rPr>
          <w:rFonts w:ascii="仿宋" w:eastAsia="仿宋" w:hAnsi="仿宋" w:cs="仿宋" w:hint="eastAsia"/>
          <w:sz w:val="28"/>
        </w:rPr>
      </w:pPr>
      <w:r>
        <w:rPr>
          <w:rFonts w:ascii="仿宋" w:eastAsia="仿宋" w:hAnsi="仿宋" w:cs="仿宋" w:hint="eastAsia"/>
          <w:sz w:val="28"/>
          <w:lang w:eastAsia="zh-CN"/>
        </w:rPr>
        <w:t>3. 绿色空间和环保设计：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在总图布置中考虑绿色空间，例如绿化带和景观区域，提升工作环境质量，有助于员工的生产效率和生活舒适度。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引入环保设计理念，设置废弃物处理区域和环保设施，确保IGBT逆变式电焊机项目对环境的影响最小化。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交通与物流通道规划：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设计合理的交通通道，确保原材料、半成品和成品之间的便捷运输，减少内部物流时间。</w:t>
      </w:r>
    </w:p>
    <w:p>
      <w:pPr>
        <w:ind w:firstLine="560" w:firstLineChars="200"/>
        <w:rPr>
          <w:rFonts w:ascii="仿宋" w:eastAsia="仿宋" w:hAnsi="仿宋" w:cs="仿宋" w:hint="eastAsia"/>
          <w:sz w:val="28"/>
        </w:rPr>
        <w:sectPr>
          <w:headerReference w:type="default" r:id="rId36"/>
          <w:footerReference w:type="default" r:id="rId37"/>
          <w:type w:val="nextPage"/>
          <w:pgSz w:w="11906" w:h="16838"/>
          <w:pgMar w:top="1440" w:right="1800" w:bottom="1440" w:left="1800" w:header="851" w:footer="992" w:gutter="0"/>
          <w:pgNumType w:start="17"/>
          <w:cols w:num="1" w:space="425"/>
          <w:titlePg w:val="0"/>
          <w:docGrid w:type="lines" w:linePitch="312" w:charSpace="0"/>
        </w:sectPr>
      </w:pPr>
      <w:r>
        <w:rPr>
          <w:rFonts w:ascii="仿宋" w:eastAsia="仿宋" w:hAnsi="仿宋" w:cs="仿宋" w:hint="eastAsia"/>
          <w:sz w:val="28"/>
          <w:lang w:eastAsia="zh-CN"/>
        </w:rPr>
        <w:t xml:space="preserve">    考虑员工出行和物流车辆的通行，制定合理的交通规划，确保交通流畅。</w:t>
      </w:r>
    </w:p>
    <w:p>
      <w:pPr>
        <w:ind w:firstLine="560" w:firstLineChars="200"/>
        <w:rPr>
          <w:rFonts w:ascii="仿宋" w:eastAsia="仿宋" w:hAnsi="仿宋" w:cs="仿宋" w:hint="eastAsia"/>
          <w:sz w:val="28"/>
        </w:rPr>
      </w:pPr>
      <w:r>
        <w:rPr>
          <w:rFonts w:ascii="仿宋" w:eastAsia="仿宋" w:hAnsi="仿宋" w:cs="仿宋" w:hint="eastAsia"/>
          <w:sz w:val="28"/>
          <w:lang w:eastAsia="zh-CN"/>
        </w:rPr>
        <w:t>5. 安全与紧急应对：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设置安全通道和紧急疏散通道，确保在紧急情况下员工能够快速有序地撤离。</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安排紧急设备和安全设备的布局，提高应急处理效率，确保IGBT逆变式电焊机项目安全运行。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6. 未来扩建和更新考虑：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留出足够的空间，以便未来IGBT逆变式电焊机项目扩建和设备更新。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采用模块化设计，方便未来根据业务需求进行灵活调整和拓展。</w:t>
      </w:r>
    </w:p>
    <w:p>
      <w:pPr>
        <w:ind w:firstLine="560" w:firstLineChars="200"/>
        <w:rPr>
          <w:rFonts w:ascii="仿宋" w:eastAsia="仿宋" w:hAnsi="仿宋" w:cs="仿宋" w:hint="eastAsia"/>
          <w:sz w:val="28"/>
        </w:rPr>
      </w:pPr>
      <w:r>
        <w:rPr>
          <w:rFonts w:ascii="仿宋" w:eastAsia="仿宋" w:hAnsi="仿宋" w:cs="仿宋" w:hint="eastAsia"/>
          <w:sz w:val="28"/>
          <w:lang w:eastAsia="zh-CN"/>
        </w:rPr>
        <w:t>总图布置方案应充分考虑以上因素，以确保IGBT逆变式电焊机项目在运作中能够高效、安全、可持续地发展。该方案的设计应符合IGBT逆变式电焊机项目的整体战略规划和长期发展目标。</w:t>
      </w:r>
    </w:p>
    <w:p>
      <w:pPr>
        <w:pStyle w:val="Heading2"/>
        <w:ind w:firstLine="560" w:firstLineChars="200"/>
        <w:rPr>
          <w:rFonts w:ascii="仿宋" w:eastAsia="仿宋" w:hAnsi="仿宋" w:cs="仿宋" w:hint="eastAsia"/>
          <w:sz w:val="28"/>
          <w:lang w:eastAsia="zh-CN"/>
        </w:rPr>
      </w:pPr>
      <w:bookmarkStart w:id="16" w:name="_Toc27904"/>
      <w:r>
        <w:rPr>
          <w:rFonts w:ascii="仿宋" w:eastAsia="仿宋" w:hAnsi="仿宋" w:cs="仿宋" w:hint="eastAsia"/>
          <w:sz w:val="28"/>
          <w:lang w:eastAsia="zh-CN"/>
        </w:rPr>
        <w:t>(八)、运输组成</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(一) 物流系统整体设计：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1. 在IGBT逆变式电焊机项目建设规划区，注重实现物料流向的合理布局，使内部和外部运输形成高效的工作系统。通过统一考虑场内外运输、接卸和贮存，确保整个物流链条的连贯性和连续性。特别强调将场内外运输与车间内部运输紧密结合，以形成有机的整体物流系统。</w:t>
      </w:r>
    </w:p>
    <w:p>
      <w:pPr>
        <w:ind w:firstLine="560" w:firstLineChars="200"/>
        <w:rPr>
          <w:rFonts w:ascii="仿宋" w:eastAsia="仿宋" w:hAnsi="仿宋" w:cs="仿宋" w:hint="eastAsia"/>
          <w:sz w:val="28"/>
        </w:rPr>
        <w:sectPr>
          <w:headerReference w:type="default" r:id="rId38"/>
          <w:footerReference w:type="default" r:id="rId39"/>
          <w:type w:val="nextPage"/>
          <w:pgSz w:w="11906" w:h="16838"/>
          <w:pgMar w:top="1440" w:right="1800" w:bottom="1440" w:left="1800" w:header="851" w:footer="992" w:gutter="0"/>
          <w:pgNumType w:start="18"/>
          <w:cols w:num="1" w:space="425"/>
          <w:titlePg w:val="0"/>
          <w:docGrid w:type="lines" w:linePitch="312" w:charSpace="0"/>
        </w:sectPr>
      </w:pP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rPr>
      </w:pPr>
      <w:r>
        <w:rPr>
          <w:rFonts w:ascii="仿宋" w:eastAsia="仿宋" w:hAnsi="仿宋" w:cs="仿宋" w:hint="eastAsia"/>
          <w:sz w:val="28"/>
          <w:lang w:eastAsia="zh-CN"/>
        </w:rPr>
        <w:t>2. 采用送货制，选择合适的运输方式和路线，优化企业的物流组成。通过将企业的物料流动，从原材料输入到产品外运，以及车间内部各工序之间的物料流动作为整体系统进行设计，打造有机而高效的全场物料运输系统。</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场内运输系统设计：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1. 场内运输系统的设计应注重物料支撑状态的选择，以确保物料不落地，有利于搬运。运输线路的布置应最小化货流与人流的交叉，确保运输操作的安全。</w:t>
      </w:r>
    </w:p>
    <w:p>
      <w:pPr>
        <w:ind w:firstLine="560" w:firstLineChars="200"/>
        <w:rPr>
          <w:rFonts w:ascii="仿宋" w:eastAsia="仿宋" w:hAnsi="仿宋" w:cs="仿宋" w:hint="eastAsia"/>
          <w:sz w:val="28"/>
        </w:rPr>
      </w:pPr>
      <w:r>
        <w:rPr>
          <w:rFonts w:ascii="仿宋" w:eastAsia="仿宋" w:hAnsi="仿宋" w:cs="仿宋" w:hint="eastAsia"/>
          <w:sz w:val="28"/>
          <w:lang w:eastAsia="zh-CN"/>
        </w:rPr>
        <w:t>2. 场内运输主要包括原材料的卸车进库、生产过程中的原材料、半成品和成品的转运，以及成品的装车外运。这些任务由装载机、叉车和胶轮车承担，费用计入主车间设备配套费用中。本期工程IGBT逆变式电焊机项目资源配置可满足场内运输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(三) 场外运输系统设计：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1. 场外运输主要包括原材料的供给和产品的外运。远距离运输采用汽车或铁路解决，而区域内社会运输力量充足，可以满足本期工程IGBT逆变式电焊机项目场外远距离运输需求。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 短距离运输将利用社会运力解决，不考虑增加汽车运输设备。外部运输应充分依托社会运输力量，降低固定资产投资。主要产成品和大宗原材料的运输避免多次倒运，降低运输成本并提高效率。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(四) 运输方式选择：</w:t>
      </w:r>
    </w:p>
    <w:p>
      <w:pPr>
        <w:ind w:firstLine="560" w:firstLineChars="200"/>
        <w:rPr>
          <w:rFonts w:ascii="仿宋" w:eastAsia="仿宋" w:hAnsi="仿宋" w:cs="仿宋" w:hint="eastAsia"/>
          <w:sz w:val="28"/>
        </w:rPr>
        <w:sectPr>
          <w:headerReference w:type="default" r:id="rId40"/>
          <w:footerReference w:type="default" r:id="rId41"/>
          <w:type w:val="nextPage"/>
          <w:pgSz w:w="11906" w:h="16838"/>
          <w:pgMar w:top="1440" w:right="1800" w:bottom="1440" w:left="1800" w:header="851" w:footer="992" w:gutter="0"/>
          <w:pgNumType w:start="1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考虑到XX产品所涉及的原辅材料和成品运输需求较大，初步采用铁路运输与公路运输相结合的方式。此方式有望在运输成本和效率上取得平衡，确保原辅材料的顺畅运入和成品的高效运出。</w:t>
      </w:r>
    </w:p>
    <w:p>
      <w:pPr>
        <w:ind w:firstLine="560" w:firstLineChars="200"/>
        <w:rPr>
          <w:rFonts w:ascii="仿宋" w:eastAsia="仿宋" w:hAnsi="仿宋" w:cs="仿宋" w:hint="eastAsia"/>
          <w:sz w:val="28"/>
        </w:rPr>
      </w:pPr>
      <w:r>
        <w:rPr>
          <w:rFonts w:ascii="仿宋" w:eastAsia="仿宋" w:hAnsi="仿宋" w:cs="仿宋" w:hint="eastAsia"/>
          <w:sz w:val="28"/>
          <w:lang w:eastAsia="zh-CN"/>
        </w:rPr>
        <w:t>(五) 运输安全和效率：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1. 为确保运输的安全性，将采用合适的物料支撑状态，使搬运过程中物料不落地。在场内运输线路的设计中，注重降低货流与人流的交叉，从而保障运输操作的安全。</w:t>
      </w:r>
    </w:p>
    <w:p>
      <w:pPr>
        <w:ind w:firstLine="560" w:firstLineChars="200"/>
        <w:rPr>
          <w:rFonts w:ascii="仿宋" w:eastAsia="仿宋" w:hAnsi="仿宋" w:cs="仿宋" w:hint="eastAsia"/>
          <w:sz w:val="28"/>
        </w:rPr>
      </w:pPr>
      <w:r>
        <w:rPr>
          <w:rFonts w:ascii="仿宋" w:eastAsia="仿宋" w:hAnsi="仿宋" w:cs="仿宋" w:hint="eastAsia"/>
          <w:sz w:val="28"/>
          <w:lang w:eastAsia="zh-CN"/>
        </w:rPr>
        <w:t>2. 在场外运输方面，通过依托社会运输力量，降低多次倒运的可能性，减少运输过程中的风险。运输中应充分考虑物料稳定性和车辆运输条件，以确保产品在运输过程中的安全和完整性。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(六) 环保和社会影响：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1. IGBT逆变式电焊机项目选址位于XXX产业示范园区，将确保运输活动对周围环境不产生污染，且不超过国家法律和标准允许的范围。IGBT逆变式电焊机项目建设区域布局相对独立，便于科研、生产和管理活动，同时与建成区有便捷联系，确保IGBT逆变式电焊机项目的整体运营与周边社区和居民的和谐相处。</w:t>
      </w:r>
    </w:p>
    <w:p>
      <w:pPr>
        <w:ind w:firstLine="560" w:firstLineChars="200"/>
        <w:rPr>
          <w:rFonts w:ascii="仿宋" w:eastAsia="仿宋" w:hAnsi="仿宋" w:cs="仿宋" w:hint="eastAsia"/>
          <w:sz w:val="28"/>
        </w:rPr>
      </w:pPr>
      <w:r>
        <w:rPr>
          <w:rFonts w:ascii="仿宋" w:eastAsia="仿宋" w:hAnsi="仿宋" w:cs="仿宋" w:hint="eastAsia"/>
          <w:sz w:val="28"/>
          <w:lang w:eastAsia="zh-CN"/>
        </w:rPr>
        <w:t>2. IGBT逆变式电焊机项目建设方案将遵循土地利用的基本国策，采用因地制宜的方式进行合理布置，最大限度地减少土地利用的负面影响。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(七) 运输成本优化：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1. 在运输方案设计中，采用合适的运输方式和路线，以优化物流组成。通过合并建筑和充分利用自然空间，减少运输线路的长度，降低运输成本。运输系统整体设计将追求经济性和效率，以提高IGBT逆变式电焊机项目的竞争力。</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42" w:history="1">
        <w:r>
          <w:rPr>
            <w:rFonts w:ascii="SimSun" w:eastAsia="SimSun" w:hAnsi="SimSun" w:cs="SimSun"/>
            <w:b/>
            <w:bCs/>
            <w:color w:val="0000EE"/>
            <w:kern w:val="0"/>
            <w:sz w:val="30"/>
            <w:szCs w:val="30"/>
            <w:u w:val="single" w:color="0000EE"/>
          </w:rPr>
          <w:t>https://d.book118.com/487046132133006046</w:t>
        </w:r>
      </w:hyperlink>
    </w:p>
    <w:p>
      <w:pPr>
        <w:ind w:firstLine="560" w:firstLineChars="200"/>
        <w:rPr>
          <w:rFonts w:ascii="仿宋" w:eastAsia="仿宋" w:hAnsi="仿宋" w:cs="仿宋" w:hint="eastAsia"/>
          <w:sz w:val="28"/>
        </w:rPr>
      </w:pPr>
    </w:p>
    <w:sectPr>
      <w:headerReference w:type="default" r:id="rId43"/>
      <w:footerReference w:type="default" r:id="rId44"/>
      <w:type w:val="nextPage"/>
      <w:pgSz w:w="11906" w:h="16838"/>
      <w:pgMar w:top="1440" w:right="1800" w:bottom="1440" w:left="1800" w:header="851" w:footer="992" w:gutter="0"/>
      <w:pgNumType w:start="20"/>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19</w:t>
    </w:r>
    <w:r>
      <w:rPr>
        <w:rStyle w:val="PageNumber"/>
      </w:rPr>
      <w:fldChar w:fldCharType="end"/>
    </w:r>
  </w:p>
  <w:p>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21</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IGBT逆变式电焊机项目发展计划</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IGBT逆变式电焊机项目发展计划</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IGBT逆变式电焊机项目发展计划</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IGBT逆变式电焊机项目发展计划</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IGBT逆变式电焊机项目发展计划</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IGBT逆变式电焊机项目发展计划</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IGBT逆变式电焊机项目发展计划</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IGBT逆变式电焊机项目发展计划</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IGBT逆变式电焊机项目发展计划</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IGBT逆变式电焊机项目发展计划</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IGBT逆变式电焊机项目发展计划</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IGBT逆变式电焊机项目发展计划</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IGBT逆变式电焊机项目发展计划</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IGBT逆变式电焊机项目发展计划</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IGBT逆变式电焊机项目发展计划</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IGBT逆变式电焊机项目发展计划</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IGBT逆变式电焊机项目发展计划</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IGBT逆变式电焊机项目发展计划</w:t>
    </w: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IGBT逆变式电焊机项目发展计划</w:t>
    </w: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IGBT逆变式电焊机项目发展计划</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1"/>
  <w:doNotDisplayPageBoundaries/>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7104A8A"/>
    <w:rsid w:val="27104A8A"/>
    <w:rsid w:val="2CCA2C19"/>
    <w:rsid w:val="79F24EA5"/>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eader" Target="header17.xml" /><Relationship Id="rId37" Type="http://schemas.openxmlformats.org/officeDocument/2006/relationships/footer" Target="footer17.xml" /><Relationship Id="rId38" Type="http://schemas.openxmlformats.org/officeDocument/2006/relationships/header" Target="header18.xml" /><Relationship Id="rId39" Type="http://schemas.openxmlformats.org/officeDocument/2006/relationships/footer" Target="footer18.xml" /><Relationship Id="rId4" Type="http://schemas.openxmlformats.org/officeDocument/2006/relationships/header" Target="header1.xml" /><Relationship Id="rId40" Type="http://schemas.openxmlformats.org/officeDocument/2006/relationships/header" Target="header19.xml" /><Relationship Id="rId41" Type="http://schemas.openxmlformats.org/officeDocument/2006/relationships/footer" Target="footer19.xml" /><Relationship Id="rId42" Type="http://schemas.openxmlformats.org/officeDocument/2006/relationships/hyperlink" Target="https://d.book118.com/487046132133006046" TargetMode="External" /><Relationship Id="rId43" Type="http://schemas.openxmlformats.org/officeDocument/2006/relationships/header" Target="header20.xml" /><Relationship Id="rId44" Type="http://schemas.openxmlformats.org/officeDocument/2006/relationships/footer" Target="footer20.xml" /><Relationship Id="rId45" Type="http://schemas.openxmlformats.org/officeDocument/2006/relationships/theme" Target="theme/theme1.xml" /><Relationship Id="rId46"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27</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小丑</dc:creator>
  <cp:lastModifiedBy>小丑</cp:lastModifiedBy>
  <cp:revision>1</cp:revision>
  <dcterms:created xsi:type="dcterms:W3CDTF">2024-02-03T01:07:00Z</dcterms:created>
  <dcterms:modified xsi:type="dcterms:W3CDTF">2024-02-03T01:07:55Z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708A745FC5A04B13A4F6E587328F674B_11</vt:lpwstr>
  </property>
  <property fmtid="{D5CDD505-2E9C-101B-9397-08002B2CF9AE}" pid="3" name="KSOProductBuildVer">
    <vt:lpwstr>2052-12.1.0.16250</vt:lpwstr>
  </property>
</Properties>
</file>