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2018-2023年新疆建设职业技术学院高职单招（数学／语文／英语）历年常考试题库含答案解析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李煜《虞美人（春花秋月何时了）》中“雕栏玉砌应犹在，只是朱颜改”的言外之意是（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“人有悲欢离合，月有阴晴圆缺”这两句诗出自（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A.骚赋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B.骈赋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D.大赋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冰心著名的散文集有（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A.《繁星》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B.《寄小读者》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C.《春水》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“天下为公”“狡兔三窟”两个成语依次出自（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A.《礼记·大同》《冯谖客孟尝君》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B.《季氏将伐颛臾》《李将军列传》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C.《冯谖客孟尝君》《季氏将伐颛失》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A.史论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“豪放派”的代表词人是（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B.李清照、柳永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C.辛弃疾、李清照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李煜的《虞美人（春花秋月何时了）》一词抒写的是（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A.美景依旧，人事已非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B.对故国宫殿衰败的痛惜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C.故国宫苑中美好的时光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D.亡国的伤痛与哀怨忧愁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《八声甘州》(对潇潇暮雨洒江天)所写的内容是（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A.送别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C.仕途坎坷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D.边塞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《虞美人（春花秋月何时了）》一词的作者是（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朱光潜的主要美学论著有（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A.《美的历程》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B.《美学散步》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C.《西方美学史》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D.《七缀集》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屠格涅夫最后一部作品是（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A.《贵族之家》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B.《处女地》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C.《散文诗集》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D.《初恋》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https://d.book118.com/487053122160006044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87053122160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