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>
      <w:pPr>
        <w:spacing w:line="360" w:lineRule="auto"/>
        <w:jc w:val="center"/>
        <w:textAlignment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2022-2023</w:t>
      </w:r>
      <w:r>
        <w:rPr>
          <w:rFonts w:ascii="SimSun" w:eastAsia="SimSun" w:hAnsi="SimSun" w:cs="SimSun"/>
          <w:b/>
          <w:sz w:val="32"/>
        </w:rPr>
        <w:t>学年福建省泉州市晋江市八年级（上）期末地理试卷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一、单选题：本大题共</w:t>
      </w:r>
      <w:r>
        <w:rPr>
          <w:rFonts w:ascii="Times New Roman" w:eastAsia="Times New Roman" w:hAnsi="Times New Roman" w:cs="Times New Roman"/>
          <w:b/>
          <w:sz w:val="21"/>
        </w:rPr>
        <w:t>25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16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bookmarkStart w:id="1" w:name="8a5c54ca-1534-4858-8292-4f4ce3698119"/>
      <w:r>
        <w:rPr>
          <w:rFonts w:ascii="SimSun" w:eastAsia="SimSun" w:hAnsi="SimSun" w:cs="SimSun"/>
          <w:kern w:val="0"/>
          <w:szCs w:val="21"/>
        </w:rPr>
        <w:t>致敬默默守护国土边沿的人。图示为我国部分哨所，读图完成各小题。</w:t>
      </w:r>
      <w:bookmarkEnd w:id="1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4545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4425"/>
          <w:jc w:val="center"/>
        </w:trPr>
        <w:tc>
          <w:tcPr>
            <w:tcW w:w="4545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5824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886075" cy="2809875"/>
                  <wp:effectExtent l="0" t="0" r="0" b="0"/>
                  <wp:wrapTopAndBottom/>
                  <wp:docPr id="1025" name="Image 1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" name="Image 10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075" cy="280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中国幅员辽阔，陆地总面积为（　　）</w:t>
      </w:r>
    </w:p>
    <w:p w:rsidR="00BC4DC9"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960</w:t>
      </w:r>
      <w:r>
        <w:rPr>
          <w:rFonts w:ascii="SimSun" w:eastAsia="SimSun" w:hAnsi="SimSun" w:cs="SimSun"/>
          <w:kern w:val="0"/>
          <w:szCs w:val="21"/>
        </w:rPr>
        <w:t>万平方公里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960</w:t>
      </w:r>
      <w:r>
        <w:rPr>
          <w:rFonts w:ascii="SimSun" w:eastAsia="SimSun" w:hAnsi="SimSun" w:cs="SimSun"/>
          <w:kern w:val="0"/>
          <w:szCs w:val="21"/>
        </w:rPr>
        <w:t>平方公里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300</w:t>
      </w:r>
      <w:r>
        <w:rPr>
          <w:rFonts w:ascii="SimSun" w:eastAsia="SimSun" w:hAnsi="SimSun" w:cs="SimSun"/>
          <w:kern w:val="0"/>
          <w:szCs w:val="21"/>
        </w:rPr>
        <w:t>万平方公里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300</w:t>
      </w:r>
      <w:r>
        <w:rPr>
          <w:rFonts w:ascii="SimSun" w:eastAsia="SimSun" w:hAnsi="SimSun" w:cs="SimSun"/>
          <w:kern w:val="0"/>
          <w:szCs w:val="21"/>
        </w:rPr>
        <w:t>平方公里</w:t>
      </w:r>
    </w:p>
    <w:p w:rsidR="00BC4DC9">
      <w:pPr>
        <w:spacing w:before="0" w:after="0"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与北极哨所相邻的国家是（　　）</w:t>
      </w:r>
    </w:p>
    <w:p w:rsidR="00BC4DC9"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蒙古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俄罗斯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朝鲜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日本</w:t>
      </w:r>
    </w:p>
    <w:p w:rsidR="00BC4DC9">
      <w:pPr>
        <w:spacing w:before="0" w:after="0"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春节期间，气温最高的哨所是（　　）</w:t>
      </w:r>
    </w:p>
    <w:p w:rsidR="00BC4DC9"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北极哨所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斯姆哈纳哨所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华阳礁哨所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乌苏镇哨所</w:t>
      </w:r>
    </w:p>
    <w:p w:rsidR="00BC4DC9">
      <w:pPr>
        <w:spacing w:before="0" w:after="0"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当乌苏镇哨所日出时，斯姆哈纳哨所的士兵正在深夜巡逻，造成这种时间差异的原因是（　　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①地球自转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②经度差异大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③地球公转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④纬度差异大</w:t>
      </w:r>
    </w:p>
    <w:p w:rsidR="00BC4DC9"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①②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①③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②③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②④</w:t>
      </w:r>
    </w:p>
    <w:p w:rsidR="00BC4DC9">
      <w:pPr>
        <w:spacing w:line="360" w:lineRule="auto"/>
        <w:ind w:left="0"/>
        <w:textAlignment w:val="center"/>
        <w:sectPr w:rsidSect="00AC153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bookmarkStart w:id="2" w:name="86f0b662-e9b8-4a4f-badb-133cb8ce2587"/>
      <w:r>
        <w:rPr>
          <w:rFonts w:ascii="SimSun" w:eastAsia="SimSun" w:hAnsi="SimSun" w:cs="SimSun"/>
          <w:kern w:val="0"/>
          <w:szCs w:val="21"/>
        </w:rPr>
        <w:t>“胡焕庸线”是指我国黑河和腾冲的连线，该线是区分我国人口密度的对比线。表格为“胡焕庸线”东西两侧近</w:t>
      </w:r>
      <w:r>
        <w:rPr>
          <w:rFonts w:eastAsia="Times New Roman" w:hAnsi="Times New Roman"/>
          <w:kern w:val="0"/>
          <w:szCs w:val="21"/>
        </w:rPr>
        <w:t>30</w:t>
      </w:r>
      <w:r>
        <w:rPr>
          <w:rFonts w:ascii="SimSun" w:eastAsia="SimSun" w:hAnsi="SimSun" w:cs="SimSun"/>
          <w:kern w:val="0"/>
          <w:szCs w:val="21"/>
        </w:rPr>
        <w:t>年人口占比变化情况，读表完成各小题。</w:t>
      </w:r>
    </w:p>
    <w:tbl>
      <w:tblPr>
        <w:tblStyle w:val="edittable0"/>
        <w:tblInd w:w="20" w:type="dxa"/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2360"/>
        <w:gridCol w:w="2332"/>
        <w:gridCol w:w="2332"/>
      </w:tblGrid>
      <w:tr>
        <w:tblPrEx>
          <w:tblInd w:w="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2320" w:type="dxa"/>
            <w:vMerge w:val="restart"/>
            <w:tcBorders>
              <w:bottom w:val="none" w:sz="0" w:space="0" w:color="auto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年份</w:t>
            </w:r>
          </w:p>
        </w:tc>
        <w:tc>
          <w:tcPr>
            <w:tcW w:w="4615" w:type="dxa"/>
            <w:gridSpan w:val="2"/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人口总数占比</w:t>
            </w:r>
          </w:p>
        </w:tc>
      </w:tr>
      <w:tr>
        <w:tblPrEx>
          <w:tblInd w:w="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vMerge/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</w:pPr>
          </w:p>
        </w:tc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胡焕庸线西部</w:t>
            </w:r>
          </w:p>
        </w:tc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胡焕庸线东部</w:t>
            </w:r>
          </w:p>
        </w:tc>
      </w:tr>
      <w:tr>
        <w:tblPrEx>
          <w:tblInd w:w="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1990</w:t>
            </w:r>
          </w:p>
        </w:tc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6.19%</w:t>
            </w:r>
          </w:p>
        </w:tc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93.81%</w:t>
            </w:r>
          </w:p>
        </w:tc>
      </w:tr>
      <w:tr>
        <w:tblPrEx>
          <w:tblInd w:w="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2000</w:t>
            </w:r>
          </w:p>
        </w:tc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6.40%</w:t>
            </w:r>
          </w:p>
        </w:tc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93.60%</w:t>
            </w:r>
          </w:p>
        </w:tc>
      </w:tr>
      <w:tr>
        <w:tblPrEx>
          <w:tblInd w:w="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2010</w:t>
            </w:r>
          </w:p>
        </w:tc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6.53%</w:t>
            </w:r>
          </w:p>
        </w:tc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93.47%</w:t>
            </w:r>
          </w:p>
        </w:tc>
      </w:tr>
      <w:tr>
        <w:tblPrEx>
          <w:tblInd w:w="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2020</w:t>
            </w:r>
          </w:p>
        </w:tc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6.51%</w:t>
            </w:r>
          </w:p>
        </w:tc>
        <w:tc>
          <w:tcPr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93.49%</w:t>
            </w:r>
          </w:p>
        </w:tc>
      </w:tr>
    </w:tbl>
    <w:p>
      <w:pPr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bookmarkEnd w:id="2"/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</w:p>
    <w:tbl>
      <w:tblPr>
        <w:tblStyle w:val="edittable0"/>
        <w:tblInd w:w="3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2364"/>
        <w:gridCol w:w="2346"/>
        <w:gridCol w:w="2359"/>
      </w:tblGrid>
      <w:tr>
        <w:tblPrEx>
          <w:tblInd w:w="3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2322" w:type="dxa"/>
            <w:vMerge w:val="restart"/>
            <w:tcBorders>
              <w:bottom w:val="none" w:sz="0" w:space="0" w:color="auto"/>
              <w:right w:val="inset" w:sz="4" w:space="0" w:color="000000"/>
            </w:tcBorders>
            <w:noWrap w:val="0"/>
            <w:tcMar>
              <w:top w:w="22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年份</w:t>
            </w:r>
          </w:p>
        </w:tc>
        <w:tc>
          <w:tcPr>
            <w:tcW w:w="4618" w:type="dxa"/>
            <w:gridSpan w:val="2"/>
            <w:tcBorders>
              <w:left w:val="inset" w:sz="4" w:space="0" w:color="000000"/>
              <w:bottom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人口总数占比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vMerge/>
            <w:tcBorders>
              <w:bottom w:val="inset" w:sz="4" w:space="0" w:color="000000"/>
              <w:right w:val="inset" w:sz="4" w:space="0" w:color="000000"/>
            </w:tcBorders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</w:pP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胡焕庸线西部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胡焕庸线东部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1990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6.19%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93.81%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2000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6.40%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93.60%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2010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6.53%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93.47%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2020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6.51%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93.49%</w:t>
            </w:r>
          </w:p>
        </w:tc>
      </w:tr>
    </w:tbl>
    <w:p>
      <w:pPr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近</w:t>
      </w:r>
      <w:r>
        <w:rPr>
          <w:rFonts w:eastAsia="Times New Roman" w:hAnsi="Times New Roman"/>
          <w:kern w:val="0"/>
          <w:szCs w:val="21"/>
        </w:rPr>
        <w:t>30</w:t>
      </w:r>
      <w:r>
        <w:rPr>
          <w:rFonts w:ascii="SimSun" w:eastAsia="SimSun" w:hAnsi="SimSun" w:cs="SimSun"/>
          <w:kern w:val="0"/>
          <w:szCs w:val="21"/>
        </w:rPr>
        <w:t>年来，“胡焕庸线”西部人口特点是（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增长速度加快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占比变化不大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密度持续降低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结构趋于合理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“胡焕庸线”东西两侧人口占比产生差异的根源在于（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人口政策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交通情况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自然环境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历史原因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为缩小“胡焕庸线”东西两侧的人口差异，以下做法可行的是（　　）</w:t>
      </w:r>
    </w:p>
    <w:p>
      <w:pPr>
        <w:tabs>
          <w:tab w:val="left" w:pos="420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鼓励西部地区大量开垦草地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严格限制西部地区人口迁移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扩大对西部地区的能源输入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大力扶持西部地区发展经济</w:t>
      </w:r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bookmarkStart w:id="3" w:name="4a101f13-12c1-4fe0-b115-83024de88c43"/>
      <w:r>
        <w:rPr>
          <w:rFonts w:ascii="SimSun" w:eastAsia="SimSun" w:hAnsi="SimSun" w:cs="SimSun"/>
          <w:kern w:val="0"/>
          <w:szCs w:val="21"/>
        </w:rPr>
        <w:t>新疆某民族传统民居——“阿以旺”式佳宅，分前后两室，前室又称“夏室”，较通透，带天窗；后室称“冬室”，相对封闭，通常不开窗。图示为该民居景观，读图完成各小题。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676650" cy="2486025"/>
            <wp:effectExtent l="0" t="0" r="0" b="0"/>
            <wp:docPr id="1026" name="Image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0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>
      <w:p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该传统民居反映当地的气候特征是（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常年降水较多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大陆性特征显著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常年高温炎热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季风气候显著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推测该民族最可能是（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藏族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维吾尔族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朝鲜族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壮族</w:t>
      </w:r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</w:pPr>
      <w:bookmarkStart w:id="4" w:name="19526832-0ead-4927-9c5b-623d2908ff99"/>
      <w:r>
        <w:rPr>
          <w:rFonts w:ascii="SimSun" w:eastAsia="SimSun" w:hAnsi="SimSun" w:cs="SimSun"/>
          <w:kern w:val="0"/>
          <w:szCs w:val="21"/>
        </w:rPr>
        <w:t>黄河到达济南泺口段，是一条罕见的、水量巨大的地上“悬河”，以前跨黄河需要搭建浮桥，遇上特殊时段需要拆除。</w:t>
      </w:r>
      <w:r>
        <w:rPr>
          <w:rFonts w:eastAsia="Times New Roman" w:hAnsi="Times New Roman"/>
          <w:kern w:val="0"/>
          <w:szCs w:val="21"/>
        </w:rPr>
        <w:t>2021</w:t>
      </w:r>
      <w:r>
        <w:rPr>
          <w:rFonts w:ascii="SimSun" w:eastAsia="SimSun" w:hAnsi="SimSun" w:cs="SimSun"/>
          <w:kern w:val="0"/>
          <w:szCs w:val="21"/>
        </w:rPr>
        <w:t>年</w:t>
      </w: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月，从水下穿越黄河、被誉为“万里黄河第一隧”的济泺路隧道顺利通车。图示为黄河下游河段，读图完成各小题。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867150" cy="2590800"/>
            <wp:effectExtent l="0" t="0" r="0" b="0"/>
            <wp:docPr id="1027" name="Image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 10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</w:p>
    <w:p>
      <w:p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“黄河第一隧”位于（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河北省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河南省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山西省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山东省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黄河下游河段形成“悬河”的根本原因是（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源头过度开发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上游修建水坝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中游水土流失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下游泥沙淤积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浮桥需拆除的特殊时段主要是（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洪峰冰凌期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台风登陆期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梅雨绵绵时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雾霾高发时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与架设浮桥跨河相比，河底隧道的优势在于（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建设难度较小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建设成本较低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受天气影响较小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便于欣赏风景</w:t>
      </w:r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</w:pPr>
      <w:bookmarkStart w:id="5" w:name="8187751a-c4ba-44df-907e-e8137f8af5ff"/>
      <w:r>
        <w:rPr>
          <w:rFonts w:ascii="SimSun" w:eastAsia="SimSun" w:hAnsi="SimSun" w:cs="SimSun"/>
          <w:kern w:val="0"/>
          <w:szCs w:val="21"/>
        </w:rPr>
        <w:t>“东数西算”，指在东西部地区建立国家算力枢纽节点，将东部数据输送到西部进行存储和计算。数据中心是高耗电场所。图示为我国“东数西算”算术枢纽分布，读图完成各小题。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029075" cy="3276600"/>
            <wp:effectExtent l="0" t="0" r="0" b="0"/>
            <wp:docPr id="1028" name="Image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 10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>
      <w:p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长三角算术枢纽主要将数据输送到（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内蒙古枢纽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宁夏枢纽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粤港澳枢纽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甘肃枢纽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西部算术枢纽最大优势是（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人口密度大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劳动力廉价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电力成本低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科技水平高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“东部西算”对我国未来经济发展的影响是（　　）</w:t>
      </w:r>
    </w:p>
    <w:p>
      <w:pPr>
        <w:tabs>
          <w:tab w:val="left" w:pos="420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东部地区产生数据总量逐渐减少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西部地区经济发展超过东部地区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有效推动西部地区相关产业发展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东部地区彻底不用承担数据计算</w:t>
      </w:r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</w:pPr>
      <w:bookmarkStart w:id="6" w:name="5438e0b4-79fc-467a-b78d-30d99342578f"/>
      <w:r>
        <w:rPr>
          <w:rFonts w:ascii="SimSun" w:eastAsia="SimSun" w:hAnsi="SimSun" w:cs="SimSun"/>
          <w:kern w:val="0"/>
          <w:szCs w:val="21"/>
        </w:rPr>
        <w:t>图示为我国某季节气象灾害分布，读图完成各小题。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2905125" cy="2590800"/>
            <wp:effectExtent l="0" t="0" r="0" b="0"/>
            <wp:docPr id="1029" name="Image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 10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6"/>
    </w:p>
    <w:p>
      <w:p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图示气象灾害可推断，是我国的（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春季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夏季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秋季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冬季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东林季风区发生气象干旱的主要自然原因是（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季风不稳定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全年降水少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蒸发量过大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植被覆盖少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西南地区地质灾害频发的原因是（　　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①降水多且集中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②地势起伏大、坡度陡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③森林覆盖率高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④板块内部，地质稳定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①②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①③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②④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③④</w:t>
      </w:r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bookmarkStart w:id="7" w:name="06c4391b-a143-4c40-a0bc-7d0a817a34c9"/>
      <w:r>
        <w:rPr>
          <w:rFonts w:ascii="SimSun" w:eastAsia="SimSun" w:hAnsi="SimSun" w:cs="SimSun"/>
          <w:kern w:val="0"/>
          <w:szCs w:val="21"/>
        </w:rPr>
        <w:t>“海上一阵风吹起，白云涌向陆地，季风带走沙粒，四季，冷眼的交替……”一曲《光亮》在历史的回廊穿梭。图示为季风区与非季风区及西安气候资料，读图完成各小题。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886325" cy="2562225"/>
            <wp:effectExtent l="0" t="0" r="0" b="0"/>
            <wp:docPr id="1030" name="Image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 10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"/>
    </w:p>
    <w:p>
      <w:p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“海上一阵风吹起”，这阵风指（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北冰洋西南季风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印度洋东北季风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太平洋西北季风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太平洋东南季风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“季风带走沙粒”在季风影响下，我国水资源的季节分配（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春夏多，秋冬少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夏秋多，冬春少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春季多，冬季少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夏季多，秋季少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“季风带走沙粒”夏季风影响的地区指（　　）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秦岭——淮河以南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昆仑山—祁连山—横断山以北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大兴安岭—太行山—巫山—雪峰山以东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大兴安岭—阴山—贺兰山—巴颜喀拉山—冈底斯山以东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“四季，冷暖的交替”，这句话体现西安的气候特征是（　　）</w:t>
      </w:r>
    </w:p>
    <w:p>
      <w:pPr>
        <w:tabs>
          <w:tab w:val="left" w:pos="420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气温年较差大，四季分明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气温年较差小，夏季较长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气温年较差大，冬季漫长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气温年较差小，夏季高温</w:t>
      </w:r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42"/>
          <w:headerReference w:type="default" r:id="rId43"/>
          <w:footerReference w:type="even" r:id="rId44"/>
          <w:footerReference w:type="default" r:id="rId45"/>
          <w:headerReference w:type="first" r:id="rId46"/>
          <w:footerReference w:type="first" r:id="rId47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bookmarkStart w:id="8" w:name="30444297-6343-496d-93d5-b2c2713b4d8c"/>
      <w:r>
        <w:rPr>
          <w:rFonts w:eastAsia="Times New Roman" w:hAnsi="Times New Roman"/>
          <w:kern w:val="0"/>
          <w:szCs w:val="21"/>
        </w:rPr>
        <w:t>2022</w:t>
      </w:r>
      <w:r>
        <w:rPr>
          <w:rFonts w:ascii="SimSun" w:eastAsia="SimSun" w:hAnsi="SimSun" w:cs="SimSun"/>
          <w:kern w:val="0"/>
          <w:szCs w:val="21"/>
        </w:rPr>
        <w:t>年</w:t>
      </w: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月，亚洲首个专业货运机场——湖北鄂州花湖机场正式运营，扩展了我国“空中丝绸之路”。图示为花湖机场区域，读图完成各小题。</w:t>
      </w:r>
      <w:bookmarkEnd w:id="8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447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5160"/>
          <w:jc w:val="center"/>
        </w:trPr>
        <w:tc>
          <w:tcPr>
            <w:tcW w:w="4470" w:type="dxa"/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numPr>
                <w:ilvl w:val="0"/>
                <w:numId w:val="0"/>
              </w:numPr>
              <w:spacing w:line="360" w:lineRule="auto"/>
              <w:ind w:left="0"/>
              <w:textAlignment w:val="center"/>
              <w:rPr>
                <w:rFonts w:eastAsia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5926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838450" cy="3276600"/>
                  <wp:effectExtent l="0" t="0" r="0" b="0"/>
                  <wp:wrapTopAndBottom/>
                  <wp:docPr id="1031" name="Image 1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" name="Image 10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327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连接花湖机场和粤港澳大湾区，实现“空高联运”的铁路线是（　　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京沪线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京九线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京广线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焦柳线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25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鄂州花湖机场连接甲区域是我国（　　）</w:t>
      </w:r>
    </w:p>
    <w:p>
      <w:pPr>
        <w:tabs>
          <w:tab w:val="left" w:pos="4200"/>
        </w:tabs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轻工业业基地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重工业基地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最大的综合性工业基地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北方最大的综合性工业基地</w:t>
      </w:r>
    </w:p>
    <w:p>
      <w:pPr>
        <w:numPr>
          <w:ilvl w:val="0"/>
          <w:numId w:val="0"/>
        </w:numPr>
        <w:tabs>
          <w:tab w:val="left" w:pos="4200"/>
        </w:tabs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49"/>
          <w:headerReference w:type="default" r:id="rId50"/>
          <w:footerReference w:type="even" r:id="rId51"/>
          <w:footerReference w:type="default" r:id="rId52"/>
          <w:headerReference w:type="first" r:id="rId53"/>
          <w:footerReference w:type="first" r:id="rId54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rPr>
          <w:rFonts w:ascii="SimHei" w:eastAsia="SimHei" w:hAnsi="SimHei" w:cs="SimHei"/>
          <w:b w:val="0"/>
          <w:sz w:val="21"/>
        </w:rPr>
        <w:t>二、综合题：本大题共</w:t>
      </w:r>
      <w:r>
        <w:rPr>
          <w:rFonts w:ascii="Times New Roman" w:eastAsia="Times New Roman" w:hAnsi="Times New Roman" w:cs="Times New Roman"/>
          <w:b/>
          <w:sz w:val="21"/>
        </w:rPr>
        <w:t>6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50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a687014a-5b5b-4a44-aee7-14d79436739f"/>
      <w:r>
        <w:rPr>
          <w:rFonts w:ascii="SimSun" w:eastAsia="SimSun" w:hAnsi="SimSun" w:cs="SimSun"/>
          <w:kern w:val="0"/>
          <w:szCs w:val="21"/>
        </w:rPr>
        <w:t>我国扶贫攻坚取得全面胜利。图示为中国的地形区及扶贫攻坚主战场，读图完成下列各题。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086225" cy="3457575"/>
            <wp:effectExtent l="0" t="0" r="0" b="0"/>
            <wp:docPr id="1032" name="Image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10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）扶贫地所在的地形类型以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和高原为主。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）扶贫地①所处的山脉是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，其走向是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，其东侧的地形区是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）扶贫地②所在的地形区是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，它的地表形态典型特征是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。这里扶贫首要解决当地的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这一生态环境问题。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）扶贫地③是全国贫困县最多的地区，由于地表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，经济发展受到制约。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）扶贫地④所在的地形区是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。这里扶贫可以优先发展当地的清洁能源有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。</w:t>
      </w:r>
      <w:bookmarkEnd w:id="9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56"/>
          <w:headerReference w:type="default" r:id="rId57"/>
          <w:footerReference w:type="even" r:id="rId58"/>
          <w:footerReference w:type="default" r:id="rId59"/>
          <w:headerReference w:type="first" r:id="rId60"/>
          <w:footerReference w:type="first" r:id="rId61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a78fc424-d92c-46b5-93b6-ca4da8e0c826"/>
      <w:r>
        <w:rPr>
          <w:rFonts w:eastAsia="Times New Roman" w:hAnsi="Times New Roman"/>
          <w:kern w:val="0"/>
          <w:szCs w:val="21"/>
        </w:rPr>
        <w:t>2022</w:t>
      </w:r>
      <w:r>
        <w:rPr>
          <w:rFonts w:ascii="SimSun" w:eastAsia="SimSun" w:hAnsi="SimSun" w:cs="SimSun"/>
          <w:kern w:val="0"/>
          <w:szCs w:val="21"/>
        </w:rPr>
        <w:t>年</w:t>
      </w: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月，被称作“世界技术难度最高”的水电项目的白鹤滩水电站完工。图示为长江流域，读图完成下列各题。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048125" cy="1905000"/>
            <wp:effectExtent l="0" t="0" r="0" b="0"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Image 10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）长江发源于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山脉，最终注入的海洋是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。白鹤滩水电站位于长江的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（上、中、下游）河段。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）该项目技术难度高的原因是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。（列举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个）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）白鹤滩水电站正常年份最大发电量应是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季。原因是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）该项目完工后，可实施“西电东送”，对东部地区带来的有利影响有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。除发电以外，白鹤滩水电站建成后还可以提供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等综合效益。</w:t>
      </w:r>
      <w:bookmarkEnd w:id="10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c8d3e4e0-0924-4955-b2b7-a6a1a0c75546"/>
      <w:r>
        <w:rPr>
          <w:rFonts w:ascii="SimSun" w:eastAsia="SimSun" w:hAnsi="SimSun" w:cs="SimSun"/>
          <w:kern w:val="0"/>
          <w:szCs w:val="21"/>
        </w:rPr>
        <w:t>北京的昌平草莓是中国国家地理标志产品，果肉质地细腻，口感纯正，在周边省区享有盛誉，并远销香港、新加坡等地。图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示意昌平所在位置，图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示意昌平气候资料图，图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示意“云端草莓”生产基地景观，读图完成下列问题。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5133975" cy="2238375"/>
            <wp:effectExtent l="0" t="0" r="0" b="0"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age 10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）昌平的经纬度是（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），属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（气候类型），其雨季集中在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（季节）。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）草莓喜光喜湿喜温凉不耐涝，试分析昌平种植草莓的有利自然条件是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）去年北京市打造了全国首个</w:t>
      </w:r>
      <w:r>
        <w:rPr>
          <w:rFonts w:eastAsia="Times New Roman" w:hAnsi="Times New Roman"/>
          <w:kern w:val="0"/>
          <w:szCs w:val="21"/>
        </w:rPr>
        <w:t>5G</w:t>
      </w:r>
      <w:r>
        <w:rPr>
          <w:rFonts w:ascii="SimSun" w:eastAsia="SimSun" w:hAnsi="SimSun" w:cs="SimSun"/>
          <w:kern w:val="0"/>
          <w:szCs w:val="21"/>
        </w:rPr>
        <w:t>“云端草莓”农业展示基地，相较于传统的地面草莓，将草莓栽种在半空中有利于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）草莓保质期短，北京草莓远销香港和新加坡主要依赖于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eastAsia="Times New Roman" w:hAnsi="Times New Roman"/>
          <w:kern w:val="0"/>
          <w:szCs w:val="21"/>
          <w:u w:val="single"/>
        </w:rPr>
        <w:t>    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（社会经济条件）的发展。</w:t>
      </w:r>
      <w:bookmarkEnd w:id="11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29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从前，书信远，车马慢，如今，钢铁巨龙，速度腾飞，图示为川藏铁路和中老昆万铁路。读图完成下列各题。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</w:p>
    <w:tbl>
      <w:tblPr>
        <w:tblStyle w:val="edittable1"/>
        <w:tblW w:w="4750" w:type="pct"/>
        <w:tblInd w:w="3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2401"/>
        <w:gridCol w:w="3806"/>
        <w:gridCol w:w="3088"/>
      </w:tblGrid>
      <w:tr>
        <w:tblPrEx>
          <w:tblW w:w="4750" w:type="pct"/>
          <w:tblInd w:w="3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2458" w:type="dxa"/>
            <w:tcBorders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铁路</w:t>
            </w:r>
          </w:p>
        </w:tc>
        <w:tc>
          <w:tcPr>
            <w:tcW w:w="3835" w:type="dxa"/>
            <w:tcBorders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川藏铁路</w:t>
            </w:r>
          </w:p>
        </w:tc>
        <w:tc>
          <w:tcPr>
            <w:tcW w:w="3838" w:type="dxa"/>
            <w:tcBorders>
              <w:left w:val="inset" w:sz="4" w:space="0" w:color="000000"/>
              <w:bottom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jc w:val="center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中老昆万铁路</w:t>
            </w:r>
          </w:p>
        </w:tc>
      </w:tr>
      <w:tr>
        <w:tblPrEx>
          <w:tblW w:w="4750" w:type="pct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（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1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）起止点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起：四川省①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  <w:u w:val="single" w:color="000000"/>
              </w:rPr>
              <w:t>      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（行政中心）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br/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止：西藏自治区拉萨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起：②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  <w:u w:val="single" w:color="000000"/>
              </w:rPr>
              <w:t>      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（省级行政区全称）昆明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br/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止：老挝首都③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  <w:u w:val="single" w:color="000000"/>
              </w:rPr>
              <w:t>      </w:t>
            </w:r>
          </w:p>
        </w:tc>
      </w:tr>
      <w:tr>
        <w:tblPrEx>
          <w:tblW w:w="4750" w:type="pct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（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2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）商品贸易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四川省：茶叶—④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  <w:u w:val="single" w:color="000000"/>
              </w:rPr>
              <w:t>      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（农业部门）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br/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西藏自治区：畜种⑤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  <w:u w:val="single" w:color="000000"/>
              </w:rPr>
              <w:t>      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—畜牧业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老挝：⑥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  <w:u w:val="single" w:color="000000"/>
              </w:rPr>
              <w:t>      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（温度带）水果</w:t>
            </w:r>
          </w:p>
        </w:tc>
      </w:tr>
      <w:tr>
        <w:tblPrEx>
          <w:tblW w:w="4750" w:type="pct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（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3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）修建困难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地形方面：经过山脉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A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⑦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  <w:u w:val="single" w:color="000000"/>
              </w:rPr>
              <w:t>      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气候方面：纬度低，气温⑧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  <w:u w:val="single" w:color="000000"/>
              </w:rPr>
              <w:t>      </w:t>
            </w:r>
          </w:p>
        </w:tc>
      </w:tr>
      <w:tr>
        <w:tblPrEx>
          <w:tblW w:w="4750" w:type="pct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（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4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）建成意义</w:t>
            </w:r>
          </w:p>
        </w:tc>
        <w:tc>
          <w:tcPr>
            <w:gridSpan w:val="2"/>
            <w:tcBorders>
              <w:top w:val="inset" w:sz="4" w:space="0" w:color="000000"/>
              <w:lef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⑨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  <w:u w:val="single" w:color="000000"/>
              </w:rPr>
              <w:t>      </w:t>
            </w:r>
          </w:p>
        </w:tc>
      </w:tr>
    </w:tbl>
    <w:p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https://d.book118.com/487101042033006025</w:t>
        </w:r>
      </w:hyperlink>
    </w:p>
    <w:p/>
    <w:sectPr w:rsidSect="00AC1539">
      <w:headerReference w:type="even" r:id="rId65"/>
      <w:headerReference w:type="default" r:id="rId66"/>
      <w:footerReference w:type="even" r:id="rId67"/>
      <w:footerReference w:type="default" r:id="rId68"/>
      <w:headerReference w:type="first" r:id="rId69"/>
      <w:footerReference w:type="first" r:id="rId70"/>
      <w:type w:val="nextPage"/>
      <w:pgSz w:w="11906" w:h="16838"/>
      <w:pgMar w:top="1440" w:right="1083" w:bottom="1440" w:left="1083" w:header="499" w:footer="499" w:gutter="0"/>
      <w:pgNumType w:start="9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yright">
    <w:altName w:val="©科大讯飞股份有限公司. All rights reserved.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2E"/>
    <w:rsid w:val="00151D4A"/>
    <w:rsid w:val="0094729D"/>
    <w:rsid w:val="009D662E"/>
    <w:rsid w:val="00AC1539"/>
    <w:rsid w:val="00BC4DC9"/>
    <w:rsid w:val="00C70944"/>
    <w:rsid w:val="00C841D7"/>
    <w:rsid w:val="041E512C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38A403-C1A0-4C69-B254-28B04718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宋体" w:hAnsi="宋体" w:cs="Times New Roman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Times New Roman" w:eastAsia="宋体" w:hAnsi="宋体" w:cs="Times New Roman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Times New Roman" w:eastAsia="宋体" w:hAnsi="宋体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Times New Roman" w:eastAsia="宋体" w:hAnsi="宋体" w:cs="Times New Roman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宋体" w:cs="Times New Roman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宋体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rPr>
      <w:rFonts w:ascii="Times New Roman" w:eastAsia="宋体" w:hAnsi="宋体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宋体" w:cs="Times New Roman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Times New Roman" w:eastAsia="宋体" w:hAnsi="宋体" w:cs="Times New Roman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Times New Roman" w:eastAsia="宋体" w:hAnsi="宋体" w:cs="Times New Roman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宋体" w:cs="Times New Roman"/>
    </w:rPr>
  </w:style>
  <w:style w:type="character" w:customStyle="1" w:styleId="1">
    <w:name w:val="不明显强调1"/>
    <w:basedOn w:val="DefaultParagraphFont"/>
    <w:uiPriority w:val="19"/>
    <w:qFormat/>
    <w:rPr>
      <w:rFonts w:ascii="Times New Roman" w:eastAsia="宋体" w:hAnsi="宋体" w:cs="Times New Roman"/>
      <w:i/>
      <w:iCs/>
      <w:color w:val="808080" w:themeColor="text1" w:themeTint="7F"/>
    </w:rPr>
  </w:style>
  <w:style w:type="table" w:customStyle="1" w:styleId="edittable">
    <w:name w:val="edittable"/>
    <w:basedOn w:val="TableNormal"/>
    <w:tblPr/>
  </w:style>
  <w:style w:type="table" w:customStyle="1" w:styleId="edittable0">
    <w:name w:val="edittable_0"/>
    <w:basedOn w:val="TableNormal"/>
    <w:tblPr/>
  </w:style>
  <w:style w:type="table" w:customStyle="1" w:styleId="edittable1">
    <w:name w:val="edittable_1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image" Target="media/image2.png" /><Relationship Id="rId2" Type="http://schemas.openxmlformats.org/officeDocument/2006/relationships/webSettings" Target="webSettings.xml" /><Relationship Id="rId20" Type="http://schemas.openxmlformats.org/officeDocument/2006/relationships/image" Target="media/image3.png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footer" Target="footer7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image" Target="media/image4.png" /><Relationship Id="rId28" Type="http://schemas.openxmlformats.org/officeDocument/2006/relationships/header" Target="head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footer" Target="footer11.xml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image" Target="media/image5.png" /><Relationship Id="rId35" Type="http://schemas.openxmlformats.org/officeDocument/2006/relationships/header" Target="header13.xml" /><Relationship Id="rId36" Type="http://schemas.openxmlformats.org/officeDocument/2006/relationships/header" Target="header14.xml" /><Relationship Id="rId37" Type="http://schemas.openxmlformats.org/officeDocument/2006/relationships/footer" Target="footer13.xml" /><Relationship Id="rId38" Type="http://schemas.openxmlformats.org/officeDocument/2006/relationships/footer" Target="footer14.xml" /><Relationship Id="rId39" Type="http://schemas.openxmlformats.org/officeDocument/2006/relationships/header" Target="header15.xml" /><Relationship Id="rId4" Type="http://schemas.openxmlformats.org/officeDocument/2006/relationships/customXml" Target="../customXml/item1.xml" /><Relationship Id="rId40" Type="http://schemas.openxmlformats.org/officeDocument/2006/relationships/footer" Target="footer15.xml" /><Relationship Id="rId41" Type="http://schemas.openxmlformats.org/officeDocument/2006/relationships/image" Target="media/image6.png" /><Relationship Id="rId42" Type="http://schemas.openxmlformats.org/officeDocument/2006/relationships/header" Target="header16.xml" /><Relationship Id="rId43" Type="http://schemas.openxmlformats.org/officeDocument/2006/relationships/header" Target="header17.xml" /><Relationship Id="rId44" Type="http://schemas.openxmlformats.org/officeDocument/2006/relationships/footer" Target="footer16.xml" /><Relationship Id="rId45" Type="http://schemas.openxmlformats.org/officeDocument/2006/relationships/footer" Target="footer17.xml" /><Relationship Id="rId46" Type="http://schemas.openxmlformats.org/officeDocument/2006/relationships/header" Target="header18.xml" /><Relationship Id="rId47" Type="http://schemas.openxmlformats.org/officeDocument/2006/relationships/footer" Target="footer18.xml" /><Relationship Id="rId48" Type="http://schemas.openxmlformats.org/officeDocument/2006/relationships/image" Target="media/image7.png" /><Relationship Id="rId49" Type="http://schemas.openxmlformats.org/officeDocument/2006/relationships/header" Target="header19.xml" /><Relationship Id="rId5" Type="http://schemas.openxmlformats.org/officeDocument/2006/relationships/customXml" Target="../customXml/item2.xml" /><Relationship Id="rId50" Type="http://schemas.openxmlformats.org/officeDocument/2006/relationships/header" Target="header20.xml" /><Relationship Id="rId51" Type="http://schemas.openxmlformats.org/officeDocument/2006/relationships/footer" Target="footer19.xml" /><Relationship Id="rId52" Type="http://schemas.openxmlformats.org/officeDocument/2006/relationships/footer" Target="footer20.xml" /><Relationship Id="rId53" Type="http://schemas.openxmlformats.org/officeDocument/2006/relationships/header" Target="header21.xml" /><Relationship Id="rId54" Type="http://schemas.openxmlformats.org/officeDocument/2006/relationships/footer" Target="footer21.xml" /><Relationship Id="rId55" Type="http://schemas.openxmlformats.org/officeDocument/2006/relationships/image" Target="media/image8.png" /><Relationship Id="rId56" Type="http://schemas.openxmlformats.org/officeDocument/2006/relationships/header" Target="header22.xml" /><Relationship Id="rId57" Type="http://schemas.openxmlformats.org/officeDocument/2006/relationships/header" Target="header23.xml" /><Relationship Id="rId58" Type="http://schemas.openxmlformats.org/officeDocument/2006/relationships/footer" Target="footer22.xml" /><Relationship Id="rId59" Type="http://schemas.openxmlformats.org/officeDocument/2006/relationships/footer" Target="footer23.xml" /><Relationship Id="rId6" Type="http://schemas.openxmlformats.org/officeDocument/2006/relationships/image" Target="media/image1.png" /><Relationship Id="rId60" Type="http://schemas.openxmlformats.org/officeDocument/2006/relationships/header" Target="header24.xml" /><Relationship Id="rId61" Type="http://schemas.openxmlformats.org/officeDocument/2006/relationships/footer" Target="footer24.xml" /><Relationship Id="rId62" Type="http://schemas.openxmlformats.org/officeDocument/2006/relationships/image" Target="media/image9.png" /><Relationship Id="rId63" Type="http://schemas.openxmlformats.org/officeDocument/2006/relationships/image" Target="media/image10.png" /><Relationship Id="rId64" Type="http://schemas.openxmlformats.org/officeDocument/2006/relationships/hyperlink" Target="https://d.book118.com/487101042033006025" TargetMode="External" /><Relationship Id="rId65" Type="http://schemas.openxmlformats.org/officeDocument/2006/relationships/header" Target="header25.xml" /><Relationship Id="rId66" Type="http://schemas.openxmlformats.org/officeDocument/2006/relationships/header" Target="header26.xml" /><Relationship Id="rId67" Type="http://schemas.openxmlformats.org/officeDocument/2006/relationships/footer" Target="footer25.xml" /><Relationship Id="rId68" Type="http://schemas.openxmlformats.org/officeDocument/2006/relationships/footer" Target="footer26.xml" /><Relationship Id="rId69" Type="http://schemas.openxmlformats.org/officeDocument/2006/relationships/header" Target="header27.xml" /><Relationship Id="rId7" Type="http://schemas.openxmlformats.org/officeDocument/2006/relationships/header" Target="header1.xml" /><Relationship Id="rId70" Type="http://schemas.openxmlformats.org/officeDocument/2006/relationships/footer" Target="footer27.xml" /><Relationship Id="rId71" Type="http://schemas.openxmlformats.org/officeDocument/2006/relationships/theme" Target="theme/theme1.xml" /><Relationship Id="rId72" Type="http://schemas.openxmlformats.org/officeDocument/2006/relationships/numbering" Target="numbering.xml" /><Relationship Id="rId73" Type="http://schemas.openxmlformats.org/officeDocument/2006/relationships/styles" Target="styles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8780fc300-563d-40c6-955c-e8c51245a144;8a57c54ca-1534-4858-8292-4f4ce3698119,86f80b662-e9b8-4a4f-badb-133cb8ce2587,4a1701f13-12c1-4fe0-b115-83024de88c43,195026832-0ead-4927-9c5b-623d2908ff99,81877751a-c4ba-44df-907e-e8137f8af5ff,54358e0b4-79fc-467a-b78d-30d99342578f,06c04391b-a143-4c40-a0bc-7d0a817a34c9,304144297-6343-496d-93d5-b2c2713b4d8c,a6867014a-5b5b-4a44-aee7-14d79436739f,a780fc424-d92c-46b5-93b6-ca4da8e0c826,c8d73e4e0-0924-4955-b2b7-a6a1a0c75546,bd43f601e-61f5-4780-82a0-66b0246c5b7f,2286595aa-dbc2-4cd6-af3c-3758c8e6ec10,17c1a1e30-09f0-4681-b3f8-fa2a0647f05f,</dataContent>
</xtzj>
</file>

<file path=customXml/itemProps1.xml><?xml version="1.0" encoding="utf-8"?>
<ds:datastoreItem xmlns:ds="http://schemas.openxmlformats.org/officeDocument/2006/customXml" ds:itemID="{C3673F42-B44E-49C5-B8FF-761403D3A7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7180645-5b5d-415a-b66b-07e886b07a45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10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878fc300-563d-40c6-955c-e8c51245a144</dc:description>
  <cp:lastModifiedBy>王飞</cp:lastModifiedBy>
  <cp:revision>267</cp:revision>
  <dcterms:created xsi:type="dcterms:W3CDTF">2011-01-13T09:46:00Z</dcterms:created>
  <dcterms:modified xsi:type="dcterms:W3CDTF">2023-09-20T07:02:00Z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