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line="667" w:lineRule="exact"/>
        <w:ind w:left="0" w:right="840"/>
        <w:jc w:val="center"/>
      </w:pPr>
      <w:r>
        <w:rPr>
          <w:w w:val="95"/>
        </w:rPr>
        <w:t>成都市中小学试验教学设施建设与治理名目</w:t>
      </w:r>
    </w:p>
    <w:p>
      <w:pPr>
        <w:pStyle w:val="BodyText"/>
        <w:rPr>
          <w:rFonts w:ascii="幼圆"/>
          <w:b/>
          <w:sz w:val="54"/>
        </w:rPr>
      </w:pPr>
    </w:p>
    <w:p>
      <w:pPr>
        <w:pStyle w:val="BodyText"/>
        <w:tabs>
          <w:tab w:val="right" w:leader="dot" w:pos="13193"/>
        </w:tabs>
        <w:spacing w:before="347"/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1、中小学标准教室设备设施布置标准…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2</w:t>
      </w:r>
    </w:p>
    <w:p>
      <w:pPr>
        <w:pStyle w:val="BodyText"/>
        <w:rPr>
          <w:rFonts w:ascii="黑体"/>
          <w:sz w:val="46"/>
        </w:rPr>
      </w:pPr>
    </w:p>
    <w:p>
      <w:pPr>
        <w:pStyle w:val="BodyText"/>
        <w:spacing w:before="6"/>
        <w:rPr>
          <w:rFonts w:ascii="黑体"/>
          <w:sz w:val="52"/>
        </w:rPr>
      </w:pPr>
    </w:p>
    <w:p>
      <w:pPr>
        <w:pStyle w:val="BodyText"/>
        <w:tabs>
          <w:tab w:val="left" w:leader="dot" w:pos="13001"/>
        </w:tabs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2、中小学校试验室建设标准及试验装备标准…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3</w:t>
      </w:r>
    </w:p>
    <w:p>
      <w:pPr>
        <w:pStyle w:val="BodyText"/>
        <w:rPr>
          <w:rFonts w:ascii="黑体"/>
          <w:sz w:val="46"/>
        </w:rPr>
      </w:pPr>
    </w:p>
    <w:p>
      <w:pPr>
        <w:pStyle w:val="BodyText"/>
        <w:spacing w:before="6"/>
        <w:rPr>
          <w:rFonts w:ascii="黑体"/>
          <w:sz w:val="52"/>
        </w:rPr>
      </w:pPr>
    </w:p>
    <w:p>
      <w:pPr>
        <w:pStyle w:val="BodyText"/>
        <w:tabs>
          <w:tab w:val="right" w:leader="dot" w:pos="13193"/>
        </w:tabs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3、中小学图书室建设标准及图书装备标准…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6</w:t>
      </w:r>
    </w:p>
    <w:p>
      <w:pPr>
        <w:pStyle w:val="BodyText"/>
        <w:rPr>
          <w:rFonts w:ascii="黑体"/>
          <w:sz w:val="46"/>
        </w:rPr>
      </w:pPr>
    </w:p>
    <w:p>
      <w:pPr>
        <w:pStyle w:val="BodyText"/>
        <w:spacing w:before="7"/>
        <w:rPr>
          <w:rFonts w:ascii="黑体"/>
          <w:sz w:val="52"/>
        </w:rPr>
      </w:pPr>
    </w:p>
    <w:p>
      <w:pPr>
        <w:pStyle w:val="BodyText"/>
        <w:tabs>
          <w:tab w:val="left" w:leader="dot" w:pos="13037"/>
        </w:tabs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4、中小学音、体、美教室建设及装备标准…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9</w:t>
      </w:r>
    </w:p>
    <w:p>
      <w:pPr>
        <w:pStyle w:val="BodyText"/>
        <w:tabs>
          <w:tab w:val="right" w:leader="dot" w:pos="13458"/>
        </w:tabs>
        <w:spacing w:before="784"/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5、中小学校标准教室治理方法…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12</w:t>
      </w:r>
    </w:p>
    <w:p>
      <w:pPr>
        <w:pStyle w:val="BodyText"/>
        <w:tabs>
          <w:tab w:val="right" w:leader="dot" w:pos="13458"/>
        </w:tabs>
        <w:spacing w:before="783"/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6、中小学校试验室治理细则及相关规章…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13</w:t>
      </w:r>
    </w:p>
    <w:p>
      <w:pPr>
        <w:pStyle w:val="BodyText"/>
        <w:rPr>
          <w:rFonts w:ascii="黑体"/>
          <w:sz w:val="46"/>
        </w:rPr>
      </w:pPr>
    </w:p>
    <w:p>
      <w:pPr>
        <w:pStyle w:val="BodyText"/>
        <w:spacing w:before="6"/>
        <w:rPr>
          <w:rFonts w:ascii="黑体"/>
          <w:sz w:val="52"/>
        </w:rPr>
      </w:pPr>
    </w:p>
    <w:p>
      <w:pPr>
        <w:pStyle w:val="BodyText"/>
        <w:tabs>
          <w:tab w:val="left" w:leader="dot" w:pos="13037"/>
        </w:tabs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7、中小学图书馆〔室〕治理细则及相关规章…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26</w:t>
      </w:r>
    </w:p>
    <w:p>
      <w:pPr>
        <w:pStyle w:val="BodyText"/>
        <w:rPr>
          <w:rFonts w:ascii="黑体"/>
          <w:sz w:val="46"/>
        </w:rPr>
      </w:pPr>
    </w:p>
    <w:p>
      <w:pPr>
        <w:pStyle w:val="BodyText"/>
        <w:spacing w:before="7"/>
        <w:rPr>
          <w:rFonts w:ascii="黑体"/>
          <w:sz w:val="52"/>
        </w:rPr>
      </w:pPr>
    </w:p>
    <w:p>
      <w:pPr>
        <w:pStyle w:val="BodyText"/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8、中小学音乐室、美术室、体育室、卫生室治理细则及相关规章…34</w:t>
      </w:r>
    </w:p>
    <w:p>
      <w:pPr>
        <w:pStyle w:val="BodyText"/>
        <w:rPr>
          <w:rFonts w:ascii="黑体"/>
        </w:rPr>
      </w:pPr>
    </w:p>
    <w:p>
      <w:pPr>
        <w:pStyle w:val="BodyText"/>
        <w:spacing w:before="6"/>
        <w:rPr>
          <w:rFonts w:ascii="黑体"/>
          <w:sz w:val="56"/>
        </w:rPr>
      </w:pPr>
    </w:p>
    <w:p>
      <w:pPr>
        <w:pStyle w:val="BodyText"/>
        <w:tabs>
          <w:tab w:val="right" w:leader="dot" w:pos="13458"/>
        </w:tabs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9、中小学危急化学品安全治理工作的通知及相关规章…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41</w:t>
      </w:r>
    </w:p>
    <w:p>
      <w:pPr>
        <w:pStyle w:val="BodyText"/>
        <w:rPr>
          <w:rFonts w:ascii="黑体"/>
          <w:sz w:val="46"/>
        </w:rPr>
      </w:pPr>
    </w:p>
    <w:p>
      <w:pPr>
        <w:pStyle w:val="BodyText"/>
        <w:spacing w:before="7"/>
        <w:rPr>
          <w:rFonts w:ascii="黑体"/>
          <w:sz w:val="52"/>
        </w:rPr>
      </w:pPr>
    </w:p>
    <w:p>
      <w:pPr>
        <w:pStyle w:val="BodyText"/>
        <w:tabs>
          <w:tab w:val="left" w:leader="dot" w:pos="12824"/>
        </w:tabs>
        <w:ind w:left="644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10、中小学校试验教学评估细则…</w:t>
      </w:r>
      <w:r>
        <w:rPr>
          <w:rFonts w:ascii="Times New Roman" w:eastAsia="Times New Roman" w:hAnsi="Times New Roman"/>
        </w:rPr>
        <w:tab/>
      </w:r>
      <w:r>
        <w:rPr>
          <w:rFonts w:ascii="黑体" w:eastAsia="黑体" w:hAnsi="黑体" w:hint="eastAsia"/>
        </w:rPr>
        <w:t>46</w:t>
      </w:r>
    </w:p>
    <w:p>
      <w:pPr>
        <w:spacing w:after="0"/>
        <w:rPr>
          <w:rFonts w:ascii="黑体" w:eastAsia="黑体" w:hAnsi="黑体" w:hint="eastAsia"/>
        </w:rPr>
        <w:sectPr>
          <w:type w:val="continuous"/>
          <w:pgSz w:w="17860" w:h="25260"/>
          <w:pgMar w:top="1660" w:right="0" w:bottom="280" w:left="1740" w:header="708" w:footer="708"/>
          <w:cols w:space="708"/>
        </w:sectPr>
      </w:pPr>
    </w:p>
    <w:p>
      <w:pPr>
        <w:pStyle w:val="Heading3"/>
        <w:spacing w:before="75"/>
        <w:ind w:left="3293"/>
      </w:pPr>
      <w:r>
        <w:rPr>
          <w:rFonts w:ascii="Arial Narrow" w:eastAsia="Arial Narrow"/>
        </w:rPr>
        <w:t>1</w:t>
      </w:r>
      <w:r>
        <w:t>、中小学标准教室设备设施布置标准</w:t>
      </w:r>
    </w:p>
    <w:p>
      <w:pPr>
        <w:pStyle w:val="BodyText"/>
        <w:spacing w:before="5"/>
        <w:rPr>
          <w:rFonts w:ascii="幼圆"/>
          <w:b/>
          <w:sz w:val="49"/>
        </w:rPr>
      </w:pPr>
    </w:p>
    <w:p>
      <w:pPr>
        <w:pStyle w:val="BodyText"/>
        <w:spacing w:line="223" w:lineRule="auto"/>
        <w:ind w:left="644" w:right="2378" w:firstLine="838"/>
        <w:jc w:val="both"/>
      </w:pPr>
      <w:r>
        <w:t>为了营造符合学生身心安康，便利学校教育教学的良好环境，标准</w:t>
      </w:r>
      <w:r>
        <w:rPr>
          <w:spacing w:val="-18"/>
        </w:rPr>
        <w:t>成都市中小学标准教室设备设施建设，依据《中</w:t>
      </w:r>
      <w:r>
        <w:rPr>
          <w:spacing w:val="-23"/>
          <w:w w:val="100"/>
        </w:rPr>
        <w:t>小学校建筑设计标准》</w:t>
      </w:r>
      <w:r>
        <w:rPr>
          <w:spacing w:val="1"/>
          <w:w w:val="100"/>
        </w:rPr>
        <w:t>〔</w:t>
      </w:r>
      <w:r>
        <w:rPr>
          <w:rFonts w:ascii="Cambria" w:eastAsia="Cambria" w:hAnsi="Cambria"/>
          <w:w w:val="105"/>
        </w:rPr>
        <w:t>GBJ9</w:t>
      </w:r>
      <w:r>
        <w:rPr>
          <w:rFonts w:ascii="Cambria" w:eastAsia="Cambria" w:hAnsi="Cambria"/>
          <w:spacing w:val="-4"/>
          <w:w w:val="105"/>
        </w:rPr>
        <w:t>9</w:t>
      </w:r>
      <w:r>
        <w:rPr>
          <w:spacing w:val="-5"/>
          <w:w w:val="100"/>
        </w:rPr>
        <w:t>—</w:t>
      </w:r>
      <w:r>
        <w:rPr>
          <w:rFonts w:ascii="Cambria" w:eastAsia="Cambria" w:hAnsi="Cambria"/>
          <w:w w:val="90"/>
        </w:rPr>
        <w:t>86</w:t>
      </w:r>
      <w:r>
        <w:rPr>
          <w:spacing w:val="-213"/>
          <w:w w:val="100"/>
        </w:rPr>
        <w:t>〕</w:t>
      </w:r>
      <w:r>
        <w:rPr>
          <w:w w:val="100"/>
        </w:rPr>
        <w:t>，特制定本标准。</w:t>
      </w:r>
    </w:p>
    <w:p>
      <w:pPr>
        <w:pStyle w:val="BodyText"/>
        <w:spacing w:line="735" w:lineRule="exact"/>
        <w:ind w:left="1468"/>
      </w:pPr>
      <w:r>
        <w:t>一、教室内课桌椅的布置应符合以下规定：</w:t>
      </w:r>
    </w:p>
    <w:p>
      <w:pPr>
        <w:pStyle w:val="BodyText"/>
        <w:spacing w:before="68" w:line="223" w:lineRule="auto"/>
        <w:ind w:left="1270" w:right="5356" w:firstLine="212"/>
      </w:pPr>
      <w:r>
        <w:rPr>
          <w:rFonts w:ascii="Cambria" w:eastAsia="Cambria" w:hAnsi="Cambria"/>
          <w:w w:val="95"/>
        </w:rPr>
        <w:t>1</w:t>
      </w:r>
      <w:r>
        <w:rPr>
          <w:w w:val="95"/>
        </w:rPr>
        <w:t>、课桌椅的排距：小学≥</w:t>
      </w:r>
      <w:r>
        <w:rPr>
          <w:rFonts w:ascii="Cambria" w:eastAsia="Cambria" w:hAnsi="Cambria"/>
          <w:w w:val="95"/>
        </w:rPr>
        <w:t>850mm</w:t>
      </w:r>
      <w:r>
        <w:rPr>
          <w:w w:val="95"/>
        </w:rPr>
        <w:t>，中学≥</w:t>
      </w:r>
      <w:r>
        <w:rPr>
          <w:rFonts w:ascii="Cambria" w:eastAsia="Cambria" w:hAnsi="Cambria"/>
          <w:w w:val="95"/>
        </w:rPr>
        <w:t>900mm</w:t>
      </w:r>
      <w:r>
        <w:rPr>
          <w:w w:val="95"/>
        </w:rPr>
        <w:t>；</w:t>
      </w:r>
      <w:r>
        <w:rPr>
          <w:spacing w:val="1"/>
          <w:w w:val="95"/>
        </w:rPr>
        <w:t xml:space="preserve"> </w:t>
      </w:r>
      <w:r>
        <w:t>纵向走道宽度：≥</w:t>
      </w:r>
      <w:r>
        <w:rPr>
          <w:rFonts w:ascii="Cambria" w:eastAsia="Cambria" w:hAnsi="Cambria"/>
        </w:rPr>
        <w:t>550mm</w:t>
      </w:r>
      <w:r>
        <w:t>；</w:t>
      </w:r>
    </w:p>
    <w:p>
      <w:pPr>
        <w:pStyle w:val="BodyText"/>
        <w:spacing w:line="709" w:lineRule="exact"/>
        <w:ind w:left="1270"/>
      </w:pPr>
      <w:r>
        <w:t>课桌端部与墙面〔或突出墙面的内壁柱及设备管道〕的净距离：≥</w:t>
      </w:r>
    </w:p>
    <w:p>
      <w:pPr>
        <w:pStyle w:val="BodyText"/>
        <w:spacing w:line="720" w:lineRule="exact"/>
        <w:ind w:left="644"/>
      </w:pPr>
      <w:r>
        <w:rPr>
          <w:rFonts w:ascii="Cambria" w:eastAsia="Cambria"/>
        </w:rPr>
        <w:t>120mm</w:t>
      </w:r>
      <w:r>
        <w:t>。</w:t>
      </w:r>
    </w:p>
    <w:p>
      <w:pPr>
        <w:pStyle w:val="BodyText"/>
        <w:spacing w:line="720" w:lineRule="exact"/>
        <w:ind w:left="1482"/>
      </w:pPr>
      <w:r>
        <w:rPr>
          <w:rFonts w:ascii="Cambria" w:eastAsia="Cambria" w:hAnsi="Cambria"/>
        </w:rPr>
        <w:t>2</w:t>
      </w:r>
      <w:r>
        <w:t>、前排边座的学生与黑板远端形成的水平视角≥</w:t>
      </w:r>
      <w:r>
        <w:rPr>
          <w:rFonts w:ascii="Cambria" w:eastAsia="Cambria" w:hAnsi="Cambria"/>
        </w:rPr>
        <w:t>30</w:t>
      </w:r>
      <w:r>
        <w:rPr>
          <w:rFonts w:ascii="Cambria" w:eastAsia="Cambria" w:hAnsi="Cambria"/>
          <w:spacing w:val="3"/>
        </w:rPr>
        <w:t xml:space="preserve"> </w:t>
      </w:r>
      <w:r>
        <w:t>。</w:t>
      </w:r>
    </w:p>
    <w:p>
      <w:pPr>
        <w:pStyle w:val="BodyText"/>
        <w:spacing w:before="73" w:line="196" w:lineRule="auto"/>
        <w:ind w:left="644" w:right="2407" w:firstLine="838"/>
      </w:pPr>
      <w:r>
        <w:rPr>
          <w:rFonts w:ascii="Cambria" w:eastAsia="Cambria" w:hAnsi="Cambria"/>
          <w:w w:val="95"/>
        </w:rPr>
        <w:t>3</w:t>
      </w:r>
      <w:r>
        <w:rPr>
          <w:w w:val="95"/>
        </w:rPr>
        <w:t>、教室第一排课桌前沿与黑板的水平距离≥</w:t>
      </w:r>
      <w:r>
        <w:rPr>
          <w:spacing w:val="126"/>
        </w:rPr>
        <w:t xml:space="preserve"> </w:t>
      </w:r>
      <w:r>
        <w:rPr>
          <w:rFonts w:ascii="Cambria" w:eastAsia="Cambria" w:hAnsi="Cambria"/>
          <w:w w:val="95"/>
        </w:rPr>
        <w:t>2023mm</w:t>
      </w:r>
      <w:r>
        <w:rPr>
          <w:w w:val="95"/>
        </w:rPr>
        <w:t>；教室最终一</w:t>
      </w:r>
      <w:r>
        <w:t>排课桌后沿与黑板的水平距离：小学≥</w:t>
      </w:r>
      <w:r>
        <w:rPr>
          <w:rFonts w:ascii="Cambria" w:eastAsia="Cambria" w:hAnsi="Cambria"/>
        </w:rPr>
        <w:t>8000mm</w:t>
      </w:r>
      <w:r>
        <w:t>，中学≥</w:t>
      </w:r>
      <w:r>
        <w:rPr>
          <w:rFonts w:ascii="Cambria" w:eastAsia="Cambria" w:hAnsi="Cambria"/>
        </w:rPr>
        <w:t>8500mm</w:t>
      </w:r>
      <w:r>
        <w:t>。</w:t>
      </w:r>
    </w:p>
    <w:p>
      <w:pPr>
        <w:pStyle w:val="BodyText"/>
        <w:spacing w:before="71" w:line="705" w:lineRule="exact"/>
        <w:ind w:left="1482"/>
      </w:pPr>
      <w:r>
        <w:rPr>
          <w:rFonts w:ascii="Cambria" w:eastAsia="Cambria" w:hAnsi="Cambria"/>
        </w:rPr>
        <w:t>4</w:t>
      </w:r>
      <w:r>
        <w:t>、教室后部应设置≥</w:t>
      </w:r>
      <w:r>
        <w:rPr>
          <w:rFonts w:ascii="Cambria" w:eastAsia="Cambria" w:hAnsi="Cambria"/>
        </w:rPr>
        <w:t>600mm</w:t>
      </w:r>
      <w:r>
        <w:rPr>
          <w:rFonts w:ascii="Cambria" w:eastAsia="Cambria" w:hAnsi="Cambria"/>
          <w:spacing w:val="-21"/>
        </w:rPr>
        <w:t xml:space="preserve"> </w:t>
      </w:r>
      <w:r>
        <w:t>的横向走道。</w:t>
      </w:r>
    </w:p>
    <w:p>
      <w:pPr>
        <w:pStyle w:val="BodyText"/>
        <w:spacing w:line="678" w:lineRule="exact"/>
        <w:ind w:left="1482"/>
      </w:pPr>
      <w:r>
        <w:t>二、教室应设置黑板、讲台、清洁柜、窗帘杆、播送喇叭箱</w:t>
      </w:r>
      <w:r>
        <w:rPr>
          <w:spacing w:val="-95"/>
        </w:rPr>
        <w:t>、“学习</w:t>
      </w:r>
    </w:p>
    <w:p>
      <w:pPr>
        <w:pStyle w:val="BodyText"/>
        <w:spacing w:before="12" w:line="223" w:lineRule="auto"/>
        <w:ind w:left="1482" w:right="4101" w:hanging="839"/>
      </w:pPr>
      <w:r>
        <w:t>园地”栏、雨具存放处。教室的前后墙应设置一组电源插座。三、黑板设计应符合以下规定：</w:t>
      </w:r>
    </w:p>
    <w:p>
      <w:pPr>
        <w:pStyle w:val="BodyText"/>
        <w:spacing w:before="45" w:line="747" w:lineRule="exact"/>
        <w:ind w:left="1482"/>
      </w:pPr>
      <w:r>
        <w:rPr>
          <w:rFonts w:ascii="Cambria" w:eastAsia="Cambria" w:hAnsi="Cambria"/>
          <w:w w:val="95"/>
        </w:rPr>
        <w:t>1</w:t>
      </w:r>
      <w:r>
        <w:rPr>
          <w:spacing w:val="-35"/>
          <w:w w:val="95"/>
        </w:rPr>
        <w:t>、黑板尺寸：高度≥</w:t>
      </w:r>
      <w:r>
        <w:rPr>
          <w:rFonts w:ascii="Cambria" w:eastAsia="Cambria" w:hAnsi="Cambria"/>
          <w:w w:val="95"/>
        </w:rPr>
        <w:t>1000mm</w:t>
      </w:r>
      <w:r>
        <w:rPr>
          <w:spacing w:val="-22"/>
          <w:w w:val="95"/>
        </w:rPr>
        <w:t>，宽度：小学≥</w:t>
      </w:r>
      <w:r>
        <w:rPr>
          <w:rFonts w:ascii="Cambria" w:eastAsia="Cambria" w:hAnsi="Cambria"/>
          <w:w w:val="95"/>
        </w:rPr>
        <w:t>3600mm</w:t>
      </w:r>
      <w:r>
        <w:rPr>
          <w:w w:val="95"/>
        </w:rPr>
        <w:t>，中学≥</w:t>
      </w:r>
      <w:r>
        <w:rPr>
          <w:rFonts w:ascii="Cambria" w:eastAsia="Cambria" w:hAnsi="Cambria"/>
          <w:w w:val="95"/>
        </w:rPr>
        <w:t>4000mm</w:t>
      </w:r>
      <w:r>
        <w:rPr>
          <w:w w:val="95"/>
        </w:rPr>
        <w:t>。</w:t>
      </w:r>
    </w:p>
    <w:p>
      <w:pPr>
        <w:pStyle w:val="BodyText"/>
        <w:tabs>
          <w:tab w:val="left" w:pos="9666"/>
        </w:tabs>
        <w:spacing w:line="720" w:lineRule="exact"/>
        <w:ind w:left="1482"/>
      </w:pPr>
      <w:r>
        <w:rPr>
          <w:rFonts w:ascii="Cambria" w:eastAsia="Cambria"/>
          <w:spacing w:val="12"/>
        </w:rPr>
        <w:t>2</w:t>
      </w:r>
      <w:r>
        <w:t>、黑板下沿与讲台面的垂直距离：小学为</w:t>
        <w:tab/>
      </w:r>
      <w:r>
        <w:rPr>
          <w:rFonts w:ascii="Cambria" w:eastAsia="Cambria"/>
        </w:rPr>
        <w:t>800</w:t>
      </w:r>
      <w:r>
        <w:t>～</w:t>
      </w:r>
      <w:r>
        <w:rPr>
          <w:rFonts w:ascii="Cambria" w:eastAsia="Cambria"/>
        </w:rPr>
        <w:t>900mm</w:t>
      </w:r>
      <w:r>
        <w:t>，中学为</w:t>
      </w:r>
    </w:p>
    <w:p>
      <w:pPr>
        <w:pStyle w:val="BodyText"/>
        <w:spacing w:line="720" w:lineRule="exact"/>
        <w:ind w:left="644"/>
      </w:pPr>
      <w:r>
        <w:rPr>
          <w:rFonts w:ascii="Cambria" w:eastAsia="Cambria"/>
        </w:rPr>
        <w:t>1000</w:t>
      </w:r>
      <w:r>
        <w:t>～</w:t>
      </w:r>
      <w:r>
        <w:rPr>
          <w:rFonts w:ascii="Cambria" w:eastAsia="Cambria"/>
        </w:rPr>
        <w:t>1100mm</w:t>
      </w:r>
      <w:r>
        <w:t>。</w:t>
      </w:r>
    </w:p>
    <w:p>
      <w:pPr>
        <w:pStyle w:val="BodyText"/>
        <w:spacing w:line="678" w:lineRule="exact"/>
        <w:ind w:left="1482"/>
      </w:pPr>
      <w:r>
        <w:rPr>
          <w:rFonts w:ascii="Cambria" w:eastAsia="Cambria"/>
        </w:rPr>
        <w:t>3</w:t>
      </w:r>
      <w:r>
        <w:t>、黑板外表应承受耐磨和无光泽的材料。</w:t>
      </w:r>
    </w:p>
    <w:p>
      <w:pPr>
        <w:pStyle w:val="BodyText"/>
        <w:spacing w:line="678" w:lineRule="exact"/>
        <w:ind w:left="1482"/>
      </w:pPr>
      <w:r>
        <w:rPr>
          <w:spacing w:val="-10"/>
        </w:rPr>
        <w:t>四、讲台两端与黑板边缘的水平距离≥</w:t>
      </w:r>
      <w:r>
        <w:rPr>
          <w:rFonts w:ascii="Cambria" w:eastAsia="Cambria" w:hAnsi="Cambria"/>
          <w:spacing w:val="-2"/>
        </w:rPr>
        <w:t>200mm</w:t>
      </w:r>
      <w:r>
        <w:rPr>
          <w:spacing w:val="-2"/>
        </w:rPr>
        <w:t>，宽度≥</w:t>
      </w:r>
      <w:r>
        <w:rPr>
          <w:rFonts w:ascii="Cambria" w:eastAsia="Cambria" w:hAnsi="Cambria"/>
          <w:spacing w:val="-2"/>
        </w:rPr>
        <w:t>650mm</w:t>
      </w:r>
      <w:r>
        <w:rPr>
          <w:spacing w:val="-2"/>
        </w:rPr>
        <w:t>，高度</w:t>
      </w:r>
    </w:p>
    <w:p>
      <w:pPr>
        <w:pStyle w:val="BodyText"/>
        <w:spacing w:line="720" w:lineRule="exact"/>
        <w:ind w:left="644"/>
      </w:pPr>
      <w:r>
        <w:rPr>
          <w:w w:val="95"/>
        </w:rPr>
        <w:t xml:space="preserve">易为 </w:t>
      </w:r>
      <w:r>
        <w:rPr>
          <w:rFonts w:ascii="Cambria" w:eastAsia="Cambria"/>
          <w:w w:val="95"/>
        </w:rPr>
        <w:t>200mm</w:t>
      </w:r>
      <w:r>
        <w:rPr>
          <w:w w:val="95"/>
        </w:rPr>
        <w:t>。</w:t>
      </w:r>
    </w:p>
    <w:p>
      <w:pPr>
        <w:pStyle w:val="BodyText"/>
        <w:spacing w:before="12" w:line="223" w:lineRule="auto"/>
        <w:ind w:left="644" w:right="2420" w:firstLine="838"/>
      </w:pPr>
      <w:r>
        <w:t>五、课堂演示系统可参照第三局部《中小学现代教育技术治理方法及相关规章》中的要求安装。</w:t>
      </w:r>
    </w:p>
    <w:p>
      <w:pPr>
        <w:spacing w:after="0" w:line="223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https://d.book118.com/488036062007006023</w:t>
        </w:r>
      </w:hyperlink>
    </w:p>
    <w:p>
      <w:pPr>
        <w:spacing w:after="0" w:line="223" w:lineRule="auto"/>
      </w:pPr>
    </w:p>
    <w:sectPr>
      <w:pgSz w:w="17860" w:h="25260"/>
      <w:pgMar w:top="1720" w:right="0" w:bottom="280" w:left="17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Georgia">
    <w:altName w:val="Georgia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19E3"/>
    <w:multiLevelType w:val="hybridMultilevel"/>
    <w:tmpl w:val="00000000"/>
    <w:lvl w:ilvl="0">
      <w:start w:val="1"/>
      <w:numFmt w:val="decimal"/>
      <w:lvlText w:val="%1."/>
      <w:lvlJc w:val="left"/>
      <w:pPr>
        <w:ind w:left="1624" w:hanging="635"/>
        <w:jc w:val="left"/>
      </w:pPr>
      <w:rPr>
        <w:rFonts w:ascii="Arial Narrow" w:eastAsia="Arial Narrow" w:hAnsi="Arial Narrow" w:cs="Arial Narrow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6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9" w:hanging="635"/>
      </w:pPr>
      <w:rPr>
        <w:rFonts w:hint="default"/>
      </w:rPr>
    </w:lvl>
  </w:abstractNum>
  <w:abstractNum w:abstractNumId="1">
    <w:nsid w:val="212FF86F"/>
    <w:multiLevelType w:val="hybridMultilevel"/>
    <w:tmpl w:val="00000000"/>
    <w:lvl w:ilvl="0">
      <w:start w:val="1"/>
      <w:numFmt w:val="decimal"/>
      <w:lvlText w:val="%1."/>
      <w:lvlJc w:val="left"/>
      <w:pPr>
        <w:ind w:left="2094" w:hanging="526"/>
        <w:jc w:val="righ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1">
      <w:start w:val="0"/>
      <w:numFmt w:val="bullet"/>
      <w:lvlText w:val="•"/>
      <w:lvlJc w:val="left"/>
      <w:pPr>
        <w:ind w:left="3501" w:hanging="5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03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5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07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1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13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5" w:hanging="526"/>
      </w:pPr>
      <w:rPr>
        <w:rFonts w:hint="default"/>
      </w:rPr>
    </w:lvl>
  </w:abstractNum>
  <w:abstractNum w:abstractNumId="2">
    <w:nsid w:val="4D9B33A2"/>
    <w:multiLevelType w:val="hybridMultilevel"/>
    <w:tmpl w:val="00000000"/>
    <w:lvl w:ilvl="0">
      <w:start w:val="1"/>
      <w:numFmt w:val="decimal"/>
      <w:lvlText w:val="%1."/>
      <w:lvlJc w:val="left"/>
      <w:pPr>
        <w:ind w:left="1624" w:hanging="635"/>
        <w:jc w:val="left"/>
      </w:pPr>
      <w:rPr>
        <w:rFonts w:ascii="Arial Narrow" w:eastAsia="Arial Narrow" w:hAnsi="Arial Narrow" w:cs="Arial Narrow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6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9" w:hanging="635"/>
      </w:pPr>
      <w:rPr>
        <w:rFonts w:hint="default"/>
      </w:rPr>
    </w:lvl>
  </w:abstractNum>
  <w:abstractNum w:abstractNumId="3">
    <w:nsid w:val="5B655290"/>
    <w:multiLevelType w:val="hybridMultilevel"/>
    <w:tmpl w:val="00000000"/>
    <w:lvl w:ilvl="0">
      <w:start w:val="4"/>
      <w:numFmt w:val="decimal"/>
      <w:lvlText w:val="%1"/>
      <w:lvlJc w:val="left"/>
      <w:pPr>
        <w:ind w:left="356" w:hanging="238"/>
        <w:jc w:val="left"/>
      </w:pPr>
      <w:rPr>
        <w:rFonts w:ascii="Cambria" w:eastAsia="Cambria" w:hAnsi="Cambria" w:cs="Cambria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360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0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0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3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1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5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9" w:hanging="238"/>
      </w:pPr>
      <w:rPr>
        <w:rFonts w:hint="default"/>
      </w:rPr>
    </w:lvl>
  </w:abstractNum>
  <w:abstractNum w:abstractNumId="4">
    <w:nsid w:val="7B6CBA07"/>
    <w:multiLevelType w:val="hybridMultilevel"/>
    <w:tmpl w:val="00000000"/>
    <w:lvl w:ilvl="0">
      <w:start w:val="1"/>
      <w:numFmt w:val="decimal"/>
      <w:lvlText w:val="%1."/>
      <w:lvlJc w:val="left"/>
      <w:pPr>
        <w:ind w:left="644" w:hanging="526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1">
      <w:start w:val="0"/>
      <w:numFmt w:val="bullet"/>
      <w:lvlText w:val="•"/>
      <w:lvlJc w:val="left"/>
      <w:pPr>
        <w:ind w:left="2187" w:hanging="5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5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3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1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7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27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75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23" w:hanging="526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387"/>
      <w:outlineLvl w:val="1"/>
    </w:pPr>
    <w:rPr>
      <w:rFonts w:ascii="幼圆" w:eastAsia="幼圆" w:hAnsi="幼圆" w:cs="幼圆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ind w:left="387"/>
      <w:outlineLvl w:val="2"/>
    </w:pPr>
    <w:rPr>
      <w:rFonts w:ascii="黑体" w:eastAsia="黑体" w:hAnsi="黑体" w:cs="黑体"/>
      <w:sz w:val="54"/>
      <w:szCs w:val="54"/>
    </w:rPr>
  </w:style>
  <w:style w:type="paragraph" w:customStyle="1" w:styleId="Heading3">
    <w:name w:val="Heading 3"/>
    <w:basedOn w:val="Normal"/>
    <w:uiPriority w:val="1"/>
    <w:qFormat/>
    <w:pPr>
      <w:ind w:left="643"/>
      <w:outlineLvl w:val="3"/>
    </w:pPr>
    <w:rPr>
      <w:rFonts w:ascii="幼圆" w:eastAsia="幼圆" w:hAnsi="幼圆" w:cs="幼圆"/>
      <w:b/>
      <w:bCs/>
      <w:sz w:val="48"/>
      <w:szCs w:val="48"/>
    </w:rPr>
  </w:style>
  <w:style w:type="paragraph" w:customStyle="1" w:styleId="Heading4">
    <w:name w:val="Heading 4"/>
    <w:basedOn w:val="Normal"/>
    <w:uiPriority w:val="1"/>
    <w:qFormat/>
    <w:pPr>
      <w:ind w:left="150"/>
      <w:outlineLvl w:val="4"/>
    </w:pPr>
    <w:rPr>
      <w:rFonts w:ascii="黑体" w:eastAsia="黑体" w:hAnsi="黑体" w:cs="黑体"/>
      <w:sz w:val="48"/>
      <w:szCs w:val="48"/>
    </w:rPr>
  </w:style>
  <w:style w:type="paragraph" w:customStyle="1" w:styleId="Heading5">
    <w:name w:val="Heading 5"/>
    <w:basedOn w:val="Normal"/>
    <w:uiPriority w:val="1"/>
    <w:qFormat/>
    <w:pPr>
      <w:outlineLvl w:val="5"/>
    </w:pPr>
    <w:rPr>
      <w:rFonts w:ascii="幼圆" w:eastAsia="幼圆" w:hAnsi="幼圆" w:cs="幼圆"/>
      <w:b/>
      <w:bCs/>
      <w:sz w:val="45"/>
      <w:szCs w:val="45"/>
    </w:rPr>
  </w:style>
  <w:style w:type="paragraph" w:customStyle="1" w:styleId="Heading6">
    <w:name w:val="Heading 6"/>
    <w:basedOn w:val="Normal"/>
    <w:uiPriority w:val="1"/>
    <w:qFormat/>
    <w:pPr>
      <w:ind w:left="150"/>
      <w:outlineLvl w:val="6"/>
    </w:pPr>
    <w:rPr>
      <w:rFonts w:ascii="黑体" w:eastAsia="黑体" w:hAnsi="黑体" w:cs="黑体"/>
      <w:sz w:val="45"/>
      <w:szCs w:val="45"/>
    </w:rPr>
  </w:style>
  <w:style w:type="paragraph" w:customStyle="1" w:styleId="Heading7">
    <w:name w:val="Heading 7"/>
    <w:basedOn w:val="Normal"/>
    <w:uiPriority w:val="1"/>
    <w:qFormat/>
    <w:pPr>
      <w:outlineLvl w:val="7"/>
    </w:pPr>
    <w:rPr>
      <w:rFonts w:ascii="微软雅黑" w:eastAsia="微软雅黑" w:hAnsi="微软雅黑" w:cs="微软雅黑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624" w:firstLine="838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8803606200700602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2023-10-01T14:22:50Z</dcterms:created>
  <dcterms:modified xsi:type="dcterms:W3CDTF">2023-10-01T14:22:50Z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LastSaved">
    <vt:filetime>2023-10-01T00:00:00Z</vt:filetime>
  </property>
</Properties>
</file>