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eastAsia="微软雅黑"/>
          <w:b/>
          <w:bCs w:val="0"/>
          <w:sz w:val="32"/>
          <w:szCs w:val="28"/>
        </w:rPr>
      </w:pPr>
      <w:r>
        <w:rPr>
          <w:rFonts w:ascii="Times New Roman" w:eastAsia="微软雅黑" w:hAnsi="Times New Roman" w:cs="Times New Roman" w:hint="default"/>
          <w:b/>
          <w:bCs w:val="0"/>
          <w:kern w:val="0"/>
          <w:sz w:val="32"/>
          <w:szCs w:val="28"/>
          <w:lang w:val="en-US" w:eastAsia="zh-CN" w:bidi="ar"/>
        </w:rPr>
        <w:t>2022</w:t>
      </w:r>
      <w:r>
        <w:rPr>
          <w:rFonts w:ascii="Times New Roman" w:eastAsia="微软雅黑" w:hAnsi="Times New Roman" w:cs="微软雅黑" w:hint="eastAsia"/>
          <w:b/>
          <w:bCs w:val="0"/>
          <w:kern w:val="0"/>
          <w:sz w:val="32"/>
          <w:szCs w:val="28"/>
          <w:lang w:val="en-US" w:eastAsia="zh-CN" w:bidi="ar"/>
        </w:rPr>
        <w:t>年</w:t>
      </w:r>
      <w:r>
        <w:rPr>
          <w:rFonts w:ascii="Times New Roman" w:eastAsia="微软雅黑" w:hAnsi="Times New Roman" w:cs="Times New Roman" w:hint="default"/>
          <w:b/>
          <w:bCs w:val="0"/>
          <w:kern w:val="0"/>
          <w:sz w:val="32"/>
          <w:szCs w:val="28"/>
          <w:lang w:val="en-US" w:eastAsia="zh-CN" w:bidi="ar"/>
        </w:rPr>
        <w:t>1</w:t>
      </w:r>
      <w:r>
        <w:rPr>
          <w:rFonts w:ascii="Times New Roman" w:eastAsia="微软雅黑" w:hAnsi="Times New Roman" w:cs="微软雅黑" w:hint="eastAsia"/>
          <w:b/>
          <w:bCs w:val="0"/>
          <w:kern w:val="0"/>
          <w:sz w:val="32"/>
          <w:szCs w:val="28"/>
          <w:lang w:val="en-US" w:eastAsia="zh-CN" w:bidi="ar"/>
        </w:rPr>
        <w:t>月浙江省普通高校招生选考科目考试地理试卷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eastAsia="微软雅黑" w:hint="default"/>
          <w:kern w:val="0"/>
          <w:lang w:eastAsia="zh-CN" w:bidi="ar"/>
        </w:rPr>
      </w:pPr>
      <w:r>
        <w:rPr>
          <w:rFonts w:ascii="Times New Roman" w:eastAsia="微软雅黑" w:hAnsi="Times New Roman" w:cs="微软雅黑" w:hint="eastAsia"/>
          <w:kern w:val="0"/>
          <w:sz w:val="24"/>
          <w:szCs w:val="24"/>
          <w:lang w:val="en-US" w:eastAsia="zh-CN" w:bidi="ar"/>
        </w:rPr>
        <w:t>学校：</w:t>
      </w:r>
      <w:r>
        <w:rPr>
          <w:rFonts w:ascii="Times New Roman" w:eastAsia="微软雅黑" w:hAnsi="Times New Roman" w:cs="Times New Roman" w:hint="default"/>
          <w:kern w:val="0"/>
          <w:sz w:val="24"/>
          <w:szCs w:val="24"/>
          <w:lang w:val="en-US" w:eastAsia="zh-CN" w:bidi="ar"/>
        </w:rPr>
        <w:t>___________</w:t>
      </w:r>
      <w:r>
        <w:rPr>
          <w:rFonts w:ascii="Times New Roman" w:eastAsia="微软雅黑" w:hAnsi="Times New Roman" w:cs="微软雅黑" w:hint="eastAsia"/>
          <w:kern w:val="0"/>
          <w:sz w:val="24"/>
          <w:szCs w:val="24"/>
          <w:lang w:val="en-US" w:eastAsia="zh-CN" w:bidi="ar"/>
        </w:rPr>
        <w:t>姓名：</w:t>
      </w:r>
      <w:r>
        <w:rPr>
          <w:rFonts w:ascii="Times New Roman" w:eastAsia="微软雅黑" w:hAnsi="Times New Roman" w:cs="Times New Roman" w:hint="default"/>
          <w:kern w:val="0"/>
          <w:sz w:val="24"/>
          <w:szCs w:val="24"/>
          <w:lang w:val="en-US" w:eastAsia="zh-CN" w:bidi="ar"/>
        </w:rPr>
        <w:t>___________</w:t>
      </w:r>
      <w:r>
        <w:rPr>
          <w:rFonts w:ascii="Times New Roman" w:eastAsia="微软雅黑" w:hAnsi="Times New Roman" w:cs="微软雅黑" w:hint="eastAsia"/>
          <w:kern w:val="0"/>
          <w:sz w:val="24"/>
          <w:szCs w:val="24"/>
          <w:lang w:val="en-US" w:eastAsia="zh-CN" w:bidi="ar"/>
        </w:rPr>
        <w:t>班级：</w:t>
      </w:r>
      <w:r>
        <w:rPr>
          <w:rFonts w:ascii="Times New Roman" w:eastAsia="微软雅黑" w:hAnsi="Times New Roman" w:cs="Times New Roman" w:hint="default"/>
          <w:kern w:val="0"/>
          <w:sz w:val="24"/>
          <w:szCs w:val="24"/>
          <w:lang w:val="en-US" w:eastAsia="zh-CN" w:bidi="ar"/>
        </w:rPr>
        <w:t>___________</w:t>
      </w:r>
      <w:r>
        <w:rPr>
          <w:rFonts w:ascii="Times New Roman" w:eastAsia="微软雅黑" w:hAnsi="Times New Roman" w:cs="微软雅黑" w:hint="eastAsia"/>
          <w:kern w:val="0"/>
          <w:sz w:val="24"/>
          <w:szCs w:val="24"/>
          <w:lang w:val="en-US" w:eastAsia="zh-CN" w:bidi="ar"/>
        </w:rPr>
        <w:t>考号：</w:t>
      </w:r>
      <w:r>
        <w:rPr>
          <w:rFonts w:ascii="Times New Roman" w:eastAsia="微软雅黑" w:hAnsi="Times New Roman" w:cs="Times New Roman" w:hint="default"/>
          <w:kern w:val="0"/>
          <w:sz w:val="24"/>
          <w:szCs w:val="24"/>
          <w:lang w:val="en-US" w:eastAsia="zh-CN" w:bidi="ar"/>
        </w:rPr>
        <w:t>___________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eastAsia="微软雅黑" w:hint="default"/>
          <w:kern w:val="0"/>
          <w:sz w:val="22"/>
          <w:szCs w:val="22"/>
          <w:lang w:eastAsia="zh-CN" w:bidi="ar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eastAsia="微软雅黑"/>
          <w:b/>
          <w:bCs w:val="0"/>
        </w:rPr>
      </w:pPr>
      <w:r>
        <w:rPr>
          <w:rFonts w:ascii="Times New Roman" w:eastAsia="微软雅黑" w:hAnsi="Times New Roman" w:cs="Times New Roman" w:hint="default"/>
          <w:kern w:val="0"/>
          <w:sz w:val="24"/>
          <w:szCs w:val="24"/>
          <w:lang w:val="en-US" w:eastAsia="zh-CN" w:bidi="ar"/>
        </w:rPr>
        <w:br/>
      </w:r>
      <w:r>
        <w:rPr>
          <w:rFonts w:ascii="Times New Roman" w:eastAsia="微软雅黑" w:hAnsi="Times New Roman" w:cs="微软雅黑" w:hint="eastAsia"/>
          <w:b/>
          <w:bCs w:val="0"/>
          <w:kern w:val="0"/>
          <w:sz w:val="24"/>
          <w:szCs w:val="24"/>
          <w:lang w:val="en-US" w:eastAsia="zh-CN" w:bidi="ar"/>
        </w:rPr>
        <w:t>一、单选题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1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．农业生产中地膜覆盖对土壤理化性状的主要作用是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(   )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①保持土壤温度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②减少水肥流失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③增加土壤厚度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④改善土壤质地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aps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①②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③④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下表为我国某研究机构发布的农田、湿地、森林、草原四种生态系统的单位面积生态服务价值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数值越大表示生态服务价值越高。完成下面小题。</w:t>
      </w:r>
    </w:p>
    <w:tbl>
      <w:tblPr>
        <w:tblStyle w:val="TableNormal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992"/>
        <w:gridCol w:w="993"/>
        <w:gridCol w:w="992"/>
        <w:gridCol w:w="992"/>
      </w:tblGrid>
      <w:tr>
        <w:tblPrEx>
          <w:tblW w:w="0" w:type="auto"/>
          <w:tblInd w:w="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drawing>
                <wp:inline distT="0" distB="0" distL="114300" distR="114300">
                  <wp:extent cx="1181100" cy="695325"/>
                  <wp:effectExtent l="0" t="0" r="0" b="9525"/>
                  <wp:docPr id="2" name="_x0000_i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_x0000_i102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8"/>
                <w:shd w:val="clear" w:color="auto" w:fill="FFFFFF"/>
                <w:lang w:val="zh-CN" w:eastAsia="zh-CN" w:bidi="ar"/>
              </w:rPr>
              <w:t>③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④</w:t>
            </w:r>
          </w:p>
        </w:tc>
      </w:tr>
      <w:tr>
        <w:tblPrEx>
          <w:tblW w:w="0" w:type="auto"/>
          <w:tblInd w:w="5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zh-CN" w:eastAsia="zh-CN" w:bidi="ar"/>
              </w:rPr>
              <w:t>调节气候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2.7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0.9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0.9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17.1</w:t>
            </w:r>
          </w:p>
        </w:tc>
      </w:tr>
      <w:tr>
        <w:tblPrEx>
          <w:tblW w:w="0" w:type="auto"/>
          <w:tblInd w:w="5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zh-CN" w:eastAsia="zh-CN" w:bidi="ar"/>
              </w:rPr>
              <w:t>涵养水源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3.2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0.8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0.6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15.5</w:t>
            </w:r>
          </w:p>
        </w:tc>
      </w:tr>
      <w:tr>
        <w:tblPrEx>
          <w:tblW w:w="0" w:type="auto"/>
          <w:tblInd w:w="5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zh-CN" w:eastAsia="zh-CN" w:bidi="ar"/>
              </w:rPr>
              <w:t>净化水中污染物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1.3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18.2</w:t>
            </w:r>
          </w:p>
        </w:tc>
      </w:tr>
      <w:tr>
        <w:tblPrEx>
          <w:tblW w:w="0" w:type="auto"/>
          <w:tblInd w:w="5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楷体" w:hint="eastAsia"/>
                <w:kern w:val="2"/>
                <w:sz w:val="24"/>
                <w:szCs w:val="22"/>
                <w:shd w:val="clear" w:color="auto" w:fill="FFFFFF"/>
                <w:lang w:val="zh-CN" w:eastAsia="zh-CN" w:bidi="ar"/>
              </w:rPr>
              <w:t>保护生物多样性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3.3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1.1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0.7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2075"/>
                <w:tab w:val="left" w:pos="4156"/>
                <w:tab w:val="left" w:pos="6231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eastAsia="楷体" w:hint="default"/>
                <w:kern w:val="2"/>
                <w:szCs w:val="22"/>
                <w:shd w:val="clear" w:color="auto" w:fill="FFFFFF"/>
                <w:lang w:eastAsia="zh-CN"/>
              </w:rPr>
            </w:pPr>
            <w:r>
              <w:rPr>
                <w:rFonts w:ascii="Times New Roman" w:eastAsia="楷体" w:hAnsi="Times New Roman" w:cs="Times New Roman" w:hint="default"/>
                <w:kern w:val="2"/>
                <w:sz w:val="24"/>
                <w:szCs w:val="22"/>
                <w:shd w:val="clear" w:color="auto" w:fill="FFFFFF"/>
                <w:lang w:val="en-US" w:eastAsia="zh-CN" w:bidi="ar"/>
              </w:rPr>
              <w:t>2.5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表中①至④依次是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农田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湿地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森林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草原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森林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农田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湿地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草原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森林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草原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农田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湿地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草原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湿地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森林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农田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3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湿地开发利用中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生态服务价值下降最明显的是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休闲垂钓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滩涂观光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移植红树林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水稻田养蟹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  <w:sectPr>
          <w:pgSz w:w="11906" w:h="16838"/>
          <w:pgMar w:top="1440" w:right="1440" w:bottom="1440" w:left="1440" w:header="720" w:footer="720" w:gutter="0"/>
          <w:cols w:num="1" w:space="72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．以下地貌景观主要由风化作用形成的是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(   )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600575" cy="952500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①③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近年来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随着大豆种植面积迅速扩大及生物技术的运用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巴西已成为世界最大的大豆生产国和出口国。完成下面小题。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5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巴西成为世界最大的大豆出口国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其主要原因为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海运价格下降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国际市场需求大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土地资源丰富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劳动力数量增加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6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巴西大豆主产区的农业生产属于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混合型农业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商品性农业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有机农业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热带种植园农业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下图为北美洲局部地区略图。完成下面小题。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2657475" cy="3009900"/>
            <wp:effectExtent l="0" t="0" r="9525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7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与旧金山比，洛杉矶水资源较少的主要原因是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气温较高，蒸发量大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山脉阻挡，降水量小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洋流影响，降温减湿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河流短少，径流量小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8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从区域外调水对洛杉矶的影响有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减少城市水分蒸发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减轻城市地质灾害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提高水资源利用率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增加城市内涝风险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高铁对城市的空间结构、产业升级和居民出行影响显著。高铁新城产业发展方向与其依托城市密切相关。下图为某高铁新城空间结构示意图。据此完成下面小题。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1962150" cy="1895475"/>
            <wp:effectExtent l="0" t="0" r="0" b="9525"/>
            <wp:docPr id="4" name="_x0000_i1026" descr="20220817091142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26" descr="202208170911422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9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该高铁新城空间结构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布局合理的是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Ⅰ主要功能为科研、行政等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Ⅱ主要功能为商贸、商务办公等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Ⅱ建筑密度和建筑高度均大于Ⅰ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Ⅲ主要功能为居住、文化、教育等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10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高铁新城发展方向与其依托城市相匹配的是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零售等生活型服务业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——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旅游城市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金融等现代服务业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——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传统工业城市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物流等生产型服务业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——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转型升级城市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高新技术创新型服务业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——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都市圈核心城市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楷体"/>
          <w:color w:val="000000"/>
          <w:kern w:val="2"/>
          <w:szCs w:val="22"/>
          <w:lang w:eastAsia="zh-CN"/>
        </w:rPr>
      </w:pP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lang w:val="en-US" w:eastAsia="zh-CN" w:bidi="ar"/>
        </w:rPr>
        <w:t>下图为北美洲局部地区陆地自然带分布图。据此回答下面小题。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810000" cy="19240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11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．图中①②自然带分别是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温带荒漠带、亚寒带针叶林带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温带草原带、温带落叶阔叶林带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亚寒带针叶林带、温带落叶阔叶林带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温带草原带、亚热带常绿阔叶林带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12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．图中②③④自然带分布体现了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纬度地带分异规律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垂直分异规律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干湿度地带分异规律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lang w:val="en-US" w:eastAsia="zh-CN" w:bidi="ar"/>
        </w:rPr>
        <w:t>地方性分异规律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下图为某区域某月等压线图。完成下面小题。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3343275" cy="1857375"/>
            <wp:effectExtent l="0" t="0" r="9525" b="9525"/>
            <wp:docPr id="6" name="_x0000_i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13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图中①②海区该月洋流流向分别为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西北向东南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西北向东南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东南向西北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东南向西北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西北向东南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东南向西北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东南向西北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 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西北向东南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14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图示季节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田纳西河正处于主汛期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南非大草原上郁郁葱葱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天山积雪下限海拔较高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华北平原播种小麦正忙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ascii="楷体" w:eastAsia="楷体" w:hAnsi="楷体" w:cs="楷体" w:hint="eastAsia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楷体" w:eastAsia="楷体" w:hAnsi="楷体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下图为某地近地面等压线图,图中箭头表示甲地风向及受力情况。完成下面小题。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1828800" cy="1695450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15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．表示摩擦力的箭头是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A.a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B.b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C.c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D.d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16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．乙天气系统的气流运动方向是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①顺时针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②逆时针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③上升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④下沉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①③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②④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下图为某区域地质构造平面图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图中主体构造为向斜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地形以山地为主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经外力长期侵蚀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地形起伏不大。沉积岩颗粒物粗细与沉积环境中的水深有关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水越深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颗粒物越细。完成下面小题。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3943350" cy="1628775"/>
            <wp:effectExtent l="0" t="0" r="0" b="9525"/>
            <wp:docPr id="10" name="_x0000_i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17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若甲地附近发育有小河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其最可能流向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西北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东南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18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关于地层新老与沉积环境的叙述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正确的是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比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老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be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期间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海岸线向海洋后退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比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新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④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be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期间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海岸线向陆地前进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摄影爱好者在南半球某地朝西北固定方向拍摄太阳照片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拍摄时间为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K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日及其前、后第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8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天的同一时刻。图左为合成后的照片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图右为地球公转轨道示意图。完成下面小题。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3762375" cy="1257300"/>
            <wp:effectExtent l="0" t="0" r="9525" b="0"/>
            <wp:docPr id="9" name="_x0000_i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19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K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日地球位置位于图右中的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20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拍摄时间为北京时间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5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点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全球处于不同日期的范围之比约为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A.1:1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B.1:5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C.2:5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D.3:5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ascii="楷体" w:eastAsia="楷体" w:hAnsi="楷体" w:cs="楷体" w:hint="eastAsia"/>
          <w:color w:val="000000"/>
          <w:kern w:val="2"/>
          <w:szCs w:val="21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num="1" w:space="720"/>
          <w:titlePg w:val="0"/>
          <w:docGrid w:linePitch="360" w:charSpace="0"/>
        </w:sectPr>
      </w:pP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ascii="楷体" w:eastAsia="楷体" w:hAnsi="楷体" w:cs="楷体" w:hint="eastAsia"/>
          <w:color w:val="000000"/>
          <w:kern w:val="2"/>
          <w:szCs w:val="21"/>
          <w:shd w:val="clear" w:color="auto" w:fill="FFFFFF"/>
          <w:lang w:eastAsia="zh-CN"/>
        </w:rPr>
      </w:pPr>
      <w:r>
        <w:rPr>
          <w:rFonts w:ascii="楷体" w:eastAsia="楷体" w:hAnsi="楷体" w:cs="楷体" w:hint="eastAsia"/>
          <w:color w:val="000000"/>
          <w:kern w:val="2"/>
          <w:sz w:val="24"/>
          <w:szCs w:val="21"/>
          <w:shd w:val="clear" w:color="auto" w:fill="FFFFFF"/>
          <w:lang w:val="en-US" w:eastAsia="zh-CN" w:bidi="ar"/>
        </w:rPr>
        <w:t>根据第七次全国人口普查，2020年全国劳动年龄人口8.8亿，比2010年减少4000多万人；每10万人中拥有大学文化程度的人数由2010年的8930人上升为15467人；长三角、珠三角等主要城市群人口迅速增长。完成下面小题。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1"/>
          <w:shd w:val="clear" w:color="auto" w:fill="FFFFFF"/>
          <w:lang w:val="en-US" w:eastAsia="zh-CN" w:bidi="ar"/>
        </w:rPr>
        <w:t>21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1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劳动年龄人口和拥有大学文化程度人数的变化，其影响是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劳动力的优势削弱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机器换人速度趋于减缓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产业升级需要加快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出口商品成本优势上升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1"/>
          <w:shd w:val="clear" w:color="auto" w:fill="FFFFFF"/>
          <w:lang w:val="en-US" w:eastAsia="zh-CN" w:bidi="ar"/>
        </w:rPr>
        <w:t>22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1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关于城市群人口迅速增长的叙述，正确的是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提高城市群人口老龄化水平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缩小地区之间发展差距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1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高新技术产业向城市群集聚</w:t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1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1"/>
          <w:shd w:val="clear" w:color="auto" w:fill="FFFFFF"/>
          <w:lang w:val="en-US" w:eastAsia="zh-CN" w:bidi="ar"/>
        </w:rPr>
        <w:t>迁出地城市化水平下降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23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．下图为遥感平台及传感器信息采集示意图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说法正确的是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(   )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86100" cy="1981200"/>
            <wp:effectExtent l="0" t="0" r="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①甲和乙都属航空遥感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②甲为被动式遥感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可全天候监测地表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③甲和乙都可重复监测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④乙为主动式遥感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可全天时监测地表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①②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①③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②④</w:t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color w:val="000000"/>
          <w:kern w:val="0"/>
          <w:sz w:val="24"/>
          <w:szCs w:val="24"/>
          <w:lang w:val="en-US" w:eastAsia="zh-CN" w:bidi="ar"/>
        </w:rPr>
        <w:t>③④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大气散射辐射的强弱和太阳高度、大气透明度有关。下图为我国某城市大气散射辐射日变化图。完成下面小题。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2924175" cy="1752600"/>
            <wp:effectExtent l="0" t="0" r="9525" b="0"/>
            <wp:docPr id="12" name="_x0000_i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24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有关该城市大气散射辐射强弱的叙述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正确的是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①夏季大于冬季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②郊区大于城区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③冬季大于夏季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④城区大于郊区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③④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25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下列现象与大气散射作用密切相关的是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   )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①晴天天空多呈蔚蓝色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②朝霞和晚霞往往呈红色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③深秋晴天夜里多霜冻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④雪后天晴阳光特别耀眼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A.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B.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①④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C.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②③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ab/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D.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③④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eastAsia="微软雅黑"/>
          <w:b/>
          <w:bCs w:val="0"/>
        </w:rPr>
      </w:pPr>
      <w:r>
        <w:rPr>
          <w:rFonts w:ascii="Times New Roman" w:eastAsia="微软雅黑" w:hAnsi="Times New Roman" w:cs="微软雅黑" w:hint="eastAsia"/>
          <w:b/>
          <w:bCs w:val="0"/>
          <w:kern w:val="0"/>
          <w:sz w:val="24"/>
          <w:szCs w:val="24"/>
          <w:lang w:val="en-US" w:eastAsia="zh-CN" w:bidi="ar"/>
        </w:rPr>
        <w:t>二、材料分析题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26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．阅读材料，完成下列问题。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b/>
          <w:bCs w:val="0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材料一：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下图为我国跨流域调水某水源区示意图。该区域水源涵养能力突出，水质优良，承担着向京津冀（南水北调中线工程）和陕西渭河平原（引汉济渭工程）的调水任务。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4048125" cy="1981200"/>
            <wp:effectExtent l="0" t="0" r="9525" b="0"/>
            <wp:docPr id="16" name="图片 12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www.zqy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b/>
          <w:bCs w:val="0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材料二：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丹江口水库大坝加高后产生大量移民，部分移民后靠安置（安置到附近海拔更高区域）。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该水源区水质优良的主要原因有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、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、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春季甲地区农业灌溉用水与引汉济渭调水的矛盾突出，简析其原因。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both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3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影响后靠安置移民村规模的主要因素是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，并指出移民村可扶持发展的产业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27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阅读材料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完成下列问题。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ascii="Times New Roman" w:eastAsia="楷体" w:hAnsi="Times New Roman" w:cs="楷体" w:hint="eastAsia"/>
          <w:b/>
          <w:bCs w:val="0"/>
          <w:kern w:val="2"/>
          <w:sz w:val="24"/>
          <w:szCs w:val="22"/>
          <w:shd w:val="clear" w:color="auto" w:fill="FFFFFF"/>
          <w:lang w:val="en-US" w:eastAsia="zh-CN" w:bidi="ar"/>
        </w:rPr>
        <w:t>材料一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 xml:space="preserve"> 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下图为我国局部地区略图。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3733800" cy="2533650"/>
            <wp:effectExtent l="0" t="0" r="0" b="0"/>
            <wp:docPr id="13" name="_x0000_i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b/>
          <w:bCs w:val="0"/>
          <w:kern w:val="2"/>
          <w:sz w:val="24"/>
          <w:szCs w:val="22"/>
          <w:shd w:val="clear" w:color="auto" w:fill="FFFFFF"/>
          <w:lang w:val="en-US" w:eastAsia="zh-CN" w:bidi="ar"/>
        </w:rPr>
        <w:t>材料二</w:t>
      </w:r>
      <w:r>
        <w:rPr>
          <w:rFonts w:ascii="Times New Roman" w:eastAsia="楷体" w:hAnsi="Times New Roman" w:cs="Times New Roman" w:hint="default"/>
          <w:b/>
          <w:bCs w:val="0"/>
          <w:kern w:val="2"/>
          <w:sz w:val="24"/>
          <w:szCs w:val="22"/>
          <w:shd w:val="clear" w:color="auto" w:fill="FFFFFF"/>
          <w:lang w:val="en-US" w:eastAsia="zh-CN" w:bidi="ar"/>
        </w:rPr>
        <w:t xml:space="preserve"> 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图中甲地位于我国农牧交错带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其畜牧业以圈舍饲养方式为主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冬春季节雪灾频发。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甲地冬季主导风向为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____________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风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乙、丙两地降雪日数较多的地区是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____________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地。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分析甲地雪灾频发的主要自然原因。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3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评价冬春季节暴雪对当地畜牧业生产的影响。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28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阅读材料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完成下列问题。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kern w:val="2"/>
          <w:szCs w:val="22"/>
          <w:shd w:val="clear" w:color="auto" w:fill="FFFFFF"/>
          <w:lang w:eastAsia="zh-CN"/>
        </w:r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ascii="Times New Roman" w:eastAsia="楷体" w:hAnsi="Times New Roman" w:cs="楷体" w:hint="eastAsia"/>
          <w:b/>
          <w:bCs/>
          <w:kern w:val="2"/>
          <w:sz w:val="24"/>
          <w:szCs w:val="22"/>
          <w:shd w:val="clear" w:color="auto" w:fill="FFFFFF"/>
          <w:lang w:val="en-US" w:eastAsia="zh-CN" w:bidi="ar"/>
        </w:rPr>
        <w:t>材料一</w:t>
      </w:r>
      <w:r>
        <w:rPr>
          <w:rFonts w:ascii="Times New Roman" w:eastAsia="楷体" w:hAnsi="Times New Roman" w:cs="Times New Roman" w:hint="default"/>
          <w:b/>
          <w:bCs/>
          <w:kern w:val="2"/>
          <w:sz w:val="24"/>
          <w:szCs w:val="22"/>
          <w:shd w:val="clear" w:color="auto" w:fill="FFFFFF"/>
          <w:lang w:val="en-US" w:eastAsia="zh-CN" w:bidi="ar"/>
        </w:rPr>
        <w:t>: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为应对全球变暖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一些国家和地区将对进口工业品征收碳关税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(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对生产过程中的碳排放征收相应的关税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)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。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2019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年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韩国非化石能源生产量占比为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31.1%,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能源发展重点为风能、太阳能等。下图为朝鲜半岛部分地区略图。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kern w:val="0"/>
          <w:sz w:val="24"/>
          <w:szCs w:val="24"/>
          <w:shd w:val="clear" w:color="auto" w:fill="FFFFFF"/>
          <w:lang w:val="en-US" w:eastAsia="zh-CN" w:bidi="ar"/>
        </w:rPr>
        <w:drawing>
          <wp:inline distT="0" distB="0" distL="114300" distR="114300">
            <wp:extent cx="4448175" cy="3600450"/>
            <wp:effectExtent l="0" t="0" r="9525" b="0"/>
            <wp:docPr id="14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1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0" w:firstLineChars="200"/>
        <w:jc w:val="left"/>
        <w:rPr>
          <w:rFonts w:eastAsia="楷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b/>
          <w:bCs/>
          <w:kern w:val="2"/>
          <w:sz w:val="24"/>
          <w:szCs w:val="22"/>
          <w:shd w:val="clear" w:color="auto" w:fill="FFFFFF"/>
          <w:lang w:val="en-US" w:eastAsia="zh-CN" w:bidi="ar"/>
        </w:rPr>
        <w:t>材料二</w:t>
      </w:r>
      <w:r>
        <w:rPr>
          <w:rFonts w:ascii="Times New Roman" w:eastAsia="楷体" w:hAnsi="Times New Roman" w:cs="Times New Roman" w:hint="default"/>
          <w:b/>
          <w:bCs/>
          <w:kern w:val="2"/>
          <w:sz w:val="24"/>
          <w:szCs w:val="22"/>
          <w:shd w:val="clear" w:color="auto" w:fill="FFFFFF"/>
          <w:lang w:val="en-US" w:eastAsia="zh-CN" w:bidi="ar"/>
        </w:rPr>
        <w:t>: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韩国为出口导向型国家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工业在国民经济中占重要地位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主要工业部门为电子、汽车、钢铁、石化、造船等。蔚山主要工业部门为石化、冶金、造船等</w:t>
      </w:r>
      <w:r>
        <w:rPr>
          <w:rFonts w:ascii="Times New Roman" w:eastAsia="楷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kern w:val="2"/>
          <w:sz w:val="24"/>
          <w:szCs w:val="22"/>
          <w:shd w:val="clear" w:color="auto" w:fill="FFFFFF"/>
          <w:lang w:val="en-US" w:eastAsia="zh-CN" w:bidi="ar"/>
        </w:rPr>
        <w:t>大邱主要工业部门为化纤纺织、汽车等。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both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1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简述韩国没有建设大型水电站的自然原因。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both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韩国企业界预计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征收碳关税将对工业品出口产生较大影响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分析其原因。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both"/>
        <w:rPr>
          <w:rFonts w:eastAsia="宋体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（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3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）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从产业链的角度</w:t>
      </w:r>
      <w:r>
        <w:rPr>
          <w:rFonts w:ascii="Times New Roman" w:eastAsia="宋体" w:hAnsi="Times New Roman" w:cs="Times New Roman" w:hint="default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kern w:val="2"/>
          <w:sz w:val="24"/>
          <w:szCs w:val="22"/>
          <w:shd w:val="clear" w:color="auto" w:fill="FFFFFF"/>
          <w:lang w:val="en-US" w:eastAsia="zh-CN" w:bidi="ar"/>
        </w:rPr>
        <w:t>分析蔚山与大邱的工业布局优势。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/>
        <w:jc w:val="left"/>
        <w:rPr>
          <w:rFonts w:eastAsia="宋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29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．阅读材料</w:t>
      </w:r>
      <w:r>
        <w:rPr>
          <w:rFonts w:ascii="Times New Roman" w:eastAsia="宋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宋体" w:hAnsi="Times New Roman" w:cs="宋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完成下列问题。</w:t>
      </w:r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2"/>
        <w:jc w:val="left"/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</w:pPr>
      <w:r>
        <w:rPr>
          <w:rFonts w:ascii="Times New Roman" w:eastAsia="楷体" w:hAnsi="Times New Roman" w:cs="楷体" w:hint="eastAsia"/>
          <w:b/>
          <w:bCs w:val="0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材料一</w:t>
      </w:r>
      <w:r>
        <w:rPr>
          <w:rFonts w:ascii="Times New Roman" w:eastAsia="楷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: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下图为中俄天然气管道东线局部示意图</w:t>
      </w:r>
      <w:r>
        <w:rPr>
          <w:rFonts w:ascii="Times New Roman" w:eastAsia="楷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线路途经东北地区</w:t>
      </w:r>
      <w:r>
        <w:rPr>
          <w:rFonts w:ascii="Times New Roman" w:eastAsia="楷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并配套建设地下储气库。该管道工程管径大</w:t>
      </w:r>
      <w:r>
        <w:rPr>
          <w:rFonts w:ascii="Times New Roman" w:eastAsia="楷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试压残留水难以彻底清除</w:t>
      </w:r>
      <w:r>
        <w:rPr>
          <w:rFonts w:ascii="Times New Roman" w:eastAsia="楷体" w:hAnsi="Times New Roman" w:cs="Times New Roman" w:hint="default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,</w:t>
      </w:r>
      <w:r>
        <w:rPr>
          <w:rFonts w:ascii="Times New Roman" w:eastAsia="楷体" w:hAnsi="Times New Roman" w:cs="楷体" w:hint="eastAsia"/>
          <w:color w:val="000000"/>
          <w:kern w:val="2"/>
          <w:sz w:val="24"/>
          <w:szCs w:val="22"/>
          <w:shd w:val="clear" w:color="auto" w:fill="FFFFFF"/>
          <w:lang w:val="en-US" w:eastAsia="zh-CN" w:bidi="ar"/>
        </w:rPr>
        <w:t>天然气在低温、高压条件下遇水易生成水合物。投产后东北地区整体供气格局将呈现“北气南下、就近供应、海气登陆”的特点。</w:t>
      </w:r>
      <w:r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  <w:br/>
      </w:r>
      <w:r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https://d.book118.com/488103033035006043</w:t>
        </w:r>
      </w:hyperlink>
    </w:p>
    <w:p>
      <w:pPr>
        <w:keepNext w:val="0"/>
        <w:keepLines w:val="0"/>
        <w:widowControl w:val="0"/>
        <w:suppressLineNumbers w:val="0"/>
        <w:tabs>
          <w:tab w:val="left" w:pos="2075"/>
          <w:tab w:val="left" w:pos="4156"/>
          <w:tab w:val="left" w:pos="6231"/>
        </w:tabs>
        <w:spacing w:before="0" w:beforeAutospacing="0" w:after="0" w:afterAutospacing="0" w:line="360" w:lineRule="auto"/>
        <w:ind w:left="0" w:right="0" w:firstLine="482"/>
        <w:jc w:val="left"/>
        <w:rPr>
          <w:rFonts w:eastAsia="楷体"/>
          <w:color w:val="000000"/>
          <w:kern w:val="2"/>
          <w:szCs w:val="22"/>
          <w:shd w:val="clear" w:color="auto" w:fill="FFFFFF"/>
          <w:lang w:eastAsia="zh-CN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9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5E53"/>
    <w:rsid w:val="000608D2"/>
    <w:rsid w:val="000666C4"/>
    <w:rsid w:val="000843F6"/>
    <w:rsid w:val="000D29C6"/>
    <w:rsid w:val="00127088"/>
    <w:rsid w:val="00145025"/>
    <w:rsid w:val="00177B78"/>
    <w:rsid w:val="001A0E65"/>
    <w:rsid w:val="001C37A8"/>
    <w:rsid w:val="00252334"/>
    <w:rsid w:val="002832F7"/>
    <w:rsid w:val="002A6237"/>
    <w:rsid w:val="002D058B"/>
    <w:rsid w:val="002E790F"/>
    <w:rsid w:val="00355398"/>
    <w:rsid w:val="00366C34"/>
    <w:rsid w:val="00392D89"/>
    <w:rsid w:val="003A4249"/>
    <w:rsid w:val="003A5C88"/>
    <w:rsid w:val="003B450B"/>
    <w:rsid w:val="0041072A"/>
    <w:rsid w:val="004271F4"/>
    <w:rsid w:val="00476A84"/>
    <w:rsid w:val="0050570C"/>
    <w:rsid w:val="006B64B0"/>
    <w:rsid w:val="006C4EB5"/>
    <w:rsid w:val="006C5B86"/>
    <w:rsid w:val="007174A2"/>
    <w:rsid w:val="007A0F4E"/>
    <w:rsid w:val="008132F2"/>
    <w:rsid w:val="008666BE"/>
    <w:rsid w:val="008809F7"/>
    <w:rsid w:val="00892A6F"/>
    <w:rsid w:val="008D504E"/>
    <w:rsid w:val="008E31A7"/>
    <w:rsid w:val="008E6FA9"/>
    <w:rsid w:val="009258E7"/>
    <w:rsid w:val="0093353C"/>
    <w:rsid w:val="00944CF0"/>
    <w:rsid w:val="009A66F4"/>
    <w:rsid w:val="009F437A"/>
    <w:rsid w:val="00A110FC"/>
    <w:rsid w:val="00A6217A"/>
    <w:rsid w:val="00A77B3E"/>
    <w:rsid w:val="00A816CC"/>
    <w:rsid w:val="00AA3566"/>
    <w:rsid w:val="00AA5E57"/>
    <w:rsid w:val="00BC7F69"/>
    <w:rsid w:val="00C4565F"/>
    <w:rsid w:val="00C629C0"/>
    <w:rsid w:val="00CA2A55"/>
    <w:rsid w:val="00CC08E9"/>
    <w:rsid w:val="00CF3351"/>
    <w:rsid w:val="00D34837"/>
    <w:rsid w:val="00D6166E"/>
    <w:rsid w:val="00D9698F"/>
    <w:rsid w:val="00DB1B96"/>
    <w:rsid w:val="00DC362F"/>
    <w:rsid w:val="00E01717"/>
    <w:rsid w:val="00E6370F"/>
    <w:rsid w:val="00E70E3A"/>
    <w:rsid w:val="00EA5A52"/>
    <w:rsid w:val="00FD76A3"/>
    <w:rsid w:val="01E65796"/>
    <w:rsid w:val="11197585"/>
    <w:rsid w:val="33BC2DBF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/>
    <w:lsdException w:name="footer" w:uiPriority="0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TableGrid">
    <w:name w:val="Table Grid"/>
    <w:basedOn w:val="TableNormal"/>
    <w:autoRedefine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autoRedefine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488103033035006043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1694</Words>
  <Characters>9662</Characters>
  <Application>Microsoft Office Word</Application>
  <DocSecurity>0</DocSecurity>
  <Lines>80</Lines>
  <Paragraphs>22</Paragraphs>
  <ScaleCrop>false</ScaleCrop>
  <Company/>
  <LinksUpToDate>false</LinksUpToDate>
  <CharactersWithSpaces>11334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4</cp:revision>
  <dcterms:created xsi:type="dcterms:W3CDTF">2022-01-15T01:28:00Z</dcterms:created>
  <dcterms:modified xsi:type="dcterms:W3CDTF">2024-03-05T15:03:48Z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C50EAA7CB44A4A15ACA301E481CC87DC_12</vt:lpwstr>
  </property>
  <property fmtid="{D5CDD505-2E9C-101B-9397-08002B2CF9AE}" pid="3" name="KSOProductBuildVer">
    <vt:lpwstr>2052-12.1.0.16399</vt:lpwstr>
  </property>
</Properties>
</file>