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2015-2023年厦门海洋职业技术学院高职单招（数学／语文／英语）历年参考题库带答案解析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下列关于《礼记·大同》的表述，不正确的一项是（）。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A.论述了“大同”与“小康”的不同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B.为增强说理气势，多处使用夸张、比喻等修辞手法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C.间接反映了对现实的不满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D.表达了孔子对原始共产主义社会的向往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“多诈的人渺视学问，愚鲁的人羡慕学问，聪明的人运用学问”此句出自（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A.茅盾的《香市》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B.朱光潜的《选择与安排》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C.培根的《论学问》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D.梁实秋的《谈时间》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D.说理散文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我国先秦时期著名的语录体散文集是（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曾悉心教导莫泊桑写作的作家是（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B.福楼拜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D.法朗士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北宋第一个专事写词的词人是（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B.秦观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下列语句中，论述“大同世界”特点的是（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A.各亲其亲，各子其子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C.刑仁讲让，示民有常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D.男有分，女有归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《报刘一丈书》本文中“甘言媚词，作妇人状”是写（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A.门者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B.权者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C.客子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D.干谒者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https://d.book118.com/488135037034006041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88135037034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