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超纯水和超纯溶剂的制备设备项目规划设计蓝图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85" w:history="1">
        <w:r>
          <w:rPr>
            <w:rFonts w:ascii="仿宋" w:eastAsia="仿宋" w:hAnsi="仿宋" w:cs="仿宋" w:hint="eastAsia"/>
            <w:lang w:eastAsia="zh-CN"/>
          </w:rPr>
          <w:t>序言</w:t>
        </w:r>
        <w:r>
          <w:tab/>
        </w:r>
        <w:r>
          <w:fldChar w:fldCharType="begin"/>
        </w:r>
        <w:r>
          <w:instrText xml:space="preserve"> PAGEREF _Toc22185 \h </w:instrText>
        </w:r>
        <w:r>
          <w:fldChar w:fldCharType="separate"/>
        </w:r>
        <w:r>
          <w:t>3</w:t>
        </w:r>
        <w:r>
          <w:fldChar w:fldCharType="end"/>
        </w:r>
      </w:hyperlink>
    </w:p>
    <w:p>
      <w:pPr>
        <w:pStyle w:val="TOC1"/>
        <w:tabs>
          <w:tab w:val="right" w:leader="dot" w:pos="8306"/>
        </w:tabs>
      </w:pPr>
      <w:hyperlink w:anchor="_Toc10840" w:history="1">
        <w:r>
          <w:rPr>
            <w:rFonts w:ascii="仿宋" w:eastAsia="仿宋" w:hAnsi="仿宋" w:cs="仿宋" w:hint="eastAsia"/>
            <w:lang w:eastAsia="zh-CN"/>
          </w:rPr>
          <w:t>一、超纯水和超纯溶剂的制备设备项目可持续发展</w:t>
        </w:r>
        <w:r>
          <w:tab/>
        </w:r>
        <w:r>
          <w:fldChar w:fldCharType="begin"/>
        </w:r>
        <w:r>
          <w:instrText xml:space="preserve"> PAGEREF _Toc10840 \h </w:instrText>
        </w:r>
        <w:r>
          <w:fldChar w:fldCharType="separate"/>
        </w:r>
        <w:r>
          <w:t>3</w:t>
        </w:r>
        <w:r>
          <w:fldChar w:fldCharType="end"/>
        </w:r>
      </w:hyperlink>
    </w:p>
    <w:p>
      <w:pPr>
        <w:pStyle w:val="TOC2"/>
        <w:tabs>
          <w:tab w:val="right" w:leader="dot" w:pos="8306"/>
        </w:tabs>
      </w:pPr>
      <w:hyperlink w:anchor="_Toc1655" w:history="1">
        <w:r>
          <w:rPr>
            <w:rFonts w:ascii="仿宋" w:eastAsia="仿宋" w:hAnsi="仿宋" w:cs="仿宋" w:hint="eastAsia"/>
            <w:lang w:eastAsia="zh-CN"/>
          </w:rPr>
          <w:t>(一)、可持续战略与实践</w:t>
        </w:r>
        <w:r>
          <w:tab/>
        </w:r>
        <w:r>
          <w:fldChar w:fldCharType="begin"/>
        </w:r>
        <w:r>
          <w:instrText xml:space="preserve"> PAGEREF _Toc1655 \h </w:instrText>
        </w:r>
        <w:r>
          <w:fldChar w:fldCharType="separate"/>
        </w:r>
        <w:r>
          <w:t>3</w:t>
        </w:r>
        <w:r>
          <w:fldChar w:fldCharType="end"/>
        </w:r>
      </w:hyperlink>
    </w:p>
    <w:p>
      <w:pPr>
        <w:pStyle w:val="TOC2"/>
        <w:tabs>
          <w:tab w:val="right" w:leader="dot" w:pos="8306"/>
        </w:tabs>
      </w:pPr>
      <w:hyperlink w:anchor="_Toc20736" w:history="1">
        <w:r>
          <w:rPr>
            <w:rFonts w:ascii="仿宋" w:eastAsia="仿宋" w:hAnsi="仿宋" w:cs="仿宋" w:hint="eastAsia"/>
            <w:lang w:eastAsia="zh-CN"/>
          </w:rPr>
          <w:t>(二)、环保与社会责任</w:t>
        </w:r>
        <w:r>
          <w:tab/>
        </w:r>
        <w:r>
          <w:fldChar w:fldCharType="begin"/>
        </w:r>
        <w:r>
          <w:instrText xml:space="preserve"> PAGEREF _Toc20736 \h </w:instrText>
        </w:r>
        <w:r>
          <w:fldChar w:fldCharType="separate"/>
        </w:r>
        <w:r>
          <w:t>4</w:t>
        </w:r>
        <w:r>
          <w:fldChar w:fldCharType="end"/>
        </w:r>
      </w:hyperlink>
    </w:p>
    <w:p>
      <w:pPr>
        <w:pStyle w:val="TOC1"/>
        <w:tabs>
          <w:tab w:val="right" w:leader="dot" w:pos="8306"/>
        </w:tabs>
      </w:pPr>
      <w:hyperlink w:anchor="_Toc26471" w:history="1">
        <w:r>
          <w:rPr>
            <w:rFonts w:ascii="仿宋" w:eastAsia="仿宋" w:hAnsi="仿宋" w:cs="仿宋" w:hint="eastAsia"/>
            <w:lang w:eastAsia="zh-CN"/>
          </w:rPr>
          <w:t>二、超纯水和超纯溶剂的制备设备项目选址可行性分析</w:t>
        </w:r>
        <w:r>
          <w:tab/>
        </w:r>
        <w:r>
          <w:fldChar w:fldCharType="begin"/>
        </w:r>
        <w:r>
          <w:instrText xml:space="preserve"> PAGEREF _Toc26471 \h </w:instrText>
        </w:r>
        <w:r>
          <w:fldChar w:fldCharType="separate"/>
        </w:r>
        <w:r>
          <w:t>5</w:t>
        </w:r>
        <w:r>
          <w:fldChar w:fldCharType="end"/>
        </w:r>
      </w:hyperlink>
    </w:p>
    <w:p>
      <w:pPr>
        <w:pStyle w:val="TOC2"/>
        <w:tabs>
          <w:tab w:val="right" w:leader="dot" w:pos="8306"/>
        </w:tabs>
      </w:pPr>
      <w:hyperlink w:anchor="_Toc18974" w:history="1">
        <w:r>
          <w:rPr>
            <w:rFonts w:ascii="仿宋" w:eastAsia="仿宋" w:hAnsi="仿宋" w:cs="仿宋" w:hint="eastAsia"/>
            <w:lang w:eastAsia="zh-CN"/>
          </w:rPr>
          <w:t>(一)、超纯水和超纯溶剂的制备设备项目选址</w:t>
        </w:r>
        <w:r>
          <w:tab/>
        </w:r>
        <w:r>
          <w:fldChar w:fldCharType="begin"/>
        </w:r>
        <w:r>
          <w:instrText xml:space="preserve"> PAGEREF _Toc18974 \h </w:instrText>
        </w:r>
        <w:r>
          <w:fldChar w:fldCharType="separate"/>
        </w:r>
        <w:r>
          <w:t>5</w:t>
        </w:r>
        <w:r>
          <w:fldChar w:fldCharType="end"/>
        </w:r>
      </w:hyperlink>
    </w:p>
    <w:p>
      <w:pPr>
        <w:pStyle w:val="TOC2"/>
        <w:tabs>
          <w:tab w:val="right" w:leader="dot" w:pos="8306"/>
        </w:tabs>
      </w:pPr>
      <w:hyperlink w:anchor="_Toc22628" w:history="1">
        <w:r>
          <w:rPr>
            <w:rFonts w:ascii="仿宋" w:eastAsia="仿宋" w:hAnsi="仿宋" w:cs="仿宋" w:hint="eastAsia"/>
            <w:lang w:eastAsia="zh-CN"/>
          </w:rPr>
          <w:t>(二)、用地控制指标</w:t>
        </w:r>
        <w:r>
          <w:tab/>
        </w:r>
        <w:r>
          <w:fldChar w:fldCharType="begin"/>
        </w:r>
        <w:r>
          <w:instrText xml:space="preserve"> PAGEREF _Toc22628 \h </w:instrText>
        </w:r>
        <w:r>
          <w:fldChar w:fldCharType="separate"/>
        </w:r>
        <w:r>
          <w:t>5</w:t>
        </w:r>
        <w:r>
          <w:fldChar w:fldCharType="end"/>
        </w:r>
      </w:hyperlink>
    </w:p>
    <w:p>
      <w:pPr>
        <w:pStyle w:val="TOC2"/>
        <w:tabs>
          <w:tab w:val="right" w:leader="dot" w:pos="8306"/>
        </w:tabs>
      </w:pPr>
      <w:hyperlink w:anchor="_Toc20929" w:history="1">
        <w:r>
          <w:rPr>
            <w:rFonts w:ascii="仿宋" w:eastAsia="仿宋" w:hAnsi="仿宋" w:cs="仿宋" w:hint="eastAsia"/>
            <w:lang w:eastAsia="zh-CN"/>
          </w:rPr>
          <w:t>(三)、节约用地措施</w:t>
        </w:r>
        <w:r>
          <w:tab/>
        </w:r>
        <w:r>
          <w:fldChar w:fldCharType="begin"/>
        </w:r>
        <w:r>
          <w:instrText xml:space="preserve"> PAGEREF _Toc20929 \h </w:instrText>
        </w:r>
        <w:r>
          <w:fldChar w:fldCharType="separate"/>
        </w:r>
        <w:r>
          <w:t>7</w:t>
        </w:r>
        <w:r>
          <w:fldChar w:fldCharType="end"/>
        </w:r>
      </w:hyperlink>
    </w:p>
    <w:p>
      <w:pPr>
        <w:pStyle w:val="TOC2"/>
        <w:tabs>
          <w:tab w:val="right" w:leader="dot" w:pos="8306"/>
        </w:tabs>
      </w:pPr>
      <w:hyperlink w:anchor="_Toc25295" w:history="1">
        <w:r>
          <w:rPr>
            <w:rFonts w:ascii="仿宋" w:eastAsia="仿宋" w:hAnsi="仿宋" w:cs="仿宋" w:hint="eastAsia"/>
            <w:lang w:eastAsia="zh-CN"/>
          </w:rPr>
          <w:t>(四)、总图布置方案</w:t>
        </w:r>
        <w:r>
          <w:tab/>
        </w:r>
        <w:r>
          <w:fldChar w:fldCharType="begin"/>
        </w:r>
        <w:r>
          <w:instrText xml:space="preserve"> PAGEREF _Toc25295 \h </w:instrText>
        </w:r>
        <w:r>
          <w:fldChar w:fldCharType="separate"/>
        </w:r>
        <w:r>
          <w:t>8</w:t>
        </w:r>
        <w:r>
          <w:fldChar w:fldCharType="end"/>
        </w:r>
      </w:hyperlink>
    </w:p>
    <w:p>
      <w:pPr>
        <w:pStyle w:val="TOC2"/>
        <w:tabs>
          <w:tab w:val="right" w:leader="dot" w:pos="8306"/>
        </w:tabs>
      </w:pPr>
      <w:hyperlink w:anchor="_Toc15145" w:history="1">
        <w:r>
          <w:rPr>
            <w:rFonts w:ascii="仿宋" w:eastAsia="仿宋" w:hAnsi="仿宋" w:cs="仿宋" w:hint="eastAsia"/>
            <w:lang w:eastAsia="zh-CN"/>
          </w:rPr>
          <w:t>(五)、选址综合评价</w:t>
        </w:r>
        <w:r>
          <w:tab/>
        </w:r>
        <w:r>
          <w:fldChar w:fldCharType="begin"/>
        </w:r>
        <w:r>
          <w:instrText xml:space="preserve"> PAGEREF _Toc15145 \h </w:instrText>
        </w:r>
        <w:r>
          <w:fldChar w:fldCharType="separate"/>
        </w:r>
        <w:r>
          <w:t>10</w:t>
        </w:r>
        <w:r>
          <w:fldChar w:fldCharType="end"/>
        </w:r>
      </w:hyperlink>
    </w:p>
    <w:p>
      <w:pPr>
        <w:pStyle w:val="TOC1"/>
        <w:tabs>
          <w:tab w:val="right" w:leader="dot" w:pos="8306"/>
        </w:tabs>
      </w:pPr>
      <w:hyperlink w:anchor="_Toc18111" w:history="1">
        <w:r>
          <w:rPr>
            <w:rFonts w:ascii="仿宋" w:eastAsia="仿宋" w:hAnsi="仿宋" w:cs="仿宋" w:hint="eastAsia"/>
            <w:lang w:eastAsia="zh-CN"/>
          </w:rPr>
          <w:t>三、超纯水和超纯溶剂的制备设备项目建设背景及必要性分析</w:t>
        </w:r>
        <w:r>
          <w:tab/>
        </w:r>
        <w:r>
          <w:fldChar w:fldCharType="begin"/>
        </w:r>
        <w:r>
          <w:instrText xml:space="preserve"> PAGEREF _Toc18111 \h </w:instrText>
        </w:r>
        <w:r>
          <w:fldChar w:fldCharType="separate"/>
        </w:r>
        <w:r>
          <w:t>11</w:t>
        </w:r>
        <w:r>
          <w:fldChar w:fldCharType="end"/>
        </w:r>
      </w:hyperlink>
    </w:p>
    <w:p>
      <w:pPr>
        <w:pStyle w:val="TOC2"/>
        <w:tabs>
          <w:tab w:val="right" w:leader="dot" w:pos="8306"/>
        </w:tabs>
      </w:pPr>
      <w:hyperlink w:anchor="_Toc128" w:history="1">
        <w:r>
          <w:rPr>
            <w:rFonts w:ascii="仿宋" w:eastAsia="仿宋" w:hAnsi="仿宋" w:cs="仿宋" w:hint="eastAsia"/>
            <w:lang w:eastAsia="zh-CN"/>
          </w:rPr>
          <w:t>(一)、超纯水和超纯溶剂的制备设备项目背景分析</w:t>
        </w:r>
        <w:r>
          <w:tab/>
        </w:r>
        <w:r>
          <w:fldChar w:fldCharType="begin"/>
        </w:r>
        <w:r>
          <w:instrText xml:space="preserve"> PAGEREF _Toc128 \h </w:instrText>
        </w:r>
        <w:r>
          <w:fldChar w:fldCharType="separate"/>
        </w:r>
        <w:r>
          <w:t>11</w:t>
        </w:r>
        <w:r>
          <w:fldChar w:fldCharType="end"/>
        </w:r>
      </w:hyperlink>
    </w:p>
    <w:p>
      <w:pPr>
        <w:pStyle w:val="TOC2"/>
        <w:tabs>
          <w:tab w:val="right" w:leader="dot" w:pos="8306"/>
        </w:tabs>
      </w:pPr>
      <w:hyperlink w:anchor="_Toc11873" w:history="1">
        <w:r>
          <w:rPr>
            <w:rFonts w:ascii="仿宋" w:eastAsia="仿宋" w:hAnsi="仿宋" w:cs="仿宋" w:hint="eastAsia"/>
            <w:lang w:eastAsia="zh-CN"/>
          </w:rPr>
          <w:t>(二)、超纯水和超纯溶剂的制备设备项目建设必要性分析</w:t>
        </w:r>
        <w:r>
          <w:tab/>
        </w:r>
        <w:r>
          <w:fldChar w:fldCharType="begin"/>
        </w:r>
        <w:r>
          <w:instrText xml:space="preserve"> PAGEREF _Toc11873 \h </w:instrText>
        </w:r>
        <w:r>
          <w:fldChar w:fldCharType="separate"/>
        </w:r>
        <w:r>
          <w:t>13</w:t>
        </w:r>
        <w:r>
          <w:fldChar w:fldCharType="end"/>
        </w:r>
      </w:hyperlink>
    </w:p>
    <w:p>
      <w:pPr>
        <w:pStyle w:val="TOC1"/>
        <w:tabs>
          <w:tab w:val="right" w:leader="dot" w:pos="8306"/>
        </w:tabs>
      </w:pPr>
      <w:hyperlink w:anchor="_Toc325" w:history="1">
        <w:r>
          <w:rPr>
            <w:rFonts w:ascii="仿宋" w:eastAsia="仿宋" w:hAnsi="仿宋" w:cs="仿宋" w:hint="eastAsia"/>
            <w:lang w:eastAsia="zh-CN"/>
          </w:rPr>
          <w:t>四、超纯水和超纯溶剂的制备设备项目土建工程</w:t>
        </w:r>
        <w:r>
          <w:tab/>
        </w:r>
        <w:r>
          <w:fldChar w:fldCharType="begin"/>
        </w:r>
        <w:r>
          <w:instrText xml:space="preserve"> PAGEREF _Toc325 \h </w:instrText>
        </w:r>
        <w:r>
          <w:fldChar w:fldCharType="separate"/>
        </w:r>
        <w:r>
          <w:t>14</w:t>
        </w:r>
        <w:r>
          <w:fldChar w:fldCharType="end"/>
        </w:r>
      </w:hyperlink>
    </w:p>
    <w:p>
      <w:pPr>
        <w:pStyle w:val="TOC2"/>
        <w:tabs>
          <w:tab w:val="right" w:leader="dot" w:pos="8306"/>
        </w:tabs>
      </w:pPr>
      <w:hyperlink w:anchor="_Toc26928" w:history="1">
        <w:r>
          <w:rPr>
            <w:rFonts w:ascii="仿宋" w:eastAsia="仿宋" w:hAnsi="仿宋" w:cs="仿宋" w:hint="eastAsia"/>
            <w:lang w:eastAsia="zh-CN"/>
          </w:rPr>
          <w:t>(一)、建筑工程设计原则</w:t>
        </w:r>
        <w:r>
          <w:tab/>
        </w:r>
        <w:r>
          <w:fldChar w:fldCharType="begin"/>
        </w:r>
        <w:r>
          <w:instrText xml:space="preserve"> PAGEREF _Toc26928 \h </w:instrText>
        </w:r>
        <w:r>
          <w:fldChar w:fldCharType="separate"/>
        </w:r>
        <w:r>
          <w:t>14</w:t>
        </w:r>
        <w:r>
          <w:fldChar w:fldCharType="end"/>
        </w:r>
      </w:hyperlink>
    </w:p>
    <w:p>
      <w:pPr>
        <w:pStyle w:val="TOC2"/>
        <w:tabs>
          <w:tab w:val="right" w:leader="dot" w:pos="8306"/>
        </w:tabs>
      </w:pPr>
      <w:hyperlink w:anchor="_Toc27927" w:history="1">
        <w:r>
          <w:rPr>
            <w:rFonts w:ascii="仿宋" w:eastAsia="仿宋" w:hAnsi="仿宋" w:cs="仿宋" w:hint="eastAsia"/>
            <w:lang w:eastAsia="zh-CN"/>
          </w:rPr>
          <w:t>(二)、土建工程设计年限及安全等级</w:t>
        </w:r>
        <w:r>
          <w:tab/>
        </w:r>
        <w:r>
          <w:fldChar w:fldCharType="begin"/>
        </w:r>
        <w:r>
          <w:instrText xml:space="preserve"> PAGEREF _Toc27927 \h </w:instrText>
        </w:r>
        <w:r>
          <w:fldChar w:fldCharType="separate"/>
        </w:r>
        <w:r>
          <w:t>15</w:t>
        </w:r>
        <w:r>
          <w:fldChar w:fldCharType="end"/>
        </w:r>
      </w:hyperlink>
    </w:p>
    <w:p>
      <w:pPr>
        <w:pStyle w:val="TOC2"/>
        <w:tabs>
          <w:tab w:val="right" w:leader="dot" w:pos="8306"/>
        </w:tabs>
      </w:pPr>
      <w:hyperlink w:anchor="_Toc22048" w:history="1">
        <w:r>
          <w:rPr>
            <w:rFonts w:ascii="仿宋" w:eastAsia="仿宋" w:hAnsi="仿宋" w:cs="仿宋" w:hint="eastAsia"/>
            <w:lang w:eastAsia="zh-CN"/>
          </w:rPr>
          <w:t>(三)、建筑工程设计总体要求</w:t>
        </w:r>
        <w:r>
          <w:tab/>
        </w:r>
        <w:r>
          <w:fldChar w:fldCharType="begin"/>
        </w:r>
        <w:r>
          <w:instrText xml:space="preserve"> PAGEREF _Toc22048 \h </w:instrText>
        </w:r>
        <w:r>
          <w:fldChar w:fldCharType="separate"/>
        </w:r>
        <w:r>
          <w:t>17</w:t>
        </w:r>
        <w:r>
          <w:fldChar w:fldCharType="end"/>
        </w:r>
      </w:hyperlink>
    </w:p>
    <w:p>
      <w:pPr>
        <w:pStyle w:val="TOC2"/>
        <w:tabs>
          <w:tab w:val="right" w:leader="dot" w:pos="8306"/>
        </w:tabs>
      </w:pPr>
      <w:hyperlink w:anchor="_Toc1468" w:history="1">
        <w:r>
          <w:rPr>
            <w:rFonts w:ascii="仿宋" w:eastAsia="仿宋" w:hAnsi="仿宋" w:cs="仿宋" w:hint="eastAsia"/>
            <w:lang w:eastAsia="zh-CN"/>
          </w:rPr>
          <w:t>(四)、土建工程建设指标</w:t>
        </w:r>
        <w:r>
          <w:tab/>
        </w:r>
        <w:r>
          <w:fldChar w:fldCharType="begin"/>
        </w:r>
        <w:r>
          <w:instrText xml:space="preserve"> PAGEREF _Toc1468 \h </w:instrText>
        </w:r>
        <w:r>
          <w:fldChar w:fldCharType="separate"/>
        </w:r>
        <w:r>
          <w:t>17</w:t>
        </w:r>
        <w:r>
          <w:fldChar w:fldCharType="end"/>
        </w:r>
      </w:hyperlink>
    </w:p>
    <w:p>
      <w:pPr>
        <w:pStyle w:val="TOC1"/>
        <w:tabs>
          <w:tab w:val="right" w:leader="dot" w:pos="8306"/>
        </w:tabs>
      </w:pPr>
      <w:hyperlink w:anchor="_Toc7154" w:history="1">
        <w:r>
          <w:rPr>
            <w:rFonts w:ascii="仿宋" w:eastAsia="仿宋" w:hAnsi="仿宋" w:cs="仿宋" w:hint="eastAsia"/>
            <w:lang w:eastAsia="zh-CN"/>
          </w:rPr>
          <w:t>五、工艺说明</w:t>
        </w:r>
        <w:r>
          <w:tab/>
        </w:r>
        <w:r>
          <w:fldChar w:fldCharType="begin"/>
        </w:r>
        <w:r>
          <w:instrText xml:space="preserve"> PAGEREF _Toc7154 \h </w:instrText>
        </w:r>
        <w:r>
          <w:fldChar w:fldCharType="separate"/>
        </w:r>
        <w:r>
          <w:t>18</w:t>
        </w:r>
        <w:r>
          <w:fldChar w:fldCharType="end"/>
        </w:r>
      </w:hyperlink>
    </w:p>
    <w:p>
      <w:pPr>
        <w:pStyle w:val="TOC2"/>
        <w:tabs>
          <w:tab w:val="right" w:leader="dot" w:pos="8306"/>
        </w:tabs>
      </w:pPr>
      <w:hyperlink w:anchor="_Toc31394" w:history="1">
        <w:r>
          <w:rPr>
            <w:rFonts w:ascii="仿宋" w:eastAsia="仿宋" w:hAnsi="仿宋" w:cs="仿宋" w:hint="eastAsia"/>
            <w:lang w:eastAsia="zh-CN"/>
          </w:rPr>
          <w:t>(一)、技术管理特点</w:t>
        </w:r>
        <w:r>
          <w:tab/>
        </w:r>
        <w:r>
          <w:fldChar w:fldCharType="begin"/>
        </w:r>
        <w:r>
          <w:instrText xml:space="preserve"> PAGEREF _Toc31394 \h </w:instrText>
        </w:r>
        <w:r>
          <w:fldChar w:fldCharType="separate"/>
        </w:r>
        <w:r>
          <w:t>18</w:t>
        </w:r>
        <w:r>
          <w:fldChar w:fldCharType="end"/>
        </w:r>
      </w:hyperlink>
    </w:p>
    <w:p>
      <w:pPr>
        <w:pStyle w:val="TOC2"/>
        <w:tabs>
          <w:tab w:val="right" w:leader="dot" w:pos="8306"/>
        </w:tabs>
      </w:pPr>
      <w:hyperlink w:anchor="_Toc2374" w:history="1">
        <w:r>
          <w:rPr>
            <w:rFonts w:ascii="仿宋" w:eastAsia="仿宋" w:hAnsi="仿宋" w:cs="仿宋" w:hint="eastAsia"/>
            <w:lang w:eastAsia="zh-CN"/>
          </w:rPr>
          <w:t>(二)、超纯水和超纯溶剂的制备设备项目工艺技术设计方案</w:t>
        </w:r>
        <w:r>
          <w:tab/>
        </w:r>
        <w:r>
          <w:fldChar w:fldCharType="begin"/>
        </w:r>
        <w:r>
          <w:instrText xml:space="preserve"> PAGEREF _Toc2374 \h </w:instrText>
        </w:r>
        <w:r>
          <w:fldChar w:fldCharType="separate"/>
        </w:r>
        <w:r>
          <w:t>19</w:t>
        </w:r>
        <w:r>
          <w:fldChar w:fldCharType="end"/>
        </w:r>
      </w:hyperlink>
    </w:p>
    <w:p>
      <w:pPr>
        <w:pStyle w:val="TOC2"/>
        <w:tabs>
          <w:tab w:val="right" w:leader="dot" w:pos="8306"/>
        </w:tabs>
      </w:pPr>
      <w:hyperlink w:anchor="_Toc28975" w:history="1">
        <w:r>
          <w:rPr>
            <w:rFonts w:ascii="仿宋" w:eastAsia="仿宋" w:hAnsi="仿宋" w:cs="仿宋" w:hint="eastAsia"/>
            <w:lang w:eastAsia="zh-CN"/>
          </w:rPr>
          <w:t>(三)、设备选型方案</w:t>
        </w:r>
        <w:r>
          <w:tab/>
        </w:r>
        <w:r>
          <w:fldChar w:fldCharType="begin"/>
        </w:r>
        <w:r>
          <w:instrText xml:space="preserve"> PAGEREF _Toc28975 \h </w:instrText>
        </w:r>
        <w:r>
          <w:fldChar w:fldCharType="separate"/>
        </w:r>
        <w:r>
          <w:t>20</w:t>
        </w:r>
        <w:r>
          <w:fldChar w:fldCharType="end"/>
        </w:r>
      </w:hyperlink>
    </w:p>
    <w:p>
      <w:pPr>
        <w:pStyle w:val="TOC1"/>
        <w:tabs>
          <w:tab w:val="right" w:leader="dot" w:pos="8306"/>
        </w:tabs>
      </w:pPr>
      <w:hyperlink w:anchor="_Toc554" w:history="1">
        <w:r>
          <w:rPr>
            <w:rFonts w:ascii="仿宋" w:eastAsia="仿宋" w:hAnsi="仿宋" w:cs="仿宋" w:hint="eastAsia"/>
            <w:lang w:eastAsia="zh-CN"/>
          </w:rPr>
          <w:t>六、超纯水和超纯溶剂的制备设备项目概论</w:t>
        </w:r>
        <w:r>
          <w:tab/>
        </w:r>
        <w:r>
          <w:fldChar w:fldCharType="begin"/>
        </w:r>
        <w:r>
          <w:instrText xml:space="preserve"> PAGEREF _Toc554 \h </w:instrText>
        </w:r>
        <w:r>
          <w:fldChar w:fldCharType="separate"/>
        </w:r>
        <w:r>
          <w:t>22</w:t>
        </w:r>
        <w:r>
          <w:fldChar w:fldCharType="end"/>
        </w:r>
      </w:hyperlink>
    </w:p>
    <w:p>
      <w:pPr>
        <w:pStyle w:val="TOC2"/>
        <w:tabs>
          <w:tab w:val="right" w:leader="dot" w:pos="8306"/>
        </w:tabs>
      </w:pPr>
      <w:hyperlink w:anchor="_Toc10375" w:history="1">
        <w:r>
          <w:rPr>
            <w:rFonts w:ascii="仿宋" w:eastAsia="仿宋" w:hAnsi="仿宋" w:cs="仿宋" w:hint="eastAsia"/>
            <w:lang w:eastAsia="zh-CN"/>
          </w:rPr>
          <w:t>(一)、超纯水和超纯溶剂的制备设备项目概况</w:t>
        </w:r>
        <w:r>
          <w:tab/>
        </w:r>
        <w:r>
          <w:fldChar w:fldCharType="begin"/>
        </w:r>
        <w:r>
          <w:instrText xml:space="preserve"> PAGEREF _Toc10375 \h </w:instrText>
        </w:r>
        <w:r>
          <w:fldChar w:fldCharType="separate"/>
        </w:r>
        <w:r>
          <w:t>22</w:t>
        </w:r>
        <w:r>
          <w:fldChar w:fldCharType="end"/>
        </w:r>
      </w:hyperlink>
    </w:p>
    <w:p>
      <w:pPr>
        <w:pStyle w:val="TOC2"/>
        <w:tabs>
          <w:tab w:val="right" w:leader="dot" w:pos="8306"/>
        </w:tabs>
      </w:pPr>
      <w:hyperlink w:anchor="_Toc20278" w:history="1">
        <w:r>
          <w:rPr>
            <w:rFonts w:ascii="仿宋" w:eastAsia="仿宋" w:hAnsi="仿宋" w:cs="仿宋" w:hint="eastAsia"/>
            <w:lang w:eastAsia="zh-CN"/>
          </w:rPr>
          <w:t>(二)、超纯水和超纯溶剂的制备设备项目目标</w:t>
        </w:r>
        <w:r>
          <w:tab/>
        </w:r>
        <w:r>
          <w:fldChar w:fldCharType="begin"/>
        </w:r>
        <w:r>
          <w:instrText xml:space="preserve"> PAGEREF _Toc20278 \h </w:instrText>
        </w:r>
        <w:r>
          <w:fldChar w:fldCharType="separate"/>
        </w:r>
        <w:r>
          <w:t>24</w:t>
        </w:r>
        <w:r>
          <w:fldChar w:fldCharType="end"/>
        </w:r>
      </w:hyperlink>
    </w:p>
    <w:p>
      <w:pPr>
        <w:pStyle w:val="TOC2"/>
        <w:tabs>
          <w:tab w:val="right" w:leader="dot" w:pos="8306"/>
        </w:tabs>
      </w:pPr>
      <w:hyperlink w:anchor="_Toc23749" w:history="1">
        <w:r>
          <w:rPr>
            <w:rFonts w:ascii="仿宋" w:eastAsia="仿宋" w:hAnsi="仿宋" w:cs="仿宋" w:hint="eastAsia"/>
            <w:lang w:eastAsia="zh-CN"/>
          </w:rPr>
          <w:t>(三)、超纯水和超纯溶剂的制备设备项目提出的理由</w:t>
        </w:r>
        <w:r>
          <w:tab/>
        </w:r>
        <w:r>
          <w:fldChar w:fldCharType="begin"/>
        </w:r>
        <w:r>
          <w:instrText xml:space="preserve"> PAGEREF _Toc23749 \h </w:instrText>
        </w:r>
        <w:r>
          <w:fldChar w:fldCharType="separate"/>
        </w:r>
        <w:r>
          <w:t>25</w:t>
        </w:r>
        <w:r>
          <w:fldChar w:fldCharType="end"/>
        </w:r>
      </w:hyperlink>
    </w:p>
    <w:p>
      <w:pPr>
        <w:pStyle w:val="TOC2"/>
        <w:tabs>
          <w:tab w:val="right" w:leader="dot" w:pos="8306"/>
        </w:tabs>
      </w:pPr>
      <w:hyperlink w:anchor="_Toc631" w:history="1">
        <w:r>
          <w:rPr>
            <w:rFonts w:ascii="仿宋" w:eastAsia="仿宋" w:hAnsi="仿宋" w:cs="仿宋" w:hint="eastAsia"/>
            <w:lang w:eastAsia="zh-CN"/>
          </w:rPr>
          <w:t>(四)、超纯水和超纯溶剂的制备设备项目意义</w:t>
        </w:r>
        <w:r>
          <w:tab/>
        </w:r>
        <w:r>
          <w:fldChar w:fldCharType="begin"/>
        </w:r>
        <w:r>
          <w:instrText xml:space="preserve"> PAGEREF _Toc631 \h </w:instrText>
        </w:r>
        <w:r>
          <w:fldChar w:fldCharType="separate"/>
        </w:r>
        <w:r>
          <w:t>27</w:t>
        </w:r>
        <w:r>
          <w:fldChar w:fldCharType="end"/>
        </w:r>
      </w:hyperlink>
    </w:p>
    <w:p>
      <w:pPr>
        <w:pStyle w:val="TOC2"/>
        <w:tabs>
          <w:tab w:val="right" w:leader="dot" w:pos="8306"/>
        </w:tabs>
      </w:pPr>
      <w:hyperlink w:anchor="_Toc27828" w:history="1">
        <w:r>
          <w:rPr>
            <w:rFonts w:ascii="仿宋" w:eastAsia="仿宋" w:hAnsi="仿宋" w:cs="仿宋" w:hint="eastAsia"/>
            <w:lang w:eastAsia="zh-CN"/>
          </w:rPr>
          <w:t>(五)、超纯水和超纯溶剂的制备设备项目背景</w:t>
        </w:r>
        <w:r>
          <w:tab/>
        </w:r>
        <w:r>
          <w:fldChar w:fldCharType="begin"/>
        </w:r>
        <w:r>
          <w:instrText xml:space="preserve"> PAGEREF _Toc27828 \h </w:instrText>
        </w:r>
        <w:r>
          <w:fldChar w:fldCharType="separate"/>
        </w:r>
        <w:r>
          <w:t>28</w:t>
        </w:r>
        <w:r>
          <w:fldChar w:fldCharType="end"/>
        </w:r>
      </w:hyperlink>
    </w:p>
    <w:p>
      <w:pPr>
        <w:pStyle w:val="TOC1"/>
        <w:tabs>
          <w:tab w:val="right" w:leader="dot" w:pos="8306"/>
        </w:tabs>
      </w:pPr>
      <w:hyperlink w:anchor="_Toc2226" w:history="1">
        <w:r>
          <w:rPr>
            <w:rFonts w:ascii="仿宋" w:eastAsia="仿宋" w:hAnsi="仿宋" w:cs="仿宋" w:hint="eastAsia"/>
            <w:lang w:eastAsia="zh-CN"/>
          </w:rPr>
          <w:t>七、超纯水和超纯溶剂的制备设备项目计划安排</w:t>
        </w:r>
        <w:r>
          <w:tab/>
        </w:r>
        <w:r>
          <w:fldChar w:fldCharType="begin"/>
        </w:r>
        <w:r>
          <w:instrText xml:space="preserve"> PAGEREF _Toc2226 \h </w:instrText>
        </w:r>
        <w:r>
          <w:fldChar w:fldCharType="separate"/>
        </w:r>
        <w:r>
          <w:t>29</w:t>
        </w:r>
        <w:r>
          <w:fldChar w:fldCharType="end"/>
        </w:r>
      </w:hyperlink>
    </w:p>
    <w:p>
      <w:pPr>
        <w:pStyle w:val="TOC2"/>
        <w:tabs>
          <w:tab w:val="right" w:leader="dot" w:pos="8306"/>
        </w:tabs>
      </w:pPr>
      <w:hyperlink w:anchor="_Toc7816" w:history="1">
        <w:r>
          <w:rPr>
            <w:rFonts w:ascii="仿宋" w:eastAsia="仿宋" w:hAnsi="仿宋" w:cs="仿宋" w:hint="eastAsia"/>
            <w:lang w:eastAsia="zh-CN"/>
          </w:rPr>
          <w:t>(一)、建设周期</w:t>
        </w:r>
        <w:r>
          <w:tab/>
        </w:r>
        <w:r>
          <w:fldChar w:fldCharType="begin"/>
        </w:r>
        <w:r>
          <w:instrText xml:space="preserve"> PAGEREF _Toc7816 \h </w:instrText>
        </w:r>
        <w:r>
          <w:fldChar w:fldCharType="separate"/>
        </w:r>
        <w:r>
          <w:t>29</w:t>
        </w:r>
        <w:r>
          <w:fldChar w:fldCharType="end"/>
        </w:r>
      </w:hyperlink>
    </w:p>
    <w:p>
      <w:pPr>
        <w:pStyle w:val="TOC2"/>
        <w:tabs>
          <w:tab w:val="right" w:leader="dot" w:pos="8306"/>
        </w:tabs>
      </w:pPr>
      <w:hyperlink w:anchor="_Toc29130" w:history="1">
        <w:r>
          <w:rPr>
            <w:rFonts w:ascii="仿宋" w:eastAsia="仿宋" w:hAnsi="仿宋" w:cs="仿宋" w:hint="eastAsia"/>
            <w:lang w:eastAsia="zh-CN"/>
          </w:rPr>
          <w:t>(二)、建设进度</w:t>
        </w:r>
        <w:r>
          <w:tab/>
        </w:r>
        <w:r>
          <w:fldChar w:fldCharType="begin"/>
        </w:r>
        <w:r>
          <w:instrText xml:space="preserve"> PAGEREF _Toc29130 \h </w:instrText>
        </w:r>
        <w:r>
          <w:fldChar w:fldCharType="separate"/>
        </w:r>
        <w:r>
          <w:t>30</w:t>
        </w:r>
        <w:r>
          <w:fldChar w:fldCharType="end"/>
        </w:r>
      </w:hyperlink>
    </w:p>
    <w:p>
      <w:pPr>
        <w:pStyle w:val="TOC2"/>
        <w:tabs>
          <w:tab w:val="right" w:leader="dot" w:pos="8306"/>
        </w:tabs>
      </w:pPr>
      <w:hyperlink w:anchor="_Toc808" w:history="1">
        <w:r>
          <w:rPr>
            <w:rFonts w:ascii="仿宋" w:eastAsia="仿宋" w:hAnsi="仿宋" w:cs="仿宋" w:hint="eastAsia"/>
            <w:lang w:eastAsia="zh-CN"/>
          </w:rPr>
          <w:t>(三)、进度安排注意事项</w:t>
        </w:r>
        <w:r>
          <w:tab/>
        </w:r>
        <w:r>
          <w:fldChar w:fldCharType="begin"/>
        </w:r>
        <w:r>
          <w:instrText xml:space="preserve"> PAGEREF _Toc808 \h </w:instrText>
        </w:r>
        <w:r>
          <w:fldChar w:fldCharType="separate"/>
        </w:r>
        <w:r>
          <w:t>31</w:t>
        </w:r>
        <w:r>
          <w:fldChar w:fldCharType="end"/>
        </w:r>
      </w:hyperlink>
    </w:p>
    <w:p>
      <w:pPr>
        <w:pStyle w:val="TOC2"/>
        <w:tabs>
          <w:tab w:val="right" w:leader="dot" w:pos="8306"/>
        </w:tabs>
      </w:pPr>
      <w:hyperlink w:anchor="_Toc4430" w:history="1">
        <w:r>
          <w:rPr>
            <w:rFonts w:ascii="仿宋" w:eastAsia="仿宋" w:hAnsi="仿宋" w:cs="仿宋" w:hint="eastAsia"/>
            <w:lang w:eastAsia="zh-CN"/>
          </w:rPr>
          <w:t>(四)、人力资源配置</w:t>
        </w:r>
        <w:r>
          <w:tab/>
        </w:r>
        <w:r>
          <w:fldChar w:fldCharType="begin"/>
        </w:r>
        <w:r>
          <w:instrText xml:space="preserve"> PAGEREF _Toc4430 \h </w:instrText>
        </w:r>
        <w:r>
          <w:fldChar w:fldCharType="separate"/>
        </w:r>
        <w:r>
          <w:t>33</w:t>
        </w:r>
        <w:r>
          <w:fldChar w:fldCharType="end"/>
        </w:r>
      </w:hyperlink>
    </w:p>
    <w:p>
      <w:pPr>
        <w:pStyle w:val="TOC1"/>
        <w:tabs>
          <w:tab w:val="right" w:leader="dot" w:pos="8306"/>
        </w:tabs>
      </w:pPr>
      <w:hyperlink w:anchor="_Toc13579" w:history="1">
        <w:r>
          <w:rPr>
            <w:rFonts w:ascii="仿宋" w:eastAsia="仿宋" w:hAnsi="仿宋" w:cs="仿宋" w:hint="eastAsia"/>
            <w:lang w:eastAsia="zh-CN"/>
          </w:rPr>
          <w:t>八、超纯水和超纯溶剂的制备设备项目社会影响</w:t>
        </w:r>
        <w:r>
          <w:tab/>
        </w:r>
        <w:r>
          <w:fldChar w:fldCharType="begin"/>
        </w:r>
        <w:r>
          <w:instrText xml:space="preserve"> PAGEREF _Toc13579 \h </w:instrText>
        </w:r>
        <w:r>
          <w:fldChar w:fldCharType="separate"/>
        </w:r>
        <w:r>
          <w:t>34</w:t>
        </w:r>
        <w:r>
          <w:fldChar w:fldCharType="end"/>
        </w:r>
      </w:hyperlink>
    </w:p>
    <w:p>
      <w:pPr>
        <w:pStyle w:val="TOC2"/>
        <w:tabs>
          <w:tab w:val="right" w:leader="dot" w:pos="8306"/>
        </w:tabs>
      </w:pPr>
      <w:hyperlink w:anchor="_Toc24696" w:history="1">
        <w:r>
          <w:rPr>
            <w:rFonts w:ascii="仿宋" w:eastAsia="仿宋" w:hAnsi="仿宋" w:cs="仿宋" w:hint="eastAsia"/>
            <w:lang w:eastAsia="zh-CN"/>
          </w:rPr>
          <w:t>(一)、社会责任与义务</w:t>
        </w:r>
        <w:r>
          <w:tab/>
        </w:r>
        <w:r>
          <w:fldChar w:fldCharType="begin"/>
        </w:r>
        <w:r>
          <w:instrText xml:space="preserve"> PAGEREF _Toc24696 \h </w:instrText>
        </w:r>
        <w:r>
          <w:fldChar w:fldCharType="separate"/>
        </w:r>
        <w:r>
          <w:t>34</w:t>
        </w:r>
        <w:r>
          <w:fldChar w:fldCharType="end"/>
        </w:r>
      </w:hyperlink>
    </w:p>
    <w:p>
      <w:pPr>
        <w:pStyle w:val="TOC2"/>
        <w:tabs>
          <w:tab w:val="right" w:leader="dot" w:pos="8306"/>
        </w:tabs>
      </w:pPr>
      <w:hyperlink w:anchor="_Toc22197" w:history="1">
        <w:r>
          <w:rPr>
            <w:rFonts w:ascii="仿宋" w:eastAsia="仿宋" w:hAnsi="仿宋" w:cs="仿宋" w:hint="eastAsia"/>
            <w:lang w:eastAsia="zh-CN"/>
          </w:rPr>
          <w:t>(二)、社会参与与沟通</w:t>
        </w:r>
        <w:r>
          <w:tab/>
        </w:r>
        <w:r>
          <w:fldChar w:fldCharType="begin"/>
        </w:r>
        <w:r>
          <w:instrText xml:space="preserve"> PAGEREF _Toc22197 \h </w:instrText>
        </w:r>
        <w:r>
          <w:fldChar w:fldCharType="separate"/>
        </w:r>
        <w:r>
          <w:t>35</w:t>
        </w:r>
        <w:r>
          <w:fldChar w:fldCharType="end"/>
        </w:r>
      </w:hyperlink>
    </w:p>
    <w:p>
      <w:pPr>
        <w:pStyle w:val="TOC1"/>
        <w:tabs>
          <w:tab w:val="right" w:leader="dot" w:pos="8306"/>
        </w:tabs>
      </w:pPr>
      <w:hyperlink w:anchor="_Toc5412" w:history="1">
        <w:r>
          <w:rPr>
            <w:rFonts w:ascii="仿宋" w:eastAsia="仿宋" w:hAnsi="仿宋" w:cs="仿宋" w:hint="eastAsia"/>
            <w:lang w:eastAsia="zh-CN"/>
          </w:rPr>
          <w:t>九、超纯水和超纯溶剂的制备设备项目环境影响分析</w:t>
        </w:r>
        <w:r>
          <w:tab/>
        </w:r>
        <w:r>
          <w:fldChar w:fldCharType="begin"/>
        </w:r>
        <w:r>
          <w:instrText xml:space="preserve"> PAGEREF _Toc5412 \h </w:instrText>
        </w:r>
        <w:r>
          <w:fldChar w:fldCharType="separate"/>
        </w:r>
        <w:r>
          <w:t>36</w:t>
        </w:r>
        <w:r>
          <w:fldChar w:fldCharType="end"/>
        </w:r>
      </w:hyperlink>
    </w:p>
    <w:p>
      <w:pPr>
        <w:pStyle w:val="TOC2"/>
        <w:tabs>
          <w:tab w:val="right" w:leader="dot" w:pos="8306"/>
        </w:tabs>
      </w:pPr>
      <w:hyperlink w:anchor="_Toc5712" w:history="1">
        <w:r>
          <w:rPr>
            <w:rFonts w:ascii="仿宋" w:eastAsia="仿宋" w:hAnsi="仿宋" w:cs="仿宋" w:hint="eastAsia"/>
            <w:lang w:eastAsia="zh-CN"/>
          </w:rPr>
          <w:t>(一)、建设区域环境质量现状</w:t>
        </w:r>
        <w:r>
          <w:tab/>
        </w:r>
        <w:r>
          <w:fldChar w:fldCharType="begin"/>
        </w:r>
        <w:r>
          <w:instrText xml:space="preserve"> PAGEREF _Toc5712 \h </w:instrText>
        </w:r>
        <w:r>
          <w:fldChar w:fldCharType="separate"/>
        </w:r>
        <w:r>
          <w:t>36</w:t>
        </w:r>
        <w:r>
          <w:fldChar w:fldCharType="end"/>
        </w:r>
      </w:hyperlink>
    </w:p>
    <w:p>
      <w:pPr>
        <w:pStyle w:val="TOC2"/>
        <w:tabs>
          <w:tab w:val="right" w:leader="dot" w:pos="8306"/>
        </w:tabs>
      </w:pPr>
      <w:hyperlink w:anchor="_Toc15757" w:history="1">
        <w:r>
          <w:rPr>
            <w:rFonts w:ascii="仿宋" w:eastAsia="仿宋" w:hAnsi="仿宋" w:cs="仿宋" w:hint="eastAsia"/>
            <w:lang w:eastAsia="zh-CN"/>
          </w:rPr>
          <w:t>(二)、建设期环境保护</w:t>
        </w:r>
        <w:r>
          <w:tab/>
        </w:r>
        <w:r>
          <w:fldChar w:fldCharType="begin"/>
        </w:r>
        <w:r>
          <w:instrText xml:space="preserve"> PAGEREF _Toc15757 \h </w:instrText>
        </w:r>
        <w:r>
          <w:fldChar w:fldCharType="separate"/>
        </w:r>
        <w:r>
          <w:t>37</w:t>
        </w:r>
        <w:r>
          <w:fldChar w:fldCharType="end"/>
        </w:r>
      </w:hyperlink>
    </w:p>
    <w:p>
      <w:pPr>
        <w:pStyle w:val="TOC2"/>
        <w:tabs>
          <w:tab w:val="right" w:leader="dot" w:pos="8306"/>
        </w:tabs>
      </w:pPr>
      <w:hyperlink w:anchor="_Toc26372" w:history="1">
        <w:r>
          <w:rPr>
            <w:rFonts w:ascii="仿宋" w:eastAsia="仿宋" w:hAnsi="仿宋" w:cs="仿宋" w:hint="eastAsia"/>
            <w:lang w:eastAsia="zh-CN"/>
          </w:rPr>
          <w:t>(三)、运营期环境保护</w:t>
        </w:r>
        <w:r>
          <w:tab/>
        </w:r>
        <w:r>
          <w:fldChar w:fldCharType="begin"/>
        </w:r>
        <w:r>
          <w:instrText xml:space="preserve"> PAGEREF _Toc26372 \h </w:instrText>
        </w:r>
        <w:r>
          <w:fldChar w:fldCharType="separate"/>
        </w:r>
        <w:r>
          <w:t>39</w:t>
        </w:r>
        <w:r>
          <w:fldChar w:fldCharType="end"/>
        </w:r>
      </w:hyperlink>
    </w:p>
    <w:p>
      <w:pPr>
        <w:pStyle w:val="TOC2"/>
        <w:tabs>
          <w:tab w:val="right" w:leader="dot" w:pos="8306"/>
        </w:tabs>
      </w:pPr>
      <w:hyperlink w:anchor="_Toc28362" w:history="1">
        <w:r>
          <w:rPr>
            <w:rFonts w:ascii="仿宋" w:eastAsia="仿宋" w:hAnsi="仿宋" w:cs="仿宋" w:hint="eastAsia"/>
            <w:lang w:eastAsia="zh-CN"/>
          </w:rPr>
          <w:t>(四)、超纯水和超纯溶剂的制备设备项目建设对区域经济的影响</w:t>
        </w:r>
        <w:r>
          <w:tab/>
        </w:r>
        <w:r>
          <w:fldChar w:fldCharType="begin"/>
        </w:r>
        <w:r>
          <w:instrText xml:space="preserve"> PAGEREF _Toc28362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90" w:history="1">
        <w:r>
          <w:rPr>
            <w:rFonts w:ascii="仿宋" w:eastAsia="仿宋" w:hAnsi="仿宋" w:cs="仿宋" w:hint="eastAsia"/>
            <w:lang w:eastAsia="zh-CN"/>
          </w:rPr>
          <w:t>(五)、废弃物处理</w:t>
        </w:r>
        <w:r>
          <w:tab/>
        </w:r>
        <w:r>
          <w:fldChar w:fldCharType="begin"/>
        </w:r>
        <w:r>
          <w:instrText xml:space="preserve"> PAGEREF _Toc26090 \h </w:instrText>
        </w:r>
        <w:r>
          <w:fldChar w:fldCharType="separate"/>
        </w:r>
        <w:r>
          <w:t>42</w:t>
        </w:r>
        <w:r>
          <w:fldChar w:fldCharType="end"/>
        </w:r>
      </w:hyperlink>
    </w:p>
    <w:p>
      <w:pPr>
        <w:pStyle w:val="TOC2"/>
        <w:tabs>
          <w:tab w:val="right" w:leader="dot" w:pos="8306"/>
        </w:tabs>
      </w:pPr>
      <w:hyperlink w:anchor="_Toc17508" w:history="1">
        <w:r>
          <w:rPr>
            <w:rFonts w:ascii="仿宋" w:eastAsia="仿宋" w:hAnsi="仿宋" w:cs="仿宋" w:hint="eastAsia"/>
            <w:lang w:eastAsia="zh-CN"/>
          </w:rPr>
          <w:t>(六)、特殊环境影响分析</w:t>
        </w:r>
        <w:r>
          <w:tab/>
        </w:r>
        <w:r>
          <w:fldChar w:fldCharType="begin"/>
        </w:r>
        <w:r>
          <w:instrText xml:space="preserve"> PAGEREF _Toc17508 \h </w:instrText>
        </w:r>
        <w:r>
          <w:fldChar w:fldCharType="separate"/>
        </w:r>
        <w:r>
          <w:t>44</w:t>
        </w:r>
        <w:r>
          <w:fldChar w:fldCharType="end"/>
        </w:r>
      </w:hyperlink>
    </w:p>
    <w:p>
      <w:pPr>
        <w:pStyle w:val="TOC2"/>
        <w:tabs>
          <w:tab w:val="right" w:leader="dot" w:pos="8306"/>
        </w:tabs>
      </w:pPr>
      <w:hyperlink w:anchor="_Toc20441" w:history="1">
        <w:r>
          <w:rPr>
            <w:rFonts w:ascii="仿宋" w:eastAsia="仿宋" w:hAnsi="仿宋" w:cs="仿宋" w:hint="eastAsia"/>
            <w:lang w:eastAsia="zh-CN"/>
          </w:rPr>
          <w:t>(七)、清洁生产</w:t>
        </w:r>
        <w:r>
          <w:tab/>
        </w:r>
        <w:r>
          <w:fldChar w:fldCharType="begin"/>
        </w:r>
        <w:r>
          <w:instrText xml:space="preserve"> PAGEREF _Toc20441 \h </w:instrText>
        </w:r>
        <w:r>
          <w:fldChar w:fldCharType="separate"/>
        </w:r>
        <w:r>
          <w:t>45</w:t>
        </w:r>
        <w:r>
          <w:fldChar w:fldCharType="end"/>
        </w:r>
      </w:hyperlink>
    </w:p>
    <w:p>
      <w:pPr>
        <w:pStyle w:val="TOC2"/>
        <w:tabs>
          <w:tab w:val="right" w:leader="dot" w:pos="8306"/>
        </w:tabs>
      </w:pPr>
      <w:hyperlink w:anchor="_Toc8577" w:history="1">
        <w:r>
          <w:rPr>
            <w:rFonts w:ascii="仿宋" w:eastAsia="仿宋" w:hAnsi="仿宋" w:cs="仿宋" w:hint="eastAsia"/>
            <w:lang w:eastAsia="zh-CN"/>
          </w:rPr>
          <w:t>(八)、环境保护综合评价</w:t>
        </w:r>
        <w:r>
          <w:tab/>
        </w:r>
        <w:r>
          <w:fldChar w:fldCharType="begin"/>
        </w:r>
        <w:r>
          <w:instrText xml:space="preserve"> PAGEREF _Toc8577 \h </w:instrText>
        </w:r>
        <w:r>
          <w:fldChar w:fldCharType="separate"/>
        </w:r>
        <w:r>
          <w:t>46</w:t>
        </w:r>
        <w:r>
          <w:fldChar w:fldCharType="end"/>
        </w:r>
      </w:hyperlink>
    </w:p>
    <w:p>
      <w:pPr>
        <w:pStyle w:val="TOC1"/>
        <w:tabs>
          <w:tab w:val="right" w:leader="dot" w:pos="8306"/>
        </w:tabs>
      </w:pPr>
      <w:hyperlink w:anchor="_Toc22111" w:history="1">
        <w:r>
          <w:rPr>
            <w:rFonts w:ascii="仿宋" w:eastAsia="仿宋" w:hAnsi="仿宋" w:cs="仿宋" w:hint="eastAsia"/>
            <w:lang w:eastAsia="zh-CN"/>
          </w:rPr>
          <w:t>十、超纯水和超纯溶剂的制备设备项目创新与研发</w:t>
        </w:r>
        <w:r>
          <w:tab/>
        </w:r>
        <w:r>
          <w:fldChar w:fldCharType="begin"/>
        </w:r>
        <w:r>
          <w:instrText xml:space="preserve"> PAGEREF _Toc22111 \h </w:instrText>
        </w:r>
        <w:r>
          <w:fldChar w:fldCharType="separate"/>
        </w:r>
        <w:r>
          <w:t>48</w:t>
        </w:r>
        <w:r>
          <w:fldChar w:fldCharType="end"/>
        </w:r>
      </w:hyperlink>
    </w:p>
    <w:p>
      <w:pPr>
        <w:pStyle w:val="TOC2"/>
        <w:tabs>
          <w:tab w:val="right" w:leader="dot" w:pos="8306"/>
        </w:tabs>
      </w:pPr>
      <w:hyperlink w:anchor="_Toc26740" w:history="1">
        <w:r>
          <w:rPr>
            <w:rFonts w:ascii="仿宋" w:eastAsia="仿宋" w:hAnsi="仿宋" w:cs="仿宋" w:hint="eastAsia"/>
            <w:lang w:eastAsia="zh-CN"/>
          </w:rPr>
          <w:t>(一)、创新策略与方向</w:t>
        </w:r>
        <w:r>
          <w:tab/>
        </w:r>
        <w:r>
          <w:fldChar w:fldCharType="begin"/>
        </w:r>
        <w:r>
          <w:instrText xml:space="preserve"> PAGEREF _Toc26740 \h </w:instrText>
        </w:r>
        <w:r>
          <w:fldChar w:fldCharType="separate"/>
        </w:r>
        <w:r>
          <w:t>48</w:t>
        </w:r>
        <w:r>
          <w:fldChar w:fldCharType="end"/>
        </w:r>
      </w:hyperlink>
    </w:p>
    <w:p>
      <w:pPr>
        <w:pStyle w:val="TOC2"/>
        <w:tabs>
          <w:tab w:val="right" w:leader="dot" w:pos="8306"/>
        </w:tabs>
      </w:pPr>
      <w:hyperlink w:anchor="_Toc21912" w:history="1">
        <w:r>
          <w:rPr>
            <w:rFonts w:ascii="仿宋" w:eastAsia="仿宋" w:hAnsi="仿宋" w:cs="仿宋" w:hint="eastAsia"/>
            <w:lang w:eastAsia="zh-CN"/>
          </w:rPr>
          <w:t>(二)、研发规划与投入</w:t>
        </w:r>
        <w:r>
          <w:tab/>
        </w:r>
        <w:r>
          <w:fldChar w:fldCharType="begin"/>
        </w:r>
        <w:r>
          <w:instrText xml:space="preserve"> PAGEREF _Toc21912 \h </w:instrText>
        </w:r>
        <w:r>
          <w:fldChar w:fldCharType="separate"/>
        </w:r>
        <w:r>
          <w:t>49</w:t>
        </w:r>
        <w:r>
          <w:fldChar w:fldCharType="end"/>
        </w:r>
      </w:hyperlink>
    </w:p>
    <w:p>
      <w:pPr>
        <w:pStyle w:val="TOC1"/>
        <w:tabs>
          <w:tab w:val="right" w:leader="dot" w:pos="8306"/>
        </w:tabs>
      </w:pPr>
      <w:hyperlink w:anchor="_Toc17327" w:history="1">
        <w:r>
          <w:rPr>
            <w:rFonts w:ascii="仿宋" w:eastAsia="仿宋" w:hAnsi="仿宋" w:cs="仿宋" w:hint="eastAsia"/>
            <w:lang w:eastAsia="zh-CN"/>
          </w:rPr>
          <w:t>十一、超纯水和超纯溶剂的制备设备项目人力资源培养与发展</w:t>
        </w:r>
        <w:r>
          <w:tab/>
        </w:r>
        <w:r>
          <w:fldChar w:fldCharType="begin"/>
        </w:r>
        <w:r>
          <w:instrText xml:space="preserve"> PAGEREF _Toc17327 \h </w:instrText>
        </w:r>
        <w:r>
          <w:fldChar w:fldCharType="separate"/>
        </w:r>
        <w:r>
          <w:t>51</w:t>
        </w:r>
        <w:r>
          <w:fldChar w:fldCharType="end"/>
        </w:r>
      </w:hyperlink>
    </w:p>
    <w:p>
      <w:pPr>
        <w:pStyle w:val="TOC2"/>
        <w:tabs>
          <w:tab w:val="right" w:leader="dot" w:pos="8306"/>
        </w:tabs>
      </w:pPr>
      <w:hyperlink w:anchor="_Toc14800" w:history="1">
        <w:r>
          <w:rPr>
            <w:rFonts w:ascii="仿宋" w:eastAsia="仿宋" w:hAnsi="仿宋" w:cs="仿宋" w:hint="eastAsia"/>
            <w:lang w:eastAsia="zh-CN"/>
          </w:rPr>
          <w:t>(一)、人才需求与规划</w:t>
        </w:r>
        <w:r>
          <w:tab/>
        </w:r>
        <w:r>
          <w:fldChar w:fldCharType="begin"/>
        </w:r>
        <w:r>
          <w:instrText xml:space="preserve"> PAGEREF _Toc14800 \h </w:instrText>
        </w:r>
        <w:r>
          <w:fldChar w:fldCharType="separate"/>
        </w:r>
        <w:r>
          <w:t>51</w:t>
        </w:r>
        <w:r>
          <w:fldChar w:fldCharType="end"/>
        </w:r>
      </w:hyperlink>
    </w:p>
    <w:p>
      <w:pPr>
        <w:pStyle w:val="TOC2"/>
        <w:tabs>
          <w:tab w:val="right" w:leader="dot" w:pos="8306"/>
        </w:tabs>
      </w:pPr>
      <w:hyperlink w:anchor="_Toc13165" w:history="1">
        <w:r>
          <w:rPr>
            <w:rFonts w:ascii="仿宋" w:eastAsia="仿宋" w:hAnsi="仿宋" w:cs="仿宋" w:hint="eastAsia"/>
            <w:lang w:eastAsia="zh-CN"/>
          </w:rPr>
          <w:t>(二)、培训与发展计划</w:t>
        </w:r>
        <w:r>
          <w:tab/>
        </w:r>
        <w:r>
          <w:fldChar w:fldCharType="begin"/>
        </w:r>
        <w:r>
          <w:instrText xml:space="preserve"> PAGEREF _Toc13165 \h </w:instrText>
        </w:r>
        <w:r>
          <w:fldChar w:fldCharType="separate"/>
        </w:r>
        <w:r>
          <w:t>51</w:t>
        </w:r>
        <w:r>
          <w:fldChar w:fldCharType="end"/>
        </w:r>
      </w:hyperlink>
    </w:p>
    <w:p>
      <w:pPr>
        <w:pStyle w:val="TOC1"/>
        <w:tabs>
          <w:tab w:val="right" w:leader="dot" w:pos="8306"/>
        </w:tabs>
      </w:pPr>
      <w:hyperlink w:anchor="_Toc6921" w:history="1">
        <w:r>
          <w:rPr>
            <w:rFonts w:ascii="仿宋" w:eastAsia="仿宋" w:hAnsi="仿宋" w:cs="仿宋" w:hint="eastAsia"/>
            <w:lang w:eastAsia="zh-CN"/>
          </w:rPr>
          <w:t>十二、生产安全保护</w:t>
        </w:r>
        <w:r>
          <w:tab/>
        </w:r>
        <w:r>
          <w:fldChar w:fldCharType="begin"/>
        </w:r>
        <w:r>
          <w:instrText xml:space="preserve"> PAGEREF _Toc6921 \h </w:instrText>
        </w:r>
        <w:r>
          <w:fldChar w:fldCharType="separate"/>
        </w:r>
        <w:r>
          <w:t>52</w:t>
        </w:r>
        <w:r>
          <w:fldChar w:fldCharType="end"/>
        </w:r>
      </w:hyperlink>
    </w:p>
    <w:p>
      <w:pPr>
        <w:pStyle w:val="TOC2"/>
        <w:tabs>
          <w:tab w:val="right" w:leader="dot" w:pos="8306"/>
        </w:tabs>
      </w:pPr>
      <w:hyperlink w:anchor="_Toc28048" w:history="1">
        <w:r>
          <w:rPr>
            <w:rFonts w:ascii="仿宋" w:eastAsia="仿宋" w:hAnsi="仿宋" w:cs="仿宋" w:hint="eastAsia"/>
            <w:lang w:eastAsia="zh-CN"/>
          </w:rPr>
          <w:t>(一)、消防安全</w:t>
        </w:r>
        <w:r>
          <w:tab/>
        </w:r>
        <w:r>
          <w:fldChar w:fldCharType="begin"/>
        </w:r>
        <w:r>
          <w:instrText xml:space="preserve"> PAGEREF _Toc28048 \h </w:instrText>
        </w:r>
        <w:r>
          <w:fldChar w:fldCharType="separate"/>
        </w:r>
        <w:r>
          <w:t>52</w:t>
        </w:r>
        <w:r>
          <w:fldChar w:fldCharType="end"/>
        </w:r>
      </w:hyperlink>
    </w:p>
    <w:p>
      <w:pPr>
        <w:pStyle w:val="TOC2"/>
        <w:tabs>
          <w:tab w:val="right" w:leader="dot" w:pos="8306"/>
        </w:tabs>
      </w:pPr>
      <w:hyperlink w:anchor="_Toc1500" w:history="1">
        <w:r>
          <w:rPr>
            <w:rFonts w:ascii="仿宋" w:eastAsia="仿宋" w:hAnsi="仿宋" w:cs="仿宋" w:hint="eastAsia"/>
            <w:lang w:eastAsia="zh-CN"/>
          </w:rPr>
          <w:t>(二)、防火防爆总图布置措施</w:t>
        </w:r>
        <w:r>
          <w:tab/>
        </w:r>
        <w:r>
          <w:fldChar w:fldCharType="begin"/>
        </w:r>
        <w:r>
          <w:instrText xml:space="preserve"> PAGEREF _Toc1500 \h </w:instrText>
        </w:r>
        <w:r>
          <w:fldChar w:fldCharType="separate"/>
        </w:r>
        <w:r>
          <w:t>54</w:t>
        </w:r>
        <w:r>
          <w:fldChar w:fldCharType="end"/>
        </w:r>
      </w:hyperlink>
    </w:p>
    <w:p>
      <w:pPr>
        <w:pStyle w:val="TOC2"/>
        <w:tabs>
          <w:tab w:val="right" w:leader="dot" w:pos="8306"/>
        </w:tabs>
      </w:pPr>
      <w:hyperlink w:anchor="_Toc18820" w:history="1">
        <w:r>
          <w:rPr>
            <w:rFonts w:ascii="仿宋" w:eastAsia="仿宋" w:hAnsi="仿宋" w:cs="仿宋" w:hint="eastAsia"/>
            <w:lang w:eastAsia="zh-CN"/>
          </w:rPr>
          <w:t>(三)、自然灾害防范措施</w:t>
        </w:r>
        <w:r>
          <w:tab/>
        </w:r>
        <w:r>
          <w:fldChar w:fldCharType="begin"/>
        </w:r>
        <w:r>
          <w:instrText xml:space="preserve"> PAGEREF _Toc18820 \h </w:instrText>
        </w:r>
        <w:r>
          <w:fldChar w:fldCharType="separate"/>
        </w:r>
        <w:r>
          <w:t>55</w:t>
        </w:r>
        <w:r>
          <w:fldChar w:fldCharType="end"/>
        </w:r>
      </w:hyperlink>
    </w:p>
    <w:p>
      <w:pPr>
        <w:pStyle w:val="TOC2"/>
        <w:tabs>
          <w:tab w:val="right" w:leader="dot" w:pos="8306"/>
        </w:tabs>
      </w:pPr>
      <w:hyperlink w:anchor="_Toc25688" w:history="1">
        <w:r>
          <w:rPr>
            <w:rFonts w:ascii="仿宋" w:eastAsia="仿宋" w:hAnsi="仿宋" w:cs="仿宋" w:hint="eastAsia"/>
            <w:lang w:eastAsia="zh-CN"/>
          </w:rPr>
          <w:t>(四)、安全色及安全标志使用要求</w:t>
        </w:r>
        <w:r>
          <w:tab/>
        </w:r>
        <w:r>
          <w:fldChar w:fldCharType="begin"/>
        </w:r>
        <w:r>
          <w:instrText xml:space="preserve"> PAGEREF _Toc25688 \h </w:instrText>
        </w:r>
        <w:r>
          <w:fldChar w:fldCharType="separate"/>
        </w:r>
        <w:r>
          <w:t>56</w:t>
        </w:r>
        <w:r>
          <w:fldChar w:fldCharType="end"/>
        </w:r>
      </w:hyperlink>
    </w:p>
    <w:p>
      <w:pPr>
        <w:pStyle w:val="TOC2"/>
        <w:tabs>
          <w:tab w:val="right" w:leader="dot" w:pos="8306"/>
        </w:tabs>
      </w:pPr>
      <w:hyperlink w:anchor="_Toc40" w:history="1">
        <w:r>
          <w:rPr>
            <w:rFonts w:ascii="仿宋" w:eastAsia="仿宋" w:hAnsi="仿宋" w:cs="仿宋" w:hint="eastAsia"/>
            <w:lang w:eastAsia="zh-CN"/>
          </w:rPr>
          <w:t>(五)、防尘防毒措施</w:t>
        </w:r>
        <w:r>
          <w:tab/>
        </w:r>
        <w:r>
          <w:fldChar w:fldCharType="begin"/>
        </w:r>
        <w:r>
          <w:instrText xml:space="preserve"> PAGEREF _Toc40 \h </w:instrText>
        </w:r>
        <w:r>
          <w:fldChar w:fldCharType="separate"/>
        </w:r>
        <w:r>
          <w:t>57</w:t>
        </w:r>
        <w:r>
          <w:fldChar w:fldCharType="end"/>
        </w:r>
      </w:hyperlink>
    </w:p>
    <w:p>
      <w:pPr>
        <w:pStyle w:val="TOC2"/>
        <w:tabs>
          <w:tab w:val="right" w:leader="dot" w:pos="8306"/>
        </w:tabs>
      </w:pPr>
      <w:hyperlink w:anchor="_Toc20161" w:history="1">
        <w:r>
          <w:rPr>
            <w:rFonts w:ascii="仿宋" w:eastAsia="仿宋" w:hAnsi="仿宋" w:cs="仿宋" w:hint="eastAsia"/>
            <w:lang w:eastAsia="zh-CN"/>
          </w:rPr>
          <w:t>(六)、防静电、触电防护及防雷措施</w:t>
        </w:r>
        <w:r>
          <w:tab/>
        </w:r>
        <w:r>
          <w:fldChar w:fldCharType="begin"/>
        </w:r>
        <w:r>
          <w:instrText xml:space="preserve"> PAGEREF _Toc20161 \h </w:instrText>
        </w:r>
        <w:r>
          <w:fldChar w:fldCharType="separate"/>
        </w:r>
        <w:r>
          <w:t>58</w:t>
        </w:r>
        <w:r>
          <w:fldChar w:fldCharType="end"/>
        </w:r>
      </w:hyperlink>
    </w:p>
    <w:p>
      <w:pPr>
        <w:pStyle w:val="TOC2"/>
        <w:tabs>
          <w:tab w:val="right" w:leader="dot" w:pos="8306"/>
        </w:tabs>
      </w:pPr>
      <w:hyperlink w:anchor="_Toc2058" w:history="1">
        <w:r>
          <w:rPr>
            <w:rFonts w:ascii="仿宋" w:eastAsia="仿宋" w:hAnsi="仿宋" w:cs="仿宋" w:hint="eastAsia"/>
            <w:lang w:eastAsia="zh-CN"/>
          </w:rPr>
          <w:t>(七)、机械设备安全保障措施</w:t>
        </w:r>
        <w:r>
          <w:tab/>
        </w:r>
        <w:r>
          <w:fldChar w:fldCharType="begin"/>
        </w:r>
        <w:r>
          <w:instrText xml:space="preserve"> PAGEREF _Toc2058 \h </w:instrText>
        </w:r>
        <w:r>
          <w:fldChar w:fldCharType="separate"/>
        </w:r>
        <w:r>
          <w:t>60</w:t>
        </w:r>
        <w:r>
          <w:fldChar w:fldCharType="end"/>
        </w:r>
      </w:hyperlink>
    </w:p>
    <w:p>
      <w:pPr>
        <w:pStyle w:val="TOC1"/>
        <w:tabs>
          <w:tab w:val="right" w:leader="dot" w:pos="8306"/>
        </w:tabs>
      </w:pPr>
      <w:hyperlink w:anchor="_Toc2912" w:history="1">
        <w:r>
          <w:rPr>
            <w:rFonts w:ascii="仿宋" w:eastAsia="仿宋" w:hAnsi="仿宋" w:cs="仿宋" w:hint="eastAsia"/>
            <w:lang w:eastAsia="zh-CN"/>
          </w:rPr>
          <w:t>十三、营销与推广策略</w:t>
        </w:r>
        <w:r>
          <w:tab/>
        </w:r>
        <w:r>
          <w:fldChar w:fldCharType="begin"/>
        </w:r>
        <w:r>
          <w:instrText xml:space="preserve"> PAGEREF _Toc2912 \h </w:instrText>
        </w:r>
        <w:r>
          <w:fldChar w:fldCharType="separate"/>
        </w:r>
        <w:r>
          <w:t>61</w:t>
        </w:r>
        <w:r>
          <w:fldChar w:fldCharType="end"/>
        </w:r>
      </w:hyperlink>
    </w:p>
    <w:p>
      <w:pPr>
        <w:pStyle w:val="TOC2"/>
        <w:tabs>
          <w:tab w:val="right" w:leader="dot" w:pos="8306"/>
        </w:tabs>
      </w:pPr>
      <w:hyperlink w:anchor="_Toc22652" w:history="1">
        <w:r>
          <w:rPr>
            <w:rFonts w:ascii="仿宋" w:eastAsia="仿宋" w:hAnsi="仿宋" w:cs="仿宋" w:hint="eastAsia"/>
            <w:lang w:eastAsia="zh-CN"/>
          </w:rPr>
          <w:t>(一)、产品/服务定位与特点</w:t>
        </w:r>
        <w:r>
          <w:tab/>
        </w:r>
        <w:r>
          <w:fldChar w:fldCharType="begin"/>
        </w:r>
        <w:r>
          <w:instrText xml:space="preserve"> PAGEREF _Toc22652 \h </w:instrText>
        </w:r>
        <w:r>
          <w:fldChar w:fldCharType="separate"/>
        </w:r>
        <w:r>
          <w:t>61</w:t>
        </w:r>
        <w:r>
          <w:fldChar w:fldCharType="end"/>
        </w:r>
      </w:hyperlink>
    </w:p>
    <w:p>
      <w:pPr>
        <w:pStyle w:val="TOC2"/>
        <w:tabs>
          <w:tab w:val="right" w:leader="dot" w:pos="8306"/>
        </w:tabs>
      </w:pPr>
      <w:hyperlink w:anchor="_Toc32196" w:history="1">
        <w:r>
          <w:rPr>
            <w:rFonts w:ascii="仿宋" w:eastAsia="仿宋" w:hAnsi="仿宋" w:cs="仿宋" w:hint="eastAsia"/>
            <w:lang w:eastAsia="zh-CN"/>
          </w:rPr>
          <w:t>(二)、市场定位与竞争分析</w:t>
        </w:r>
        <w:r>
          <w:tab/>
        </w:r>
        <w:r>
          <w:fldChar w:fldCharType="begin"/>
        </w:r>
        <w:r>
          <w:instrText xml:space="preserve"> PAGEREF _Toc32196 \h </w:instrText>
        </w:r>
        <w:r>
          <w:fldChar w:fldCharType="separate"/>
        </w:r>
        <w:r>
          <w:t>62</w:t>
        </w:r>
        <w:r>
          <w:fldChar w:fldCharType="end"/>
        </w:r>
      </w:hyperlink>
    </w:p>
    <w:p>
      <w:pPr>
        <w:pStyle w:val="TOC2"/>
        <w:tabs>
          <w:tab w:val="right" w:leader="dot" w:pos="8306"/>
        </w:tabs>
      </w:pPr>
      <w:hyperlink w:anchor="_Toc29252" w:history="1">
        <w:r>
          <w:rPr>
            <w:rFonts w:ascii="仿宋" w:eastAsia="仿宋" w:hAnsi="仿宋" w:cs="仿宋" w:hint="eastAsia"/>
            <w:lang w:eastAsia="zh-CN"/>
          </w:rPr>
          <w:t>(三)、营销渠道与策略</w:t>
        </w:r>
        <w:r>
          <w:tab/>
        </w:r>
        <w:r>
          <w:fldChar w:fldCharType="begin"/>
        </w:r>
        <w:r>
          <w:instrText xml:space="preserve"> PAGEREF _Toc29252 \h </w:instrText>
        </w:r>
        <w:r>
          <w:fldChar w:fldCharType="separate"/>
        </w:r>
        <w:r>
          <w:t>64</w:t>
        </w:r>
        <w:r>
          <w:fldChar w:fldCharType="end"/>
        </w:r>
      </w:hyperlink>
    </w:p>
    <w:p>
      <w:pPr>
        <w:pStyle w:val="TOC2"/>
        <w:tabs>
          <w:tab w:val="right" w:leader="dot" w:pos="8306"/>
        </w:tabs>
      </w:pPr>
      <w:hyperlink w:anchor="_Toc2344" w:history="1">
        <w:r>
          <w:rPr>
            <w:rFonts w:ascii="仿宋" w:eastAsia="仿宋" w:hAnsi="仿宋" w:cs="仿宋" w:hint="eastAsia"/>
            <w:lang w:eastAsia="zh-CN"/>
          </w:rPr>
          <w:t>(四)、推广与宣传活动</w:t>
        </w:r>
        <w:r>
          <w:tab/>
        </w:r>
        <w:r>
          <w:fldChar w:fldCharType="begin"/>
        </w:r>
        <w:r>
          <w:instrText xml:space="preserve"> PAGEREF _Toc2344 \h </w:instrText>
        </w:r>
        <w:r>
          <w:fldChar w:fldCharType="separate"/>
        </w:r>
        <w:r>
          <w:t>65</w:t>
        </w:r>
        <w:r>
          <w:fldChar w:fldCharType="end"/>
        </w:r>
      </w:hyperlink>
    </w:p>
    <w:p>
      <w:pPr>
        <w:pStyle w:val="TOC1"/>
        <w:tabs>
          <w:tab w:val="right" w:leader="dot" w:pos="8306"/>
        </w:tabs>
      </w:pPr>
      <w:hyperlink w:anchor="_Toc17153" w:history="1">
        <w:r>
          <w:rPr>
            <w:rFonts w:ascii="仿宋" w:eastAsia="仿宋" w:hAnsi="仿宋" w:cs="仿宋" w:hint="eastAsia"/>
            <w:lang w:eastAsia="zh-CN"/>
          </w:rPr>
          <w:t>十四、超纯水和超纯溶剂的制备设备项目实施时间节点</w:t>
        </w:r>
        <w:r>
          <w:tab/>
        </w:r>
        <w:r>
          <w:fldChar w:fldCharType="begin"/>
        </w:r>
        <w:r>
          <w:instrText xml:space="preserve"> PAGEREF _Toc17153 \h </w:instrText>
        </w:r>
        <w:r>
          <w:fldChar w:fldCharType="separate"/>
        </w:r>
        <w:r>
          <w:t>70</w:t>
        </w:r>
        <w:r>
          <w:fldChar w:fldCharType="end"/>
        </w:r>
      </w:hyperlink>
    </w:p>
    <w:p>
      <w:pPr>
        <w:pStyle w:val="TOC2"/>
        <w:tabs>
          <w:tab w:val="right" w:leader="dot" w:pos="8306"/>
        </w:tabs>
      </w:pPr>
      <w:hyperlink w:anchor="_Toc18132" w:history="1">
        <w:r>
          <w:rPr>
            <w:rFonts w:ascii="仿宋" w:eastAsia="仿宋" w:hAnsi="仿宋" w:cs="仿宋" w:hint="eastAsia"/>
            <w:lang w:eastAsia="zh-CN"/>
          </w:rPr>
          <w:t>(一)、超纯水和超纯溶剂的制备设备项目启动阶段时间节点</w:t>
        </w:r>
        <w:r>
          <w:tab/>
        </w:r>
        <w:r>
          <w:fldChar w:fldCharType="begin"/>
        </w:r>
        <w:r>
          <w:instrText xml:space="preserve"> PAGEREF _Toc18132 \h </w:instrText>
        </w:r>
        <w:r>
          <w:fldChar w:fldCharType="separate"/>
        </w:r>
        <w:r>
          <w:t>70</w:t>
        </w:r>
        <w:r>
          <w:fldChar w:fldCharType="end"/>
        </w:r>
      </w:hyperlink>
    </w:p>
    <w:p>
      <w:pPr>
        <w:pStyle w:val="TOC2"/>
        <w:tabs>
          <w:tab w:val="right" w:leader="dot" w:pos="8306"/>
        </w:tabs>
      </w:pPr>
      <w:hyperlink w:anchor="_Toc24695" w:history="1">
        <w:r>
          <w:rPr>
            <w:rFonts w:ascii="仿宋" w:eastAsia="仿宋" w:hAnsi="仿宋" w:cs="仿宋" w:hint="eastAsia"/>
            <w:lang w:eastAsia="zh-CN"/>
          </w:rPr>
          <w:t>(二)、超纯水和超纯溶剂的制备设备项目执行阶段时间节点</w:t>
        </w:r>
        <w:r>
          <w:tab/>
        </w:r>
        <w:r>
          <w:fldChar w:fldCharType="begin"/>
        </w:r>
        <w:r>
          <w:instrText xml:space="preserve"> PAGEREF _Toc24695 \h </w:instrText>
        </w:r>
        <w:r>
          <w:fldChar w:fldCharType="separate"/>
        </w:r>
        <w:r>
          <w:t>72</w:t>
        </w:r>
        <w:r>
          <w:fldChar w:fldCharType="end"/>
        </w:r>
      </w:hyperlink>
    </w:p>
    <w:p>
      <w:pPr>
        <w:pStyle w:val="TOC2"/>
        <w:tabs>
          <w:tab w:val="right" w:leader="dot" w:pos="8306"/>
        </w:tabs>
      </w:pPr>
      <w:hyperlink w:anchor="_Toc14510" w:history="1">
        <w:r>
          <w:rPr>
            <w:rFonts w:ascii="仿宋" w:eastAsia="仿宋" w:hAnsi="仿宋" w:cs="仿宋" w:hint="eastAsia"/>
            <w:lang w:eastAsia="zh-CN"/>
          </w:rPr>
          <w:t>(三)、超纯水和超纯溶剂的制备设备项目完成阶段时间节点</w:t>
        </w:r>
        <w:r>
          <w:tab/>
        </w:r>
        <w:r>
          <w:fldChar w:fldCharType="begin"/>
        </w:r>
        <w:r>
          <w:instrText xml:space="preserve"> PAGEREF _Toc14510 \h </w:instrText>
        </w:r>
        <w:r>
          <w:fldChar w:fldCharType="separate"/>
        </w:r>
        <w:r>
          <w:t>73</w:t>
        </w:r>
        <w:r>
          <w:fldChar w:fldCharType="end"/>
        </w:r>
      </w:hyperlink>
    </w:p>
    <w:p>
      <w:pPr>
        <w:pStyle w:val="TOC1"/>
        <w:tabs>
          <w:tab w:val="right" w:leader="dot" w:pos="8306"/>
        </w:tabs>
      </w:pPr>
      <w:hyperlink w:anchor="_Toc17237" w:history="1">
        <w:r>
          <w:rPr>
            <w:rFonts w:ascii="仿宋" w:eastAsia="仿宋" w:hAnsi="仿宋" w:cs="仿宋" w:hint="eastAsia"/>
            <w:lang w:eastAsia="zh-CN"/>
          </w:rPr>
          <w:t>十五、风险识别与分类</w:t>
        </w:r>
        <w:r>
          <w:tab/>
        </w:r>
        <w:r>
          <w:fldChar w:fldCharType="begin"/>
        </w:r>
        <w:r>
          <w:instrText xml:space="preserve"> PAGEREF _Toc17237 \h </w:instrText>
        </w:r>
        <w:r>
          <w:fldChar w:fldCharType="separate"/>
        </w:r>
        <w:r>
          <w:t>74</w:t>
        </w:r>
        <w:r>
          <w:fldChar w:fldCharType="end"/>
        </w:r>
      </w:hyperlink>
    </w:p>
    <w:p>
      <w:pPr>
        <w:pStyle w:val="TOC2"/>
        <w:tabs>
          <w:tab w:val="right" w:leader="dot" w:pos="8306"/>
        </w:tabs>
      </w:pPr>
      <w:hyperlink w:anchor="_Toc8554" w:history="1">
        <w:r>
          <w:rPr>
            <w:rFonts w:ascii="仿宋" w:eastAsia="仿宋" w:hAnsi="仿宋" w:cs="仿宋" w:hint="eastAsia"/>
            <w:lang w:eastAsia="zh-CN"/>
          </w:rPr>
          <w:t>(一)、风险识别</w:t>
        </w:r>
        <w:r>
          <w:tab/>
        </w:r>
        <w:r>
          <w:fldChar w:fldCharType="begin"/>
        </w:r>
        <w:r>
          <w:instrText xml:space="preserve"> PAGEREF _Toc8554 \h </w:instrText>
        </w:r>
        <w:r>
          <w:fldChar w:fldCharType="separate"/>
        </w:r>
        <w:r>
          <w:t>74</w:t>
        </w:r>
        <w:r>
          <w:fldChar w:fldCharType="end"/>
        </w:r>
      </w:hyperlink>
    </w:p>
    <w:p>
      <w:pPr>
        <w:pStyle w:val="TOC2"/>
        <w:tabs>
          <w:tab w:val="right" w:leader="dot" w:pos="8306"/>
        </w:tabs>
      </w:pPr>
      <w:hyperlink w:anchor="_Toc9538" w:history="1">
        <w:r>
          <w:rPr>
            <w:rFonts w:ascii="仿宋" w:eastAsia="仿宋" w:hAnsi="仿宋" w:cs="仿宋" w:hint="eastAsia"/>
            <w:lang w:eastAsia="zh-CN"/>
          </w:rPr>
          <w:t>(二)、风险分类</w:t>
        </w:r>
        <w:r>
          <w:tab/>
        </w:r>
        <w:r>
          <w:fldChar w:fldCharType="begin"/>
        </w:r>
        <w:r>
          <w:instrText xml:space="preserve"> PAGEREF _Toc9538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8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840"/>
      <w:r>
        <w:rPr>
          <w:rFonts w:ascii="仿宋" w:eastAsia="仿宋" w:hAnsi="仿宋" w:cs="仿宋" w:hint="eastAsia"/>
          <w:sz w:val="28"/>
          <w:lang w:eastAsia="zh-CN"/>
        </w:rPr>
        <w:t>一、超纯水和超纯溶剂的制备设备项目可持续发展</w:t>
      </w:r>
      <w:bookmarkEnd w:id="2"/>
    </w:p>
    <w:p>
      <w:pPr>
        <w:pStyle w:val="Heading2"/>
        <w:rPr>
          <w:rFonts w:ascii="仿宋" w:eastAsia="仿宋" w:hAnsi="仿宋" w:cs="仿宋" w:hint="eastAsia"/>
          <w:lang w:eastAsia="zh-CN"/>
        </w:rPr>
      </w:pPr>
      <w:bookmarkStart w:id="3" w:name="_Toc165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纯水和超纯溶剂的制备设备项目中，超纯水和超纯溶剂的制备设备项目团队着眼于未来，明确了可持续发展的战略方向。制定的具体可持续发展目标包括降低资源使用、采用环保技术、最大化社会效益等。这一步骤不仅有助于超纯水和超纯溶剂的制备设备项目在环保和社会责任方面达到最高标准，也为未来提供了明确的指引，确保超纯水和超纯溶剂的制备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可持续实践的融入超纯水和超纯溶剂的制备设备项目管理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超纯水和超纯溶剂的制备设备项目管理周期。从超纯水和超纯溶剂的制备设备项目规划开始，超纯水和超纯溶剂的制备设备项目团队就考虑了环境和社会的因素。在执行阶段，超纯水和超纯溶剂的制备设备项目团队积极推动绿色技术的应用，优化资源利用。此外，关注员工的社会责任，通过培训和沟通活动提高员工对可持续发展的认知，使他们能够在日常工作中践行可持续实践。这些举措不仅为超纯水和超纯溶剂的制备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073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超纯水和超纯溶剂的制备设备项目的可持续发展理念，我们深信环保与社会责任是超纯水和超纯溶剂的制备设备项目成功的关键支柱。在超纯水和超纯溶剂的制备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超纯水和超纯溶剂的制备设备项目团队通过引入先进的环保技术、建立高效的废物处理系统以及推动能源节约措施，积极履行环保责任。定期的环保监测和评估确保超纯水和超纯溶剂的制备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纯水和超纯溶剂的制备设备项目不仅致力于自身可持续发展，还注重对社会的回馈。通过支持社区超纯水和超纯溶剂的制备设备项目、参与慈善事业、提供培训机会等方式，超纯水和超纯溶剂的制备设备项目积极履行社会责任。与当地社区建立积极互动，关注员工的工作与生活平衡，以及员工的身心健康，是超纯水和超纯溶剂的制备设备项目在社会责任层面的关键举措。这样的实践不仅增强了超纯水和超纯溶剂的制备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6471"/>
      <w:r>
        <w:rPr>
          <w:rFonts w:ascii="仿宋" w:eastAsia="仿宋" w:hAnsi="仿宋" w:cs="仿宋" w:hint="eastAsia"/>
          <w:sz w:val="28"/>
          <w:lang w:eastAsia="zh-CN"/>
        </w:rPr>
        <w:t>二、超纯水和超纯溶剂的制备设备项目选址可行性分析</w:t>
      </w:r>
      <w:bookmarkEnd w:id="5"/>
    </w:p>
    <w:p>
      <w:pPr>
        <w:pStyle w:val="Heading2"/>
        <w:rPr>
          <w:rFonts w:ascii="仿宋" w:eastAsia="仿宋" w:hAnsi="仿宋" w:cs="仿宋" w:hint="eastAsia"/>
          <w:lang w:eastAsia="zh-CN"/>
        </w:rPr>
      </w:pPr>
      <w:bookmarkStart w:id="6" w:name="_Toc18974"/>
      <w:r>
        <w:rPr>
          <w:rFonts w:ascii="仿宋" w:eastAsia="仿宋" w:hAnsi="仿宋" w:cs="仿宋" w:hint="eastAsia"/>
          <w:lang w:eastAsia="zh-CN"/>
        </w:rPr>
        <w:t>(一)、超纯水和超纯溶剂的制备设备项目选址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该超纯水和超纯溶剂的制备设备项目选址位于XX省XX市XX区XXX街道</w:t>
      </w:r>
    </w:p>
    <w:p>
      <w:pPr>
        <w:pStyle w:val="Heading2"/>
        <w:ind w:firstLine="560" w:firstLineChars="200"/>
        <w:rPr>
          <w:rFonts w:ascii="仿宋" w:eastAsia="仿宋" w:hAnsi="仿宋" w:cs="仿宋" w:hint="eastAsia"/>
          <w:sz w:val="28"/>
          <w:lang w:eastAsia="zh-CN"/>
        </w:rPr>
      </w:pPr>
      <w:bookmarkStart w:id="7" w:name="_Toc22628"/>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超纯水和超纯溶剂的制备设备项目的征地面积将根据超纯水和超纯溶剂的制备设备项目的实际规模和需求进行精确规划。具体面积XXX平方米，旨在确保超纯水和超纯溶剂的制备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净用地面积是在征地面积基础上去除不可利用面积后的实际可开发用地。具体面积XXX平方米，考虑到环保、交通、安全等多方面因素，以确保超纯水和超纯溶剂的制备设备项目在整体利用效率上达到最优。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超纯水和超纯溶剂的制备设备项目计划建设的建筑总规模具体面积XXX平方米。这一规模的确定综合考虑了超纯水和超纯溶剂的制备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超纯水和超纯溶剂的制备设备项目用地中被规划为绿地的比例。具体面积XXX平方米，旨在通过合理规划绿地，改善超纯水和超纯溶剂的制备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容积率是用地上可以建设的建筑总体积与用地面积之比。具体面积XXX，通过合理的容积率规划，确保超纯水和超纯溶剂的制备设备项目建筑规模与周边环境和谐共生。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超纯水和超纯溶剂的制备设备项目选址与当地城市规划相一致，具体面积XXX平方米。通过与城市规划部门深入沟通，确保超纯水和超纯溶剂的制备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超纯水和超纯溶剂的制备设备项目选址符合当地产业政策，具体面积XXX平方米。这包括超纯水和超纯溶剂的制备设备项目对当地经济的促进作用，以及对相关产业的带动效应，确保超纯水和超纯溶剂的制备设备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超纯水和超纯溶剂的制备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超纯水和超纯溶剂的制备设备项目选址具备必要的公共设施配套，具体面积XXX平方米。这包括交通便利性、教育、医疗等基础设施，以提高居民生活品质，使得超纯水和超纯溶剂的制备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考虑用地总体要求对当地社会稳定性的影响，具体面积XXX平方米。通过深入了解当地社区反馈，确保超纯水和超纯溶剂的制备设备项目的选址和建设过程对当地社会和谐稳定产生积极作用。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超纯水和超纯溶剂的制备设备项目选址不仅符合法规和规划，还在实际操作中具有可行性。这一全面规划将为超纯水和超纯溶剂的制备设备项目的成功实施提供坚实的基础，确保超纯水和超纯溶剂的制备设备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0929"/>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超纯水和超纯溶剂的制备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超纯水和超纯溶剂的制备设备项目的设备规划和空间设计中，我们将采取灵活设备布局的措施。设备布局将根据实际需求进行灵活设计，避免不必要的浪费。通过合理规划设备摆放位置，我们将提高设备的利用率，减少设备间距，以确保超纯水和超纯溶剂的制备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超纯水和超纯溶剂的制备设备项目内部引入共享设施的概念，例如共享会议室、办公区等。通过这种方式，我们可以减少对资源的重复建设，提高资源共享效率，从而减小超纯水和超纯溶剂的制备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529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超纯水和超纯溶剂的制备设备项目的总图布置中，我们将不同功能区域进行明确的规划，以最大程度满足超纯水和超纯溶剂的制备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514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超纯水和超纯溶剂的制备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超纯水和超纯溶剂的制备设备项目对环境的影响是综合评价的重要因素之一。我们将详细考虑选址周边的自然环境、生态保护区、水源地等情况，确保超纯水和超纯溶剂的制备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超纯水和超纯溶剂的制备设备项目所在地的相关政策，确保超纯水和超纯溶剂的制备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考虑到社会稳定性对企业运营的重要性，我们将评估选址地区的社会安全情况、劳工关系、社区反馈等方面，以确保超纯水和超纯溶剂的制备设备项目的建设和运营不会受到社会稳定性的负面影响。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最后，我们将综合考虑用地成本，包括土地购置费用、土地开发成本等。通过对用地成本的详细评估，我们能够做出更为精确的经济效益分析，为超纯水和超纯溶剂的制备设备项目的投资决策提供有力支持。</w:t>
      </w:r>
    </w:p>
    <w:p>
      <w:pPr>
        <w:pStyle w:val="Heading1"/>
        <w:ind w:firstLine="560" w:firstLineChars="200"/>
        <w:rPr>
          <w:rFonts w:ascii="仿宋" w:eastAsia="仿宋" w:hAnsi="仿宋" w:cs="仿宋" w:hint="eastAsia"/>
          <w:sz w:val="28"/>
          <w:lang w:eastAsia="zh-CN"/>
        </w:rPr>
      </w:pPr>
      <w:bookmarkStart w:id="11" w:name="_Toc18111"/>
      <w:r>
        <w:rPr>
          <w:rFonts w:ascii="仿宋" w:eastAsia="仿宋" w:hAnsi="仿宋" w:cs="仿宋" w:hint="eastAsia"/>
          <w:sz w:val="28"/>
          <w:lang w:eastAsia="zh-CN"/>
        </w:rPr>
        <w:t>三、超纯水和超纯溶剂的制备设备项目建设背景及必要性分析</w:t>
      </w:r>
      <w:bookmarkEnd w:id="11"/>
    </w:p>
    <w:p>
      <w:pPr>
        <w:pStyle w:val="Heading2"/>
        <w:rPr>
          <w:rFonts w:ascii="仿宋" w:eastAsia="仿宋" w:hAnsi="仿宋" w:cs="仿宋" w:hint="eastAsia"/>
          <w:lang w:eastAsia="zh-CN"/>
        </w:rPr>
      </w:pPr>
      <w:bookmarkStart w:id="12" w:name="_Toc128"/>
      <w:r>
        <w:rPr>
          <w:rFonts w:ascii="仿宋" w:eastAsia="仿宋" w:hAnsi="仿宋" w:cs="仿宋" w:hint="eastAsia"/>
          <w:lang w:eastAsia="zh-CN"/>
        </w:rPr>
        <w:t>(一)、超纯水和超纯溶剂的制备设备项目背景分析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超纯水和超纯溶剂的制备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超纯水和超纯溶剂的制备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超纯水和超纯溶剂的制备设备项目在这个潮流中的定位。同时，我们将关注行业内涌现的新兴机遇，以便超纯水和超纯溶剂的制备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超纯水和超纯溶剂的制备设备项目提供了强大的发展动力。我们将聚焦于行业内最新的技术发展趋势，包括但不限于人工智能、大数据分析、物联网等领域。通过深度的技术研究，我们将确保超纯水和超纯溶剂的制备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超纯水和超纯溶剂的制备设备项目发展的源泉。我们将投入更多的精力对市场需求进行深入剖析，超越表面的需求，深入挖掘潜在的市场痛点和机遇。通过对市场需求的细致了解，超纯水和超纯溶剂的制备设备项目将更有针对性地设计解决方案，满足市场的多样化需求，从而更好地促进超纯水和超纯溶剂的制备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超纯水和超纯溶剂的制备设备项目战略至关重要。我们将对竞争态势进行更为深入的分析，包括但不限于市场份额、产品特点、客户满意度等多个维度。通过深度的竞争分析，超纯水和超纯溶剂的制备设备项目将能够更准确地把握市场脉搏，制定具有竞争力的超纯水和超纯溶剂的制备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超纯水和超纯溶剂的制备设备项目的发展具有直接的影响。我们将进行更为全面的法规和政策分析，了解行业发展中的潜在法律风险和合规挑战。通过充分了解和遵守相关法规，超纯水和超纯溶剂的制备设备项目将确保在法律框架内合法合规运营，为超纯水和超纯溶剂的制备设备项目的稳健发展提供有力支持。</w:t>
      </w:r>
    </w:p>
    <w:p>
      <w:pPr>
        <w:pStyle w:val="Heading2"/>
        <w:ind w:firstLine="560" w:firstLineChars="200"/>
        <w:rPr>
          <w:rFonts w:ascii="仿宋" w:eastAsia="仿宋" w:hAnsi="仿宋" w:cs="仿宋" w:hint="eastAsia"/>
          <w:sz w:val="28"/>
          <w:lang w:eastAsia="zh-CN"/>
        </w:rPr>
      </w:pPr>
      <w:bookmarkStart w:id="13" w:name="_Toc11873"/>
      <w:r>
        <w:rPr>
          <w:rFonts w:ascii="仿宋" w:eastAsia="仿宋" w:hAnsi="仿宋" w:cs="仿宋" w:hint="eastAsia"/>
          <w:sz w:val="28"/>
          <w:lang w:eastAsia="zh-CN"/>
        </w:rPr>
        <w:t>(二)、超纯水和超纯溶剂的制备设备项目建设必要性分析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超纯水和超纯溶剂的制备设备项目建设的迫切性源于对行业发展趋势的深刻洞察。我们正处于一个行业变革的时代，科技创新、数字化转型成为企业发展的关键动力。超纯水和超纯溶剂的制备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超纯水和超纯溶剂的制备设备项目建设不仅仅是为了跟上潮流，更是为了通过技术创新推动企业的持续发展。通过引入先进的技术和解决方案，超纯水和超纯溶剂的制备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超纯水和超纯溶剂的制备设备项目的建设成为必然选择，通过提高产品质量、拓展服务领域，从而在竞争中获得更多的机会。超纯水和超纯溶剂的制备设备项目建设将使企业更好地适应市场需求，增强市场竞争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超纯水和超纯溶剂的制备设备项目建设的必要性体现在对客户需求更精准的满足。通过超纯水和超纯溶剂的制备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超纯水和超纯溶剂的制备设备项目建设的背后是对企业持续创新的追求。只有通过不断创新，企业才能在竞争中立于不败之地。超纯水和超纯溶剂的制备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325"/>
      <w:r>
        <w:rPr>
          <w:rFonts w:ascii="仿宋" w:eastAsia="仿宋" w:hAnsi="仿宋" w:cs="仿宋" w:hint="eastAsia"/>
          <w:sz w:val="28"/>
          <w:lang w:eastAsia="zh-CN"/>
        </w:rPr>
        <w:t>四、超纯水和超纯溶剂的制备设备项目土建工程</w:t>
      </w:r>
      <w:bookmarkEnd w:id="14"/>
    </w:p>
    <w:p>
      <w:pPr>
        <w:pStyle w:val="Heading2"/>
        <w:rPr>
          <w:rFonts w:ascii="仿宋" w:eastAsia="仿宋" w:hAnsi="仿宋" w:cs="仿宋" w:hint="eastAsia"/>
          <w:lang w:eastAsia="zh-CN"/>
        </w:rPr>
      </w:pPr>
      <w:bookmarkStart w:id="15" w:name="_Toc26928"/>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在超纯水和超纯溶剂的制备设备项目的建筑工程设计中，我们将秉承一系列重要的设计原则，以确保超纯水和超纯溶剂的制备设备项目建筑在功能、美观、可持续性等方面达到最佳效果。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首要原则是确保建筑的功能性得到最大化的发挥。我们将充分理解超纯水和超纯溶剂的制备设备项目的实际需求，合理布局各个功能区域，保证建筑在满足业务需求的同时，提供高效的工作环境。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在建筑设计中，我们将综合考虑建设和运营成本。通过精细的经济效益分析，确保设计方案在高效利用资源的同时，对超纯水和超纯溶剂的制备设备项目的长期盈利能力有积极的贡献。</w:t>
      </w:r>
    </w:p>
    <w:p>
      <w:pPr>
        <w:pStyle w:val="Heading2"/>
        <w:ind w:firstLine="560" w:firstLineChars="200"/>
        <w:rPr>
          <w:rFonts w:ascii="仿宋" w:eastAsia="仿宋" w:hAnsi="仿宋" w:cs="仿宋" w:hint="eastAsia"/>
          <w:sz w:val="28"/>
          <w:lang w:eastAsia="zh-CN"/>
        </w:rPr>
      </w:pPr>
      <w:bookmarkStart w:id="16" w:name="_Toc27927"/>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超纯水和超纯溶剂的制备设备项目的土建工程设计中，我们将精准设定设计年限，结合超纯水和超纯溶剂的制备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https://d.book118.com/495022021243011123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超纯水和超纯溶剂的制备设备项目规划设计蓝图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02433B"/>
    <w:rsid w:val="090243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50220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2024-03-02T20:11:00Z</dcterms:created>
  <dcterms:modified xsi:type="dcterms:W3CDTF">2024-03-02T20:12:08Z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33D701186EE343EBA93634F6C14EDC9F_11</vt:lpwstr>
  </property>
  <property fmtid="{D5CDD505-2E9C-101B-9397-08002B2CF9AE}" pid="3" name="KSOProductBuildVer">
    <vt:lpwstr>2052-12.1.0.16388</vt:lpwstr>
  </property>
</Properties>
</file>