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电驱动石油深井钻机项目规划设计纲要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378" w:history="1">
        <w:r>
          <w:rPr>
            <w:rFonts w:ascii="仿宋" w:eastAsia="仿宋" w:hAnsi="仿宋" w:cs="仿宋" w:hint="eastAsia"/>
            <w:lang w:eastAsia="zh-CN"/>
          </w:rPr>
          <w:t>前言</w:t>
        </w:r>
        <w:r>
          <w:tab/>
        </w:r>
        <w:r>
          <w:fldChar w:fldCharType="begin"/>
        </w:r>
        <w:r>
          <w:instrText xml:space="preserve"> PAGEREF _Toc29378 \h </w:instrText>
        </w:r>
        <w:r>
          <w:fldChar w:fldCharType="separate"/>
        </w:r>
        <w:r>
          <w:t>3</w:t>
        </w:r>
        <w:r>
          <w:fldChar w:fldCharType="end"/>
        </w:r>
      </w:hyperlink>
    </w:p>
    <w:p>
      <w:pPr>
        <w:pStyle w:val="TOC1"/>
        <w:tabs>
          <w:tab w:val="right" w:leader="dot" w:pos="8306"/>
        </w:tabs>
      </w:pPr>
      <w:hyperlink w:anchor="_Toc16969" w:history="1">
        <w:r>
          <w:rPr>
            <w:rFonts w:ascii="仿宋" w:eastAsia="仿宋" w:hAnsi="仿宋" w:cs="仿宋" w:hint="eastAsia"/>
            <w:lang w:eastAsia="zh-CN"/>
          </w:rPr>
          <w:t>一、电驱动石油深井钻机项目建设背景及必要性分析</w:t>
        </w:r>
        <w:r>
          <w:tab/>
        </w:r>
        <w:r>
          <w:fldChar w:fldCharType="begin"/>
        </w:r>
        <w:r>
          <w:instrText xml:space="preserve"> PAGEREF _Toc16969 \h </w:instrText>
        </w:r>
        <w:r>
          <w:fldChar w:fldCharType="separate"/>
        </w:r>
        <w:r>
          <w:t>3</w:t>
        </w:r>
        <w:r>
          <w:fldChar w:fldCharType="end"/>
        </w:r>
      </w:hyperlink>
    </w:p>
    <w:p>
      <w:pPr>
        <w:pStyle w:val="TOC2"/>
        <w:tabs>
          <w:tab w:val="right" w:leader="dot" w:pos="8306"/>
        </w:tabs>
      </w:pPr>
      <w:hyperlink w:anchor="_Toc14445" w:history="1">
        <w:r>
          <w:rPr>
            <w:rFonts w:ascii="仿宋" w:eastAsia="仿宋" w:hAnsi="仿宋" w:cs="仿宋" w:hint="eastAsia"/>
            <w:lang w:eastAsia="zh-CN"/>
          </w:rPr>
          <w:t>(一)、电驱动石油深井钻机项目背景分析</w:t>
        </w:r>
        <w:r>
          <w:tab/>
        </w:r>
        <w:r>
          <w:fldChar w:fldCharType="begin"/>
        </w:r>
        <w:r>
          <w:instrText xml:space="preserve"> PAGEREF _Toc14445 \h </w:instrText>
        </w:r>
        <w:r>
          <w:fldChar w:fldCharType="separate"/>
        </w:r>
        <w:r>
          <w:t>3</w:t>
        </w:r>
        <w:r>
          <w:fldChar w:fldCharType="end"/>
        </w:r>
      </w:hyperlink>
    </w:p>
    <w:p>
      <w:pPr>
        <w:pStyle w:val="TOC2"/>
        <w:tabs>
          <w:tab w:val="right" w:leader="dot" w:pos="8306"/>
        </w:tabs>
      </w:pPr>
      <w:hyperlink w:anchor="_Toc4682" w:history="1">
        <w:r>
          <w:rPr>
            <w:rFonts w:ascii="仿宋" w:eastAsia="仿宋" w:hAnsi="仿宋" w:cs="仿宋" w:hint="eastAsia"/>
            <w:lang w:eastAsia="zh-CN"/>
          </w:rPr>
          <w:t>(二)、电驱动石油深井钻机项目建设必要性分析</w:t>
        </w:r>
        <w:r>
          <w:tab/>
        </w:r>
        <w:r>
          <w:fldChar w:fldCharType="begin"/>
        </w:r>
        <w:r>
          <w:instrText xml:space="preserve"> PAGEREF _Toc4682 \h </w:instrText>
        </w:r>
        <w:r>
          <w:fldChar w:fldCharType="separate"/>
        </w:r>
        <w:r>
          <w:t>5</w:t>
        </w:r>
        <w:r>
          <w:fldChar w:fldCharType="end"/>
        </w:r>
      </w:hyperlink>
    </w:p>
    <w:p>
      <w:pPr>
        <w:pStyle w:val="TOC1"/>
        <w:tabs>
          <w:tab w:val="right" w:leader="dot" w:pos="8306"/>
        </w:tabs>
      </w:pPr>
      <w:hyperlink w:anchor="_Toc20617" w:history="1">
        <w:r>
          <w:rPr>
            <w:rFonts w:ascii="仿宋" w:eastAsia="仿宋" w:hAnsi="仿宋" w:cs="仿宋" w:hint="eastAsia"/>
            <w:lang w:eastAsia="zh-CN"/>
          </w:rPr>
          <w:t>二、电驱动石油深井钻机项目可持续发展</w:t>
        </w:r>
        <w:r>
          <w:tab/>
        </w:r>
        <w:r>
          <w:fldChar w:fldCharType="begin"/>
        </w:r>
        <w:r>
          <w:instrText xml:space="preserve"> PAGEREF _Toc20617 \h </w:instrText>
        </w:r>
        <w:r>
          <w:fldChar w:fldCharType="separate"/>
        </w:r>
        <w:r>
          <w:t>6</w:t>
        </w:r>
        <w:r>
          <w:fldChar w:fldCharType="end"/>
        </w:r>
      </w:hyperlink>
    </w:p>
    <w:p>
      <w:pPr>
        <w:pStyle w:val="TOC2"/>
        <w:tabs>
          <w:tab w:val="right" w:leader="dot" w:pos="8306"/>
        </w:tabs>
      </w:pPr>
      <w:hyperlink w:anchor="_Toc28727" w:history="1">
        <w:r>
          <w:rPr>
            <w:rFonts w:ascii="仿宋" w:eastAsia="仿宋" w:hAnsi="仿宋" w:cs="仿宋" w:hint="eastAsia"/>
            <w:lang w:eastAsia="zh-CN"/>
          </w:rPr>
          <w:t>(一)、可持续战略与实践</w:t>
        </w:r>
        <w:r>
          <w:tab/>
        </w:r>
        <w:r>
          <w:fldChar w:fldCharType="begin"/>
        </w:r>
        <w:r>
          <w:instrText xml:space="preserve"> PAGEREF _Toc28727 \h </w:instrText>
        </w:r>
        <w:r>
          <w:fldChar w:fldCharType="separate"/>
        </w:r>
        <w:r>
          <w:t>6</w:t>
        </w:r>
        <w:r>
          <w:fldChar w:fldCharType="end"/>
        </w:r>
      </w:hyperlink>
    </w:p>
    <w:p>
      <w:pPr>
        <w:pStyle w:val="TOC2"/>
        <w:tabs>
          <w:tab w:val="right" w:leader="dot" w:pos="8306"/>
        </w:tabs>
      </w:pPr>
      <w:hyperlink w:anchor="_Toc2073" w:history="1">
        <w:r>
          <w:rPr>
            <w:rFonts w:ascii="仿宋" w:eastAsia="仿宋" w:hAnsi="仿宋" w:cs="仿宋" w:hint="eastAsia"/>
            <w:lang w:eastAsia="zh-CN"/>
          </w:rPr>
          <w:t>(二)、环保与社会责任</w:t>
        </w:r>
        <w:r>
          <w:tab/>
        </w:r>
        <w:r>
          <w:fldChar w:fldCharType="begin"/>
        </w:r>
        <w:r>
          <w:instrText xml:space="preserve"> PAGEREF _Toc2073 \h </w:instrText>
        </w:r>
        <w:r>
          <w:fldChar w:fldCharType="separate"/>
        </w:r>
        <w:r>
          <w:t>7</w:t>
        </w:r>
        <w:r>
          <w:fldChar w:fldCharType="end"/>
        </w:r>
      </w:hyperlink>
    </w:p>
    <w:p>
      <w:pPr>
        <w:pStyle w:val="TOC1"/>
        <w:tabs>
          <w:tab w:val="right" w:leader="dot" w:pos="8306"/>
        </w:tabs>
      </w:pPr>
      <w:hyperlink w:anchor="_Toc2334" w:history="1">
        <w:r>
          <w:rPr>
            <w:rFonts w:ascii="仿宋" w:eastAsia="仿宋" w:hAnsi="仿宋" w:cs="仿宋" w:hint="eastAsia"/>
            <w:lang w:eastAsia="zh-CN"/>
          </w:rPr>
          <w:t>三、电驱动石油深井钻机项目危机管理</w:t>
        </w:r>
        <w:r>
          <w:tab/>
        </w:r>
        <w:r>
          <w:fldChar w:fldCharType="begin"/>
        </w:r>
        <w:r>
          <w:instrText xml:space="preserve"> PAGEREF _Toc2334 \h </w:instrText>
        </w:r>
        <w:r>
          <w:fldChar w:fldCharType="separate"/>
        </w:r>
        <w:r>
          <w:t>8</w:t>
        </w:r>
        <w:r>
          <w:fldChar w:fldCharType="end"/>
        </w:r>
      </w:hyperlink>
    </w:p>
    <w:p>
      <w:pPr>
        <w:pStyle w:val="TOC2"/>
        <w:tabs>
          <w:tab w:val="right" w:leader="dot" w:pos="8306"/>
        </w:tabs>
      </w:pPr>
      <w:hyperlink w:anchor="_Toc25538" w:history="1">
        <w:r>
          <w:rPr>
            <w:rFonts w:ascii="仿宋" w:eastAsia="仿宋" w:hAnsi="仿宋" w:cs="仿宋" w:hint="eastAsia"/>
            <w:lang w:eastAsia="zh-CN"/>
          </w:rPr>
          <w:t>(一)、危机预警与识别</w:t>
        </w:r>
        <w:r>
          <w:tab/>
        </w:r>
        <w:r>
          <w:fldChar w:fldCharType="begin"/>
        </w:r>
        <w:r>
          <w:instrText xml:space="preserve"> PAGEREF _Toc25538 \h </w:instrText>
        </w:r>
        <w:r>
          <w:fldChar w:fldCharType="separate"/>
        </w:r>
        <w:r>
          <w:t>8</w:t>
        </w:r>
        <w:r>
          <w:fldChar w:fldCharType="end"/>
        </w:r>
      </w:hyperlink>
    </w:p>
    <w:p>
      <w:pPr>
        <w:pStyle w:val="TOC2"/>
        <w:tabs>
          <w:tab w:val="right" w:leader="dot" w:pos="8306"/>
        </w:tabs>
      </w:pPr>
      <w:hyperlink w:anchor="_Toc21425" w:history="1">
        <w:r>
          <w:rPr>
            <w:rFonts w:ascii="仿宋" w:eastAsia="仿宋" w:hAnsi="仿宋" w:cs="仿宋" w:hint="eastAsia"/>
            <w:lang w:eastAsia="zh-CN"/>
          </w:rPr>
          <w:t>(二)、危机应对与恢复</w:t>
        </w:r>
        <w:r>
          <w:tab/>
        </w:r>
        <w:r>
          <w:fldChar w:fldCharType="begin"/>
        </w:r>
        <w:r>
          <w:instrText xml:space="preserve"> PAGEREF _Toc21425 \h </w:instrText>
        </w:r>
        <w:r>
          <w:fldChar w:fldCharType="separate"/>
        </w:r>
        <w:r>
          <w:t>9</w:t>
        </w:r>
        <w:r>
          <w:fldChar w:fldCharType="end"/>
        </w:r>
      </w:hyperlink>
    </w:p>
    <w:p>
      <w:pPr>
        <w:pStyle w:val="TOC1"/>
        <w:tabs>
          <w:tab w:val="right" w:leader="dot" w:pos="8306"/>
        </w:tabs>
      </w:pPr>
      <w:hyperlink w:anchor="_Toc31106" w:history="1">
        <w:r>
          <w:rPr>
            <w:rFonts w:ascii="仿宋" w:eastAsia="仿宋" w:hAnsi="仿宋" w:cs="仿宋" w:hint="eastAsia"/>
            <w:lang w:eastAsia="zh-CN"/>
          </w:rPr>
          <w:t>四、工艺说明</w:t>
        </w:r>
        <w:r>
          <w:tab/>
        </w:r>
        <w:r>
          <w:fldChar w:fldCharType="begin"/>
        </w:r>
        <w:r>
          <w:instrText xml:space="preserve"> PAGEREF _Toc31106 \h </w:instrText>
        </w:r>
        <w:r>
          <w:fldChar w:fldCharType="separate"/>
        </w:r>
        <w:r>
          <w:t>11</w:t>
        </w:r>
        <w:r>
          <w:fldChar w:fldCharType="end"/>
        </w:r>
      </w:hyperlink>
    </w:p>
    <w:p>
      <w:pPr>
        <w:pStyle w:val="TOC2"/>
        <w:tabs>
          <w:tab w:val="right" w:leader="dot" w:pos="8306"/>
        </w:tabs>
      </w:pPr>
      <w:hyperlink w:anchor="_Toc1958" w:history="1">
        <w:r>
          <w:rPr>
            <w:rFonts w:ascii="仿宋" w:eastAsia="仿宋" w:hAnsi="仿宋" w:cs="仿宋" w:hint="eastAsia"/>
            <w:lang w:eastAsia="zh-CN"/>
          </w:rPr>
          <w:t>(一)、技术管理特点</w:t>
        </w:r>
        <w:r>
          <w:tab/>
        </w:r>
        <w:r>
          <w:fldChar w:fldCharType="begin"/>
        </w:r>
        <w:r>
          <w:instrText xml:space="preserve"> PAGEREF _Toc1958 \h </w:instrText>
        </w:r>
        <w:r>
          <w:fldChar w:fldCharType="separate"/>
        </w:r>
        <w:r>
          <w:t>11</w:t>
        </w:r>
        <w:r>
          <w:fldChar w:fldCharType="end"/>
        </w:r>
      </w:hyperlink>
    </w:p>
    <w:p>
      <w:pPr>
        <w:pStyle w:val="TOC2"/>
        <w:tabs>
          <w:tab w:val="right" w:leader="dot" w:pos="8306"/>
        </w:tabs>
      </w:pPr>
      <w:hyperlink w:anchor="_Toc32034" w:history="1">
        <w:r>
          <w:rPr>
            <w:rFonts w:ascii="仿宋" w:eastAsia="仿宋" w:hAnsi="仿宋" w:cs="仿宋" w:hint="eastAsia"/>
            <w:lang w:eastAsia="zh-CN"/>
          </w:rPr>
          <w:t>(二)、电驱动石油深井钻机项目工艺技术设计方案</w:t>
        </w:r>
        <w:r>
          <w:tab/>
        </w:r>
        <w:r>
          <w:fldChar w:fldCharType="begin"/>
        </w:r>
        <w:r>
          <w:instrText xml:space="preserve"> PAGEREF _Toc32034 \h </w:instrText>
        </w:r>
        <w:r>
          <w:fldChar w:fldCharType="separate"/>
        </w:r>
        <w:r>
          <w:t>12</w:t>
        </w:r>
        <w:r>
          <w:fldChar w:fldCharType="end"/>
        </w:r>
      </w:hyperlink>
    </w:p>
    <w:p>
      <w:pPr>
        <w:pStyle w:val="TOC2"/>
        <w:tabs>
          <w:tab w:val="right" w:leader="dot" w:pos="8306"/>
        </w:tabs>
      </w:pPr>
      <w:hyperlink w:anchor="_Toc8421" w:history="1">
        <w:r>
          <w:rPr>
            <w:rFonts w:ascii="仿宋" w:eastAsia="仿宋" w:hAnsi="仿宋" w:cs="仿宋" w:hint="eastAsia"/>
            <w:lang w:eastAsia="zh-CN"/>
          </w:rPr>
          <w:t>(三)、设备选型方案</w:t>
        </w:r>
        <w:r>
          <w:tab/>
        </w:r>
        <w:r>
          <w:fldChar w:fldCharType="begin"/>
        </w:r>
        <w:r>
          <w:instrText xml:space="preserve"> PAGEREF _Toc8421 \h </w:instrText>
        </w:r>
        <w:r>
          <w:fldChar w:fldCharType="separate"/>
        </w:r>
        <w:r>
          <w:t>13</w:t>
        </w:r>
        <w:r>
          <w:fldChar w:fldCharType="end"/>
        </w:r>
      </w:hyperlink>
    </w:p>
    <w:p>
      <w:pPr>
        <w:pStyle w:val="TOC1"/>
        <w:tabs>
          <w:tab w:val="right" w:leader="dot" w:pos="8306"/>
        </w:tabs>
      </w:pPr>
      <w:hyperlink w:anchor="_Toc15655" w:history="1">
        <w:r>
          <w:rPr>
            <w:rFonts w:ascii="仿宋" w:eastAsia="仿宋" w:hAnsi="仿宋" w:cs="仿宋" w:hint="eastAsia"/>
            <w:lang w:eastAsia="zh-CN"/>
          </w:rPr>
          <w:t>五、电驱动石油深井钻机项目选址可行性分析</w:t>
        </w:r>
        <w:r>
          <w:tab/>
        </w:r>
        <w:r>
          <w:fldChar w:fldCharType="begin"/>
        </w:r>
        <w:r>
          <w:instrText xml:space="preserve"> PAGEREF _Toc15655 \h </w:instrText>
        </w:r>
        <w:r>
          <w:fldChar w:fldCharType="separate"/>
        </w:r>
        <w:r>
          <w:t>15</w:t>
        </w:r>
        <w:r>
          <w:fldChar w:fldCharType="end"/>
        </w:r>
      </w:hyperlink>
    </w:p>
    <w:p>
      <w:pPr>
        <w:pStyle w:val="TOC2"/>
        <w:tabs>
          <w:tab w:val="right" w:leader="dot" w:pos="8306"/>
        </w:tabs>
      </w:pPr>
      <w:hyperlink w:anchor="_Toc21811" w:history="1">
        <w:r>
          <w:rPr>
            <w:rFonts w:ascii="仿宋" w:eastAsia="仿宋" w:hAnsi="仿宋" w:cs="仿宋" w:hint="eastAsia"/>
            <w:lang w:eastAsia="zh-CN"/>
          </w:rPr>
          <w:t>(一)、电驱动石油深井钻机项目选址</w:t>
        </w:r>
        <w:r>
          <w:tab/>
        </w:r>
        <w:r>
          <w:fldChar w:fldCharType="begin"/>
        </w:r>
        <w:r>
          <w:instrText xml:space="preserve"> PAGEREF _Toc21811 \h </w:instrText>
        </w:r>
        <w:r>
          <w:fldChar w:fldCharType="separate"/>
        </w:r>
        <w:r>
          <w:t>15</w:t>
        </w:r>
        <w:r>
          <w:fldChar w:fldCharType="end"/>
        </w:r>
      </w:hyperlink>
    </w:p>
    <w:p>
      <w:pPr>
        <w:pStyle w:val="TOC2"/>
        <w:tabs>
          <w:tab w:val="right" w:leader="dot" w:pos="8306"/>
        </w:tabs>
      </w:pPr>
      <w:hyperlink w:anchor="_Toc31817" w:history="1">
        <w:r>
          <w:rPr>
            <w:rFonts w:ascii="仿宋" w:eastAsia="仿宋" w:hAnsi="仿宋" w:cs="仿宋" w:hint="eastAsia"/>
            <w:lang w:eastAsia="zh-CN"/>
          </w:rPr>
          <w:t>(二)、用地控制指标</w:t>
        </w:r>
        <w:r>
          <w:tab/>
        </w:r>
        <w:r>
          <w:fldChar w:fldCharType="begin"/>
        </w:r>
        <w:r>
          <w:instrText xml:space="preserve"> PAGEREF _Toc31817 \h </w:instrText>
        </w:r>
        <w:r>
          <w:fldChar w:fldCharType="separate"/>
        </w:r>
        <w:r>
          <w:t>15</w:t>
        </w:r>
        <w:r>
          <w:fldChar w:fldCharType="end"/>
        </w:r>
      </w:hyperlink>
    </w:p>
    <w:p>
      <w:pPr>
        <w:pStyle w:val="TOC2"/>
        <w:tabs>
          <w:tab w:val="right" w:leader="dot" w:pos="8306"/>
        </w:tabs>
      </w:pPr>
      <w:hyperlink w:anchor="_Toc22597" w:history="1">
        <w:r>
          <w:rPr>
            <w:rFonts w:ascii="仿宋" w:eastAsia="仿宋" w:hAnsi="仿宋" w:cs="仿宋" w:hint="eastAsia"/>
            <w:lang w:eastAsia="zh-CN"/>
          </w:rPr>
          <w:t>(三)、节约用地措施</w:t>
        </w:r>
        <w:r>
          <w:tab/>
        </w:r>
        <w:r>
          <w:fldChar w:fldCharType="begin"/>
        </w:r>
        <w:r>
          <w:instrText xml:space="preserve"> PAGEREF _Toc22597 \h </w:instrText>
        </w:r>
        <w:r>
          <w:fldChar w:fldCharType="separate"/>
        </w:r>
        <w:r>
          <w:t>17</w:t>
        </w:r>
        <w:r>
          <w:fldChar w:fldCharType="end"/>
        </w:r>
      </w:hyperlink>
    </w:p>
    <w:p>
      <w:pPr>
        <w:pStyle w:val="TOC2"/>
        <w:tabs>
          <w:tab w:val="right" w:leader="dot" w:pos="8306"/>
        </w:tabs>
      </w:pPr>
      <w:hyperlink w:anchor="_Toc13252" w:history="1">
        <w:r>
          <w:rPr>
            <w:rFonts w:ascii="仿宋" w:eastAsia="仿宋" w:hAnsi="仿宋" w:cs="仿宋" w:hint="eastAsia"/>
            <w:lang w:eastAsia="zh-CN"/>
          </w:rPr>
          <w:t>(四)、总图布置方案</w:t>
        </w:r>
        <w:r>
          <w:tab/>
        </w:r>
        <w:r>
          <w:fldChar w:fldCharType="begin"/>
        </w:r>
        <w:r>
          <w:instrText xml:space="preserve"> PAGEREF _Toc13252 \h </w:instrText>
        </w:r>
        <w:r>
          <w:fldChar w:fldCharType="separate"/>
        </w:r>
        <w:r>
          <w:t>18</w:t>
        </w:r>
        <w:r>
          <w:fldChar w:fldCharType="end"/>
        </w:r>
      </w:hyperlink>
    </w:p>
    <w:p>
      <w:pPr>
        <w:pStyle w:val="TOC2"/>
        <w:tabs>
          <w:tab w:val="right" w:leader="dot" w:pos="8306"/>
        </w:tabs>
      </w:pPr>
      <w:hyperlink w:anchor="_Toc26976" w:history="1">
        <w:r>
          <w:rPr>
            <w:rFonts w:ascii="仿宋" w:eastAsia="仿宋" w:hAnsi="仿宋" w:cs="仿宋" w:hint="eastAsia"/>
            <w:lang w:eastAsia="zh-CN"/>
          </w:rPr>
          <w:t>(五)、选址综合评价</w:t>
        </w:r>
        <w:r>
          <w:tab/>
        </w:r>
        <w:r>
          <w:fldChar w:fldCharType="begin"/>
        </w:r>
        <w:r>
          <w:instrText xml:space="preserve"> PAGEREF _Toc26976 \h </w:instrText>
        </w:r>
        <w:r>
          <w:fldChar w:fldCharType="separate"/>
        </w:r>
        <w:r>
          <w:t>19</w:t>
        </w:r>
        <w:r>
          <w:fldChar w:fldCharType="end"/>
        </w:r>
      </w:hyperlink>
    </w:p>
    <w:p>
      <w:pPr>
        <w:pStyle w:val="TOC1"/>
        <w:tabs>
          <w:tab w:val="right" w:leader="dot" w:pos="8306"/>
        </w:tabs>
      </w:pPr>
      <w:hyperlink w:anchor="_Toc27893" w:history="1">
        <w:r>
          <w:rPr>
            <w:rFonts w:ascii="仿宋" w:eastAsia="仿宋" w:hAnsi="仿宋" w:cs="仿宋" w:hint="eastAsia"/>
            <w:lang w:eastAsia="zh-CN"/>
          </w:rPr>
          <w:t>六、产品规划分析</w:t>
        </w:r>
        <w:r>
          <w:tab/>
        </w:r>
        <w:r>
          <w:fldChar w:fldCharType="begin"/>
        </w:r>
        <w:r>
          <w:instrText xml:space="preserve"> PAGEREF _Toc27893 \h </w:instrText>
        </w:r>
        <w:r>
          <w:fldChar w:fldCharType="separate"/>
        </w:r>
        <w:r>
          <w:t>20</w:t>
        </w:r>
        <w:r>
          <w:fldChar w:fldCharType="end"/>
        </w:r>
      </w:hyperlink>
    </w:p>
    <w:p>
      <w:pPr>
        <w:pStyle w:val="TOC2"/>
        <w:tabs>
          <w:tab w:val="right" w:leader="dot" w:pos="8306"/>
        </w:tabs>
      </w:pPr>
      <w:hyperlink w:anchor="_Toc16105" w:history="1">
        <w:r>
          <w:rPr>
            <w:rFonts w:ascii="仿宋" w:eastAsia="仿宋" w:hAnsi="仿宋" w:cs="仿宋" w:hint="eastAsia"/>
            <w:lang w:eastAsia="zh-CN"/>
          </w:rPr>
          <w:t>(一)、产品规划</w:t>
        </w:r>
        <w:r>
          <w:tab/>
        </w:r>
        <w:r>
          <w:fldChar w:fldCharType="begin"/>
        </w:r>
        <w:r>
          <w:instrText xml:space="preserve"> PAGEREF _Toc16105 \h </w:instrText>
        </w:r>
        <w:r>
          <w:fldChar w:fldCharType="separate"/>
        </w:r>
        <w:r>
          <w:t>20</w:t>
        </w:r>
        <w:r>
          <w:fldChar w:fldCharType="end"/>
        </w:r>
      </w:hyperlink>
    </w:p>
    <w:p>
      <w:pPr>
        <w:pStyle w:val="TOC2"/>
        <w:tabs>
          <w:tab w:val="right" w:leader="dot" w:pos="8306"/>
        </w:tabs>
      </w:pPr>
      <w:hyperlink w:anchor="_Toc5414" w:history="1">
        <w:r>
          <w:rPr>
            <w:rFonts w:ascii="仿宋" w:eastAsia="仿宋" w:hAnsi="仿宋" w:cs="仿宋" w:hint="eastAsia"/>
            <w:lang w:eastAsia="zh-CN"/>
          </w:rPr>
          <w:t>(二)、建设规模</w:t>
        </w:r>
        <w:r>
          <w:tab/>
        </w:r>
        <w:r>
          <w:fldChar w:fldCharType="begin"/>
        </w:r>
        <w:r>
          <w:instrText xml:space="preserve"> PAGEREF _Toc5414 \h </w:instrText>
        </w:r>
        <w:r>
          <w:fldChar w:fldCharType="separate"/>
        </w:r>
        <w:r>
          <w:t>21</w:t>
        </w:r>
        <w:r>
          <w:fldChar w:fldCharType="end"/>
        </w:r>
      </w:hyperlink>
    </w:p>
    <w:p>
      <w:pPr>
        <w:pStyle w:val="TOC1"/>
        <w:tabs>
          <w:tab w:val="right" w:leader="dot" w:pos="8306"/>
        </w:tabs>
      </w:pPr>
      <w:hyperlink w:anchor="_Toc18328" w:history="1">
        <w:r>
          <w:rPr>
            <w:rFonts w:ascii="仿宋" w:eastAsia="仿宋" w:hAnsi="仿宋" w:cs="仿宋" w:hint="eastAsia"/>
            <w:lang w:eastAsia="zh-CN"/>
          </w:rPr>
          <w:t>七、电驱动石油深井钻机项目人力资源培养与发展</w:t>
        </w:r>
        <w:r>
          <w:tab/>
        </w:r>
        <w:r>
          <w:fldChar w:fldCharType="begin"/>
        </w:r>
        <w:r>
          <w:instrText xml:space="preserve"> PAGEREF _Toc18328 \h </w:instrText>
        </w:r>
        <w:r>
          <w:fldChar w:fldCharType="separate"/>
        </w:r>
        <w:r>
          <w:t>22</w:t>
        </w:r>
        <w:r>
          <w:fldChar w:fldCharType="end"/>
        </w:r>
      </w:hyperlink>
    </w:p>
    <w:p>
      <w:pPr>
        <w:pStyle w:val="TOC2"/>
        <w:tabs>
          <w:tab w:val="right" w:leader="dot" w:pos="8306"/>
        </w:tabs>
      </w:pPr>
      <w:hyperlink w:anchor="_Toc1142" w:history="1">
        <w:r>
          <w:rPr>
            <w:rFonts w:ascii="仿宋" w:eastAsia="仿宋" w:hAnsi="仿宋" w:cs="仿宋" w:hint="eastAsia"/>
            <w:lang w:eastAsia="zh-CN"/>
          </w:rPr>
          <w:t>(一)、人才需求与规划</w:t>
        </w:r>
        <w:r>
          <w:tab/>
        </w:r>
        <w:r>
          <w:fldChar w:fldCharType="begin"/>
        </w:r>
        <w:r>
          <w:instrText xml:space="preserve"> PAGEREF _Toc1142 \h </w:instrText>
        </w:r>
        <w:r>
          <w:fldChar w:fldCharType="separate"/>
        </w:r>
        <w:r>
          <w:t>22</w:t>
        </w:r>
        <w:r>
          <w:fldChar w:fldCharType="end"/>
        </w:r>
      </w:hyperlink>
    </w:p>
    <w:p>
      <w:pPr>
        <w:pStyle w:val="TOC2"/>
        <w:tabs>
          <w:tab w:val="right" w:leader="dot" w:pos="8306"/>
        </w:tabs>
      </w:pPr>
      <w:hyperlink w:anchor="_Toc13870" w:history="1">
        <w:r>
          <w:rPr>
            <w:rFonts w:ascii="仿宋" w:eastAsia="仿宋" w:hAnsi="仿宋" w:cs="仿宋" w:hint="eastAsia"/>
            <w:lang w:eastAsia="zh-CN"/>
          </w:rPr>
          <w:t>(二)、培训与发展计划</w:t>
        </w:r>
        <w:r>
          <w:tab/>
        </w:r>
        <w:r>
          <w:fldChar w:fldCharType="begin"/>
        </w:r>
        <w:r>
          <w:instrText xml:space="preserve"> PAGEREF _Toc13870 \h </w:instrText>
        </w:r>
        <w:r>
          <w:fldChar w:fldCharType="separate"/>
        </w:r>
        <w:r>
          <w:t>23</w:t>
        </w:r>
        <w:r>
          <w:fldChar w:fldCharType="end"/>
        </w:r>
      </w:hyperlink>
    </w:p>
    <w:p>
      <w:pPr>
        <w:pStyle w:val="TOC1"/>
        <w:tabs>
          <w:tab w:val="right" w:leader="dot" w:pos="8306"/>
        </w:tabs>
      </w:pPr>
      <w:hyperlink w:anchor="_Toc31037" w:history="1">
        <w:r>
          <w:rPr>
            <w:rFonts w:ascii="仿宋" w:eastAsia="仿宋" w:hAnsi="仿宋" w:cs="仿宋" w:hint="eastAsia"/>
            <w:lang w:eastAsia="zh-CN"/>
          </w:rPr>
          <w:t>八、电驱动石油深井钻机项目创新与研发</w:t>
        </w:r>
        <w:r>
          <w:tab/>
        </w:r>
        <w:r>
          <w:fldChar w:fldCharType="begin"/>
        </w:r>
        <w:r>
          <w:instrText xml:space="preserve"> PAGEREF _Toc31037 \h </w:instrText>
        </w:r>
        <w:r>
          <w:fldChar w:fldCharType="separate"/>
        </w:r>
        <w:r>
          <w:t>23</w:t>
        </w:r>
        <w:r>
          <w:fldChar w:fldCharType="end"/>
        </w:r>
      </w:hyperlink>
    </w:p>
    <w:p>
      <w:pPr>
        <w:pStyle w:val="TOC2"/>
        <w:tabs>
          <w:tab w:val="right" w:leader="dot" w:pos="8306"/>
        </w:tabs>
      </w:pPr>
      <w:hyperlink w:anchor="_Toc13272" w:history="1">
        <w:r>
          <w:rPr>
            <w:rFonts w:ascii="仿宋" w:eastAsia="仿宋" w:hAnsi="仿宋" w:cs="仿宋" w:hint="eastAsia"/>
            <w:lang w:eastAsia="zh-CN"/>
          </w:rPr>
          <w:t>(一)、创新策略与方向</w:t>
        </w:r>
        <w:r>
          <w:tab/>
        </w:r>
        <w:r>
          <w:fldChar w:fldCharType="begin"/>
        </w:r>
        <w:r>
          <w:instrText xml:space="preserve"> PAGEREF _Toc13272 \h </w:instrText>
        </w:r>
        <w:r>
          <w:fldChar w:fldCharType="separate"/>
        </w:r>
        <w:r>
          <w:t>23</w:t>
        </w:r>
        <w:r>
          <w:fldChar w:fldCharType="end"/>
        </w:r>
      </w:hyperlink>
    </w:p>
    <w:p>
      <w:pPr>
        <w:pStyle w:val="TOC2"/>
        <w:tabs>
          <w:tab w:val="right" w:leader="dot" w:pos="8306"/>
        </w:tabs>
      </w:pPr>
      <w:hyperlink w:anchor="_Toc4962" w:history="1">
        <w:r>
          <w:rPr>
            <w:rFonts w:ascii="仿宋" w:eastAsia="仿宋" w:hAnsi="仿宋" w:cs="仿宋" w:hint="eastAsia"/>
            <w:lang w:eastAsia="zh-CN"/>
          </w:rPr>
          <w:t>(二)、研发规划与投入</w:t>
        </w:r>
        <w:r>
          <w:tab/>
        </w:r>
        <w:r>
          <w:fldChar w:fldCharType="begin"/>
        </w:r>
        <w:r>
          <w:instrText xml:space="preserve"> PAGEREF _Toc4962 \h </w:instrText>
        </w:r>
        <w:r>
          <w:fldChar w:fldCharType="separate"/>
        </w:r>
        <w:r>
          <w:t>25</w:t>
        </w:r>
        <w:r>
          <w:fldChar w:fldCharType="end"/>
        </w:r>
      </w:hyperlink>
    </w:p>
    <w:p>
      <w:pPr>
        <w:pStyle w:val="TOC1"/>
        <w:tabs>
          <w:tab w:val="right" w:leader="dot" w:pos="8306"/>
        </w:tabs>
      </w:pPr>
      <w:hyperlink w:anchor="_Toc13988" w:history="1">
        <w:r>
          <w:rPr>
            <w:rFonts w:ascii="仿宋" w:eastAsia="仿宋" w:hAnsi="仿宋" w:cs="仿宋" w:hint="eastAsia"/>
            <w:lang w:eastAsia="zh-CN"/>
          </w:rPr>
          <w:t>九、电驱动石油深井钻机项目经营效益</w:t>
        </w:r>
        <w:r>
          <w:tab/>
        </w:r>
        <w:r>
          <w:fldChar w:fldCharType="begin"/>
        </w:r>
        <w:r>
          <w:instrText xml:space="preserve"> PAGEREF _Toc13988 \h </w:instrText>
        </w:r>
        <w:r>
          <w:fldChar w:fldCharType="separate"/>
        </w:r>
        <w:r>
          <w:t>27</w:t>
        </w:r>
        <w:r>
          <w:fldChar w:fldCharType="end"/>
        </w:r>
      </w:hyperlink>
    </w:p>
    <w:p>
      <w:pPr>
        <w:pStyle w:val="TOC2"/>
        <w:tabs>
          <w:tab w:val="right" w:leader="dot" w:pos="8306"/>
        </w:tabs>
      </w:pPr>
      <w:hyperlink w:anchor="_Toc30579" w:history="1">
        <w:r>
          <w:rPr>
            <w:rFonts w:ascii="仿宋" w:eastAsia="仿宋" w:hAnsi="仿宋" w:cs="仿宋" w:hint="eastAsia"/>
            <w:lang w:eastAsia="zh-CN"/>
          </w:rPr>
          <w:t>(一)、经济评价财务测算</w:t>
        </w:r>
        <w:r>
          <w:tab/>
        </w:r>
        <w:r>
          <w:fldChar w:fldCharType="begin"/>
        </w:r>
        <w:r>
          <w:instrText xml:space="preserve"> PAGEREF _Toc30579 \h </w:instrText>
        </w:r>
        <w:r>
          <w:fldChar w:fldCharType="separate"/>
        </w:r>
        <w:r>
          <w:t>27</w:t>
        </w:r>
        <w:r>
          <w:fldChar w:fldCharType="end"/>
        </w:r>
      </w:hyperlink>
    </w:p>
    <w:p>
      <w:pPr>
        <w:pStyle w:val="TOC2"/>
        <w:tabs>
          <w:tab w:val="right" w:leader="dot" w:pos="8306"/>
        </w:tabs>
      </w:pPr>
      <w:hyperlink w:anchor="_Toc9398" w:history="1">
        <w:r>
          <w:rPr>
            <w:rFonts w:ascii="仿宋" w:eastAsia="仿宋" w:hAnsi="仿宋" w:cs="仿宋" w:hint="eastAsia"/>
            <w:lang w:eastAsia="zh-CN"/>
          </w:rPr>
          <w:t>(二)、电驱动石油深井钻机项目盈利能力分析</w:t>
        </w:r>
        <w:r>
          <w:tab/>
        </w:r>
        <w:r>
          <w:fldChar w:fldCharType="begin"/>
        </w:r>
        <w:r>
          <w:instrText xml:space="preserve"> PAGEREF _Toc9398 \h </w:instrText>
        </w:r>
        <w:r>
          <w:fldChar w:fldCharType="separate"/>
        </w:r>
        <w:r>
          <w:t>28</w:t>
        </w:r>
        <w:r>
          <w:fldChar w:fldCharType="end"/>
        </w:r>
      </w:hyperlink>
    </w:p>
    <w:p>
      <w:pPr>
        <w:pStyle w:val="TOC1"/>
        <w:tabs>
          <w:tab w:val="right" w:leader="dot" w:pos="8306"/>
        </w:tabs>
      </w:pPr>
      <w:hyperlink w:anchor="_Toc16265" w:history="1">
        <w:r>
          <w:rPr>
            <w:rFonts w:ascii="仿宋" w:eastAsia="仿宋" w:hAnsi="仿宋" w:cs="仿宋" w:hint="eastAsia"/>
            <w:lang w:eastAsia="zh-CN"/>
          </w:rPr>
          <w:t>十、电驱动石油深井钻机项目技术管理</w:t>
        </w:r>
        <w:r>
          <w:tab/>
        </w:r>
        <w:r>
          <w:fldChar w:fldCharType="begin"/>
        </w:r>
        <w:r>
          <w:instrText xml:space="preserve"> PAGEREF _Toc16265 \h </w:instrText>
        </w:r>
        <w:r>
          <w:fldChar w:fldCharType="separate"/>
        </w:r>
        <w:r>
          <w:t>29</w:t>
        </w:r>
        <w:r>
          <w:fldChar w:fldCharType="end"/>
        </w:r>
      </w:hyperlink>
    </w:p>
    <w:p>
      <w:pPr>
        <w:pStyle w:val="TOC2"/>
        <w:tabs>
          <w:tab w:val="right" w:leader="dot" w:pos="8306"/>
        </w:tabs>
      </w:pPr>
      <w:hyperlink w:anchor="_Toc29223" w:history="1">
        <w:r>
          <w:rPr>
            <w:rFonts w:ascii="仿宋" w:eastAsia="仿宋" w:hAnsi="仿宋" w:cs="仿宋" w:hint="eastAsia"/>
            <w:lang w:eastAsia="zh-CN"/>
          </w:rPr>
          <w:t>(一)、技术方案选用方向</w:t>
        </w:r>
        <w:r>
          <w:tab/>
        </w:r>
        <w:r>
          <w:fldChar w:fldCharType="begin"/>
        </w:r>
        <w:r>
          <w:instrText xml:space="preserve"> PAGEREF _Toc29223 \h </w:instrText>
        </w:r>
        <w:r>
          <w:fldChar w:fldCharType="separate"/>
        </w:r>
        <w:r>
          <w:t>29</w:t>
        </w:r>
        <w:r>
          <w:fldChar w:fldCharType="end"/>
        </w:r>
      </w:hyperlink>
    </w:p>
    <w:p>
      <w:pPr>
        <w:pStyle w:val="TOC2"/>
        <w:tabs>
          <w:tab w:val="right" w:leader="dot" w:pos="8306"/>
        </w:tabs>
      </w:pPr>
      <w:hyperlink w:anchor="_Toc20540" w:history="1">
        <w:r>
          <w:rPr>
            <w:rFonts w:ascii="仿宋" w:eastAsia="仿宋" w:hAnsi="仿宋" w:cs="仿宋" w:hint="eastAsia"/>
            <w:lang w:eastAsia="zh-CN"/>
          </w:rPr>
          <w:t>(二)、工艺技术方案选用原则</w:t>
        </w:r>
        <w:r>
          <w:tab/>
        </w:r>
        <w:r>
          <w:fldChar w:fldCharType="begin"/>
        </w:r>
        <w:r>
          <w:instrText xml:space="preserve"> PAGEREF _Toc20540 \h </w:instrText>
        </w:r>
        <w:r>
          <w:fldChar w:fldCharType="separate"/>
        </w:r>
        <w:r>
          <w:t>31</w:t>
        </w:r>
        <w:r>
          <w:fldChar w:fldCharType="end"/>
        </w:r>
      </w:hyperlink>
    </w:p>
    <w:p>
      <w:pPr>
        <w:pStyle w:val="TOC2"/>
        <w:tabs>
          <w:tab w:val="right" w:leader="dot" w:pos="8306"/>
        </w:tabs>
      </w:pPr>
      <w:hyperlink w:anchor="_Toc5795" w:history="1">
        <w:r>
          <w:rPr>
            <w:rFonts w:ascii="仿宋" w:eastAsia="仿宋" w:hAnsi="仿宋" w:cs="仿宋" w:hint="eastAsia"/>
            <w:lang w:eastAsia="zh-CN"/>
          </w:rPr>
          <w:t>(三)、工艺技术方案要求</w:t>
        </w:r>
        <w:r>
          <w:tab/>
        </w:r>
        <w:r>
          <w:fldChar w:fldCharType="begin"/>
        </w:r>
        <w:r>
          <w:instrText xml:space="preserve"> PAGEREF _Toc5795 \h </w:instrText>
        </w:r>
        <w:r>
          <w:fldChar w:fldCharType="separate"/>
        </w:r>
        <w:r>
          <w:t>33</w:t>
        </w:r>
        <w:r>
          <w:fldChar w:fldCharType="end"/>
        </w:r>
      </w:hyperlink>
    </w:p>
    <w:p>
      <w:pPr>
        <w:pStyle w:val="TOC1"/>
        <w:tabs>
          <w:tab w:val="right" w:leader="dot" w:pos="8306"/>
        </w:tabs>
      </w:pPr>
      <w:hyperlink w:anchor="_Toc6699" w:history="1">
        <w:r>
          <w:rPr>
            <w:rFonts w:ascii="仿宋" w:eastAsia="仿宋" w:hAnsi="仿宋" w:cs="仿宋" w:hint="eastAsia"/>
            <w:lang w:eastAsia="zh-CN"/>
          </w:rPr>
          <w:t>十一、生产安全保护</w:t>
        </w:r>
        <w:r>
          <w:tab/>
        </w:r>
        <w:r>
          <w:fldChar w:fldCharType="begin"/>
        </w:r>
        <w:r>
          <w:instrText xml:space="preserve"> PAGEREF _Toc6699 \h </w:instrText>
        </w:r>
        <w:r>
          <w:fldChar w:fldCharType="separate"/>
        </w:r>
        <w:r>
          <w:t>35</w:t>
        </w:r>
        <w:r>
          <w:fldChar w:fldCharType="end"/>
        </w:r>
      </w:hyperlink>
    </w:p>
    <w:p>
      <w:pPr>
        <w:pStyle w:val="TOC2"/>
        <w:tabs>
          <w:tab w:val="right" w:leader="dot" w:pos="8306"/>
        </w:tabs>
      </w:pPr>
      <w:hyperlink w:anchor="_Toc24907" w:history="1">
        <w:r>
          <w:rPr>
            <w:rFonts w:ascii="仿宋" w:eastAsia="仿宋" w:hAnsi="仿宋" w:cs="仿宋" w:hint="eastAsia"/>
            <w:lang w:eastAsia="zh-CN"/>
          </w:rPr>
          <w:t>(一)、消防安全</w:t>
        </w:r>
        <w:r>
          <w:tab/>
        </w:r>
        <w:r>
          <w:fldChar w:fldCharType="begin"/>
        </w:r>
        <w:r>
          <w:instrText xml:space="preserve"> PAGEREF _Toc24907 \h </w:instrText>
        </w:r>
        <w:r>
          <w:fldChar w:fldCharType="separate"/>
        </w:r>
        <w:r>
          <w:t>35</w:t>
        </w:r>
        <w:r>
          <w:fldChar w:fldCharType="end"/>
        </w:r>
      </w:hyperlink>
    </w:p>
    <w:p>
      <w:pPr>
        <w:pStyle w:val="TOC2"/>
        <w:tabs>
          <w:tab w:val="right" w:leader="dot" w:pos="8306"/>
        </w:tabs>
      </w:pPr>
      <w:hyperlink w:anchor="_Toc21742" w:history="1">
        <w:r>
          <w:rPr>
            <w:rFonts w:ascii="仿宋" w:eastAsia="仿宋" w:hAnsi="仿宋" w:cs="仿宋" w:hint="eastAsia"/>
            <w:lang w:eastAsia="zh-CN"/>
          </w:rPr>
          <w:t>(二)、防火防爆总图布置措施</w:t>
        </w:r>
        <w:r>
          <w:tab/>
        </w:r>
        <w:r>
          <w:fldChar w:fldCharType="begin"/>
        </w:r>
        <w:r>
          <w:instrText xml:space="preserve"> PAGEREF _Toc21742 \h </w:instrText>
        </w:r>
        <w:r>
          <w:fldChar w:fldCharType="separate"/>
        </w:r>
        <w:r>
          <w:t>37</w:t>
        </w:r>
        <w:r>
          <w:fldChar w:fldCharType="end"/>
        </w:r>
      </w:hyperlink>
    </w:p>
    <w:p>
      <w:pPr>
        <w:pStyle w:val="TOC2"/>
        <w:tabs>
          <w:tab w:val="right" w:leader="dot" w:pos="8306"/>
        </w:tabs>
      </w:pPr>
      <w:hyperlink w:anchor="_Toc9325" w:history="1">
        <w:r>
          <w:rPr>
            <w:rFonts w:ascii="仿宋" w:eastAsia="仿宋" w:hAnsi="仿宋" w:cs="仿宋" w:hint="eastAsia"/>
            <w:lang w:eastAsia="zh-CN"/>
          </w:rPr>
          <w:t>(三)、自然灾害防范措施</w:t>
        </w:r>
        <w:r>
          <w:tab/>
        </w:r>
        <w:r>
          <w:fldChar w:fldCharType="begin"/>
        </w:r>
        <w:r>
          <w:instrText xml:space="preserve"> PAGEREF _Toc9325 \h </w:instrText>
        </w:r>
        <w:r>
          <w:fldChar w:fldCharType="separate"/>
        </w:r>
        <w:r>
          <w:t>38</w:t>
        </w:r>
        <w:r>
          <w:fldChar w:fldCharType="end"/>
        </w:r>
      </w:hyperlink>
    </w:p>
    <w:p>
      <w:pPr>
        <w:pStyle w:val="TOC2"/>
        <w:tabs>
          <w:tab w:val="right" w:leader="dot" w:pos="8306"/>
        </w:tabs>
      </w:pPr>
      <w:hyperlink w:anchor="_Toc26217" w:history="1">
        <w:r>
          <w:rPr>
            <w:rFonts w:ascii="仿宋" w:eastAsia="仿宋" w:hAnsi="仿宋" w:cs="仿宋" w:hint="eastAsia"/>
            <w:lang w:eastAsia="zh-CN"/>
          </w:rPr>
          <w:t>(四)、安全色及安全标志使用要求</w:t>
        </w:r>
        <w:r>
          <w:tab/>
        </w:r>
        <w:r>
          <w:fldChar w:fldCharType="begin"/>
        </w:r>
        <w:r>
          <w:instrText xml:space="preserve"> PAGEREF _Toc26217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82" w:history="1">
        <w:r>
          <w:rPr>
            <w:rFonts w:ascii="仿宋" w:eastAsia="仿宋" w:hAnsi="仿宋" w:cs="仿宋" w:hint="eastAsia"/>
            <w:lang w:eastAsia="zh-CN"/>
          </w:rPr>
          <w:t>(五)、防尘防毒措施</w:t>
        </w:r>
        <w:r>
          <w:tab/>
        </w:r>
        <w:r>
          <w:fldChar w:fldCharType="begin"/>
        </w:r>
        <w:r>
          <w:instrText xml:space="preserve"> PAGEREF _Toc16382 \h </w:instrText>
        </w:r>
        <w:r>
          <w:fldChar w:fldCharType="separate"/>
        </w:r>
        <w:r>
          <w:t>40</w:t>
        </w:r>
        <w:r>
          <w:fldChar w:fldCharType="end"/>
        </w:r>
      </w:hyperlink>
    </w:p>
    <w:p>
      <w:pPr>
        <w:pStyle w:val="TOC2"/>
        <w:tabs>
          <w:tab w:val="right" w:leader="dot" w:pos="8306"/>
        </w:tabs>
      </w:pPr>
      <w:hyperlink w:anchor="_Toc468" w:history="1">
        <w:r>
          <w:rPr>
            <w:rFonts w:ascii="仿宋" w:eastAsia="仿宋" w:hAnsi="仿宋" w:cs="仿宋" w:hint="eastAsia"/>
            <w:lang w:eastAsia="zh-CN"/>
          </w:rPr>
          <w:t>(六)、防静电、触电防护及防雷措施</w:t>
        </w:r>
        <w:r>
          <w:tab/>
        </w:r>
        <w:r>
          <w:fldChar w:fldCharType="begin"/>
        </w:r>
        <w:r>
          <w:instrText xml:space="preserve"> PAGEREF _Toc468 \h </w:instrText>
        </w:r>
        <w:r>
          <w:fldChar w:fldCharType="separate"/>
        </w:r>
        <w:r>
          <w:t>41</w:t>
        </w:r>
        <w:r>
          <w:fldChar w:fldCharType="end"/>
        </w:r>
      </w:hyperlink>
    </w:p>
    <w:p>
      <w:pPr>
        <w:pStyle w:val="TOC2"/>
        <w:tabs>
          <w:tab w:val="right" w:leader="dot" w:pos="8306"/>
        </w:tabs>
      </w:pPr>
      <w:hyperlink w:anchor="_Toc2312" w:history="1">
        <w:r>
          <w:rPr>
            <w:rFonts w:ascii="仿宋" w:eastAsia="仿宋" w:hAnsi="仿宋" w:cs="仿宋" w:hint="eastAsia"/>
            <w:lang w:eastAsia="zh-CN"/>
          </w:rPr>
          <w:t>(七)、机械设备安全保障措施</w:t>
        </w:r>
        <w:r>
          <w:tab/>
        </w:r>
        <w:r>
          <w:fldChar w:fldCharType="begin"/>
        </w:r>
        <w:r>
          <w:instrText xml:space="preserve"> PAGEREF _Toc2312 \h </w:instrText>
        </w:r>
        <w:r>
          <w:fldChar w:fldCharType="separate"/>
        </w:r>
        <w:r>
          <w:t>42</w:t>
        </w:r>
        <w:r>
          <w:fldChar w:fldCharType="end"/>
        </w:r>
      </w:hyperlink>
    </w:p>
    <w:p>
      <w:pPr>
        <w:pStyle w:val="TOC1"/>
        <w:tabs>
          <w:tab w:val="right" w:leader="dot" w:pos="8306"/>
        </w:tabs>
      </w:pPr>
      <w:hyperlink w:anchor="_Toc9210" w:history="1">
        <w:r>
          <w:rPr>
            <w:rFonts w:ascii="仿宋" w:eastAsia="仿宋" w:hAnsi="仿宋" w:cs="仿宋" w:hint="eastAsia"/>
            <w:lang w:eastAsia="zh-CN"/>
          </w:rPr>
          <w:t>十二、电驱动石油深井钻机项目人力资源管理</w:t>
        </w:r>
        <w:r>
          <w:tab/>
        </w:r>
        <w:r>
          <w:fldChar w:fldCharType="begin"/>
        </w:r>
        <w:r>
          <w:instrText xml:space="preserve"> PAGEREF _Toc9210 \h </w:instrText>
        </w:r>
        <w:r>
          <w:fldChar w:fldCharType="separate"/>
        </w:r>
        <w:r>
          <w:t>44</w:t>
        </w:r>
        <w:r>
          <w:fldChar w:fldCharType="end"/>
        </w:r>
      </w:hyperlink>
    </w:p>
    <w:p>
      <w:pPr>
        <w:pStyle w:val="TOC2"/>
        <w:tabs>
          <w:tab w:val="right" w:leader="dot" w:pos="8306"/>
        </w:tabs>
      </w:pPr>
      <w:hyperlink w:anchor="_Toc15720" w:history="1">
        <w:r>
          <w:rPr>
            <w:rFonts w:ascii="仿宋" w:eastAsia="仿宋" w:hAnsi="仿宋" w:cs="仿宋" w:hint="eastAsia"/>
            <w:lang w:eastAsia="zh-CN"/>
          </w:rPr>
          <w:t>(一)、建立健全的预算管理制度</w:t>
        </w:r>
        <w:r>
          <w:tab/>
        </w:r>
        <w:r>
          <w:fldChar w:fldCharType="begin"/>
        </w:r>
        <w:r>
          <w:instrText xml:space="preserve"> PAGEREF _Toc15720 \h </w:instrText>
        </w:r>
        <w:r>
          <w:fldChar w:fldCharType="separate"/>
        </w:r>
        <w:r>
          <w:t>44</w:t>
        </w:r>
        <w:r>
          <w:fldChar w:fldCharType="end"/>
        </w:r>
      </w:hyperlink>
    </w:p>
    <w:p>
      <w:pPr>
        <w:pStyle w:val="TOC2"/>
        <w:tabs>
          <w:tab w:val="right" w:leader="dot" w:pos="8306"/>
        </w:tabs>
      </w:pPr>
      <w:hyperlink w:anchor="_Toc32381" w:history="1">
        <w:r>
          <w:rPr>
            <w:rFonts w:ascii="仿宋" w:eastAsia="仿宋" w:hAnsi="仿宋" w:cs="仿宋" w:hint="eastAsia"/>
            <w:lang w:eastAsia="zh-CN"/>
          </w:rPr>
          <w:t>(二)、加强资金流动监控</w:t>
        </w:r>
        <w:r>
          <w:tab/>
        </w:r>
        <w:r>
          <w:fldChar w:fldCharType="begin"/>
        </w:r>
        <w:r>
          <w:instrText xml:space="preserve"> PAGEREF _Toc32381 \h </w:instrText>
        </w:r>
        <w:r>
          <w:fldChar w:fldCharType="separate"/>
        </w:r>
        <w:r>
          <w:t>46</w:t>
        </w:r>
        <w:r>
          <w:fldChar w:fldCharType="end"/>
        </w:r>
      </w:hyperlink>
    </w:p>
    <w:p>
      <w:pPr>
        <w:pStyle w:val="TOC2"/>
        <w:tabs>
          <w:tab w:val="right" w:leader="dot" w:pos="8306"/>
        </w:tabs>
      </w:pPr>
      <w:hyperlink w:anchor="_Toc28301" w:history="1">
        <w:r>
          <w:rPr>
            <w:rFonts w:ascii="仿宋" w:eastAsia="仿宋" w:hAnsi="仿宋" w:cs="仿宋" w:hint="eastAsia"/>
            <w:lang w:eastAsia="zh-CN"/>
          </w:rPr>
          <w:t>(三)、制定完善的风险控制机制</w:t>
        </w:r>
        <w:r>
          <w:tab/>
        </w:r>
        <w:r>
          <w:fldChar w:fldCharType="begin"/>
        </w:r>
        <w:r>
          <w:instrText xml:space="preserve"> PAGEREF _Toc28301 \h </w:instrText>
        </w:r>
        <w:r>
          <w:fldChar w:fldCharType="separate"/>
        </w:r>
        <w:r>
          <w:t>47</w:t>
        </w:r>
        <w:r>
          <w:fldChar w:fldCharType="end"/>
        </w:r>
      </w:hyperlink>
    </w:p>
    <w:p>
      <w:pPr>
        <w:pStyle w:val="TOC2"/>
        <w:tabs>
          <w:tab w:val="right" w:leader="dot" w:pos="8306"/>
        </w:tabs>
      </w:pPr>
      <w:hyperlink w:anchor="_Toc12831" w:history="1">
        <w:r>
          <w:rPr>
            <w:rFonts w:ascii="仿宋" w:eastAsia="仿宋" w:hAnsi="仿宋" w:cs="仿宋" w:hint="eastAsia"/>
            <w:lang w:eastAsia="zh-CN"/>
          </w:rPr>
          <w:t>(四)、优化成本管理</w:t>
        </w:r>
        <w:r>
          <w:tab/>
        </w:r>
        <w:r>
          <w:fldChar w:fldCharType="begin"/>
        </w:r>
        <w:r>
          <w:instrText xml:space="preserve"> PAGEREF _Toc12831 \h </w:instrText>
        </w:r>
        <w:r>
          <w:fldChar w:fldCharType="separate"/>
        </w:r>
        <w:r>
          <w:t>48</w:t>
        </w:r>
        <w:r>
          <w:fldChar w:fldCharType="end"/>
        </w:r>
      </w:hyperlink>
    </w:p>
    <w:p>
      <w:pPr>
        <w:pStyle w:val="TOC1"/>
        <w:tabs>
          <w:tab w:val="right" w:leader="dot" w:pos="8306"/>
        </w:tabs>
      </w:pPr>
      <w:hyperlink w:anchor="_Toc25366" w:history="1">
        <w:r>
          <w:rPr>
            <w:rFonts w:ascii="仿宋" w:eastAsia="仿宋" w:hAnsi="仿宋" w:cs="仿宋" w:hint="eastAsia"/>
            <w:lang w:eastAsia="zh-CN"/>
          </w:rPr>
          <w:t>十三、电驱动石油深井钻机项目实施保障措施</w:t>
        </w:r>
        <w:r>
          <w:tab/>
        </w:r>
        <w:r>
          <w:fldChar w:fldCharType="begin"/>
        </w:r>
        <w:r>
          <w:instrText xml:space="preserve"> PAGEREF _Toc25366 \h </w:instrText>
        </w:r>
        <w:r>
          <w:fldChar w:fldCharType="separate"/>
        </w:r>
        <w:r>
          <w:t>50</w:t>
        </w:r>
        <w:r>
          <w:fldChar w:fldCharType="end"/>
        </w:r>
      </w:hyperlink>
    </w:p>
    <w:p>
      <w:pPr>
        <w:pStyle w:val="TOC2"/>
        <w:tabs>
          <w:tab w:val="right" w:leader="dot" w:pos="8306"/>
        </w:tabs>
      </w:pPr>
      <w:hyperlink w:anchor="_Toc30810" w:history="1">
        <w:r>
          <w:rPr>
            <w:rFonts w:ascii="仿宋" w:eastAsia="仿宋" w:hAnsi="仿宋" w:cs="仿宋" w:hint="eastAsia"/>
            <w:lang w:eastAsia="zh-CN"/>
          </w:rPr>
          <w:t>(一)、电驱动石油深井钻机项目实施保障机制</w:t>
        </w:r>
        <w:r>
          <w:tab/>
        </w:r>
        <w:r>
          <w:fldChar w:fldCharType="begin"/>
        </w:r>
        <w:r>
          <w:instrText xml:space="preserve"> PAGEREF _Toc30810 \h </w:instrText>
        </w:r>
        <w:r>
          <w:fldChar w:fldCharType="separate"/>
        </w:r>
        <w:r>
          <w:t>50</w:t>
        </w:r>
        <w:r>
          <w:fldChar w:fldCharType="end"/>
        </w:r>
      </w:hyperlink>
    </w:p>
    <w:p>
      <w:pPr>
        <w:pStyle w:val="TOC2"/>
        <w:tabs>
          <w:tab w:val="right" w:leader="dot" w:pos="8306"/>
        </w:tabs>
      </w:pPr>
      <w:hyperlink w:anchor="_Toc11907" w:history="1">
        <w:r>
          <w:rPr>
            <w:rFonts w:ascii="仿宋" w:eastAsia="仿宋" w:hAnsi="仿宋" w:cs="仿宋" w:hint="eastAsia"/>
            <w:lang w:eastAsia="zh-CN"/>
          </w:rPr>
          <w:t>(二)、电驱动石油深井钻机项目法律合规要求</w:t>
        </w:r>
        <w:r>
          <w:tab/>
        </w:r>
        <w:r>
          <w:fldChar w:fldCharType="begin"/>
        </w:r>
        <w:r>
          <w:instrText xml:space="preserve"> PAGEREF _Toc11907 \h </w:instrText>
        </w:r>
        <w:r>
          <w:fldChar w:fldCharType="separate"/>
        </w:r>
        <w:r>
          <w:t>54</w:t>
        </w:r>
        <w:r>
          <w:fldChar w:fldCharType="end"/>
        </w:r>
      </w:hyperlink>
    </w:p>
    <w:p>
      <w:pPr>
        <w:pStyle w:val="TOC2"/>
        <w:tabs>
          <w:tab w:val="right" w:leader="dot" w:pos="8306"/>
        </w:tabs>
      </w:pPr>
      <w:hyperlink w:anchor="_Toc7897" w:history="1">
        <w:r>
          <w:rPr>
            <w:rFonts w:ascii="仿宋" w:eastAsia="仿宋" w:hAnsi="仿宋" w:cs="仿宋" w:hint="eastAsia"/>
            <w:lang w:eastAsia="zh-CN"/>
          </w:rPr>
          <w:t>(三)、电驱动石油深井钻机项目合同管理与法律事务</w:t>
        </w:r>
        <w:r>
          <w:tab/>
        </w:r>
        <w:r>
          <w:fldChar w:fldCharType="begin"/>
        </w:r>
        <w:r>
          <w:instrText xml:space="preserve"> PAGEREF _Toc7897 \h </w:instrText>
        </w:r>
        <w:r>
          <w:fldChar w:fldCharType="separate"/>
        </w:r>
        <w:r>
          <w:t>58</w:t>
        </w:r>
        <w:r>
          <w:fldChar w:fldCharType="end"/>
        </w:r>
      </w:hyperlink>
    </w:p>
    <w:p>
      <w:pPr>
        <w:pStyle w:val="TOC2"/>
        <w:tabs>
          <w:tab w:val="right" w:leader="dot" w:pos="8306"/>
        </w:tabs>
      </w:pPr>
      <w:hyperlink w:anchor="_Toc30552" w:history="1">
        <w:r>
          <w:rPr>
            <w:rFonts w:ascii="仿宋" w:eastAsia="仿宋" w:hAnsi="仿宋" w:cs="仿宋" w:hint="eastAsia"/>
            <w:lang w:eastAsia="zh-CN"/>
          </w:rPr>
          <w:t>(四)、电驱动石油深井钻机项目知识产权保护策略</w:t>
        </w:r>
        <w:r>
          <w:tab/>
        </w:r>
        <w:r>
          <w:fldChar w:fldCharType="begin"/>
        </w:r>
        <w:r>
          <w:instrText xml:space="preserve"> PAGEREF _Toc30552 \h </w:instrText>
        </w:r>
        <w:r>
          <w:fldChar w:fldCharType="separate"/>
        </w:r>
        <w:r>
          <w:t>65</w:t>
        </w:r>
        <w:r>
          <w:fldChar w:fldCharType="end"/>
        </w:r>
      </w:hyperlink>
    </w:p>
    <w:p>
      <w:pPr>
        <w:pStyle w:val="TOC1"/>
        <w:tabs>
          <w:tab w:val="right" w:leader="dot" w:pos="8306"/>
        </w:tabs>
      </w:pPr>
      <w:hyperlink w:anchor="_Toc2953" w:history="1">
        <w:r>
          <w:rPr>
            <w:rFonts w:ascii="仿宋" w:eastAsia="仿宋" w:hAnsi="仿宋" w:cs="仿宋" w:hint="eastAsia"/>
            <w:lang w:eastAsia="zh-CN"/>
          </w:rPr>
          <w:t>十四、利益相关者分析与沟通计划</w:t>
        </w:r>
        <w:r>
          <w:tab/>
        </w:r>
        <w:r>
          <w:fldChar w:fldCharType="begin"/>
        </w:r>
        <w:r>
          <w:instrText xml:space="preserve"> PAGEREF _Toc2953 \h </w:instrText>
        </w:r>
        <w:r>
          <w:fldChar w:fldCharType="separate"/>
        </w:r>
        <w:r>
          <w:t>67</w:t>
        </w:r>
        <w:r>
          <w:fldChar w:fldCharType="end"/>
        </w:r>
      </w:hyperlink>
    </w:p>
    <w:p>
      <w:pPr>
        <w:pStyle w:val="TOC2"/>
        <w:tabs>
          <w:tab w:val="right" w:leader="dot" w:pos="8306"/>
        </w:tabs>
      </w:pPr>
      <w:hyperlink w:anchor="_Toc26462" w:history="1">
        <w:r>
          <w:rPr>
            <w:rFonts w:ascii="仿宋" w:eastAsia="仿宋" w:hAnsi="仿宋" w:cs="仿宋" w:hint="eastAsia"/>
            <w:lang w:eastAsia="zh-CN"/>
          </w:rPr>
          <w:t>(一)、利益相关者分析</w:t>
        </w:r>
        <w:r>
          <w:tab/>
        </w:r>
        <w:r>
          <w:fldChar w:fldCharType="begin"/>
        </w:r>
        <w:r>
          <w:instrText xml:space="preserve"> PAGEREF _Toc26462 \h </w:instrText>
        </w:r>
        <w:r>
          <w:fldChar w:fldCharType="separate"/>
        </w:r>
        <w:r>
          <w:t>67</w:t>
        </w:r>
        <w:r>
          <w:fldChar w:fldCharType="end"/>
        </w:r>
      </w:hyperlink>
    </w:p>
    <w:p>
      <w:pPr>
        <w:pStyle w:val="TOC2"/>
        <w:tabs>
          <w:tab w:val="right" w:leader="dot" w:pos="8306"/>
        </w:tabs>
      </w:pPr>
      <w:hyperlink w:anchor="_Toc30297" w:history="1">
        <w:r>
          <w:rPr>
            <w:rFonts w:ascii="仿宋" w:eastAsia="仿宋" w:hAnsi="仿宋" w:cs="仿宋" w:hint="eastAsia"/>
            <w:lang w:eastAsia="zh-CN"/>
          </w:rPr>
          <w:t>(二)、沟通计划</w:t>
        </w:r>
        <w:r>
          <w:tab/>
        </w:r>
        <w:r>
          <w:fldChar w:fldCharType="begin"/>
        </w:r>
        <w:r>
          <w:instrText xml:space="preserve"> PAGEREF _Toc30297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3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969"/>
      <w:r>
        <w:rPr>
          <w:rFonts w:ascii="仿宋" w:eastAsia="仿宋" w:hAnsi="仿宋" w:cs="仿宋" w:hint="eastAsia"/>
          <w:sz w:val="28"/>
          <w:lang w:eastAsia="zh-CN"/>
        </w:rPr>
        <w:t>一、电驱动石油深井钻机项目建设背景及必要性分析</w:t>
      </w:r>
      <w:bookmarkEnd w:id="2"/>
    </w:p>
    <w:p>
      <w:pPr>
        <w:pStyle w:val="Heading2"/>
        <w:rPr>
          <w:rFonts w:ascii="仿宋" w:eastAsia="仿宋" w:hAnsi="仿宋" w:cs="仿宋" w:hint="eastAsia"/>
          <w:lang w:eastAsia="zh-CN"/>
        </w:rPr>
      </w:pPr>
      <w:bookmarkStart w:id="3" w:name="_Toc14445"/>
      <w:r>
        <w:rPr>
          <w:rFonts w:ascii="仿宋" w:eastAsia="仿宋" w:hAnsi="仿宋" w:cs="仿宋" w:hint="eastAsia"/>
          <w:lang w:eastAsia="zh-CN"/>
        </w:rPr>
        <w:t>(一)、电驱动石油深井钻机项目背景分析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动石油深井钻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驱动石油深井钻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驱动石油深井钻机项目在这个潮流中的定位。同时，我们将关注行业内涌现的新兴机遇，以便电驱动石油深井钻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驱动石油深井钻机项目提供了强大的发展动力。我们将聚焦于行业内最新的技术发展趋势，包括但不限于人工智能、大数据分析、物联网等领域。通过深度的技术研究，我们将确保电驱动石油深井钻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驱动石油深井钻机项目发展的源泉。我们将投入更多的精力对市场需求进行深入剖析，超越表面的需求，深入挖掘潜在的市场痛点和机遇。通过对市场需求的细致了解，电驱动石油深井钻机项目将更有针对性地设计解决方案，满足市场的多样化需求，从而更好地促进电驱动石油深井钻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驱动石油深井钻机项目战略至关重要。我们将对竞争态势进行更为深入的分析，包括但不限于市场份额、产品特点、客户满意度等多个维度。通过深度的竞争分析，电驱动石油深井钻机项目将能够更准确地把握市场脉搏，制定具有竞争力的电驱动石油深井钻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驱动石油深井钻机项目的发展具有直接的影响。我们将进行更为全面的法规和政策分析，了解行业发展中的潜在法律风险和合规挑战。通过充分了解和遵守相关法规，电驱动石油深井钻机项目将确保在法律框架内合法合规运营，为电驱动石油深井钻机项目的稳健发展提供有力支持。</w:t>
      </w:r>
    </w:p>
    <w:p>
      <w:pPr>
        <w:pStyle w:val="Heading2"/>
        <w:ind w:firstLine="560" w:firstLineChars="200"/>
        <w:rPr>
          <w:rFonts w:ascii="仿宋" w:eastAsia="仿宋" w:hAnsi="仿宋" w:cs="仿宋" w:hint="eastAsia"/>
          <w:sz w:val="28"/>
          <w:lang w:eastAsia="zh-CN"/>
        </w:rPr>
      </w:pPr>
      <w:bookmarkStart w:id="4" w:name="_Toc4682"/>
      <w:r>
        <w:rPr>
          <w:rFonts w:ascii="仿宋" w:eastAsia="仿宋" w:hAnsi="仿宋" w:cs="仿宋" w:hint="eastAsia"/>
          <w:sz w:val="28"/>
          <w:lang w:eastAsia="zh-CN"/>
        </w:rPr>
        <w:t>(二)、电驱动石油深井钻机项目建设必要性分析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动石油深井钻机项目建设的迫切性源于对行业发展趋势的深刻洞察。我们正处于一个行业变革的时代，科技创新、数字化转型成为企业发展的关键动力。电驱动石油深井钻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动石油深井钻机项目建设不仅仅是为了跟上潮流，更是为了通过技术创新推动企业的持续发展。通过引入先进的技术和解决方案，电驱动石油深井钻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驱动石油深井钻机项目的建设成为必然选择，通过提高产品质量、拓展服务领域，从而在竞争中获得更多的机会。电驱动石油深井钻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驱动石油深井钻机项目建设的必要性体现在对客户需求更精准的满足。通过电驱动石油深井钻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动石油深井钻机项目建设的背后是对企业持续创新的追求。只有通过不断创新，企业才能在竞争中立于不败之地。电驱动石油深井钻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0617"/>
      <w:r>
        <w:rPr>
          <w:rFonts w:ascii="仿宋" w:eastAsia="仿宋" w:hAnsi="仿宋" w:cs="仿宋" w:hint="eastAsia"/>
          <w:sz w:val="28"/>
          <w:lang w:eastAsia="zh-CN"/>
        </w:rPr>
        <w:t>二、电驱动石油深井钻机项目可持续发展</w:t>
      </w:r>
      <w:bookmarkEnd w:id="5"/>
    </w:p>
    <w:p>
      <w:pPr>
        <w:pStyle w:val="Heading2"/>
        <w:rPr>
          <w:rFonts w:ascii="仿宋" w:eastAsia="仿宋" w:hAnsi="仿宋" w:cs="仿宋" w:hint="eastAsia"/>
          <w:lang w:eastAsia="zh-CN"/>
        </w:rPr>
      </w:pPr>
      <w:bookmarkStart w:id="6" w:name="_Toc28727"/>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驱动石油深井钻机项目中，电驱动石油深井钻机项目团队着眼于未来，明确了可持续发展的战略方向。制定的具体可持续发展目标包括降低资源使用、采用环保技术、最大化社会效益等。这一步骤不仅有助于电驱动石油深井钻机项目在环保和社会责任方面达到最高标准，也为未来提供了明确的指引，确保电驱动石油深井钻机项目的发展符合可持续性原则。</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1.2 可持续实践的融入电驱动石油深井钻机项目管理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驱动石油深井钻机项目管理周期。从电驱动石油深井钻机项目规划开始，电驱动石油深井钻机项目团队就考虑了环境和社会的因素。在执行阶段，电驱动石油深井钻机项目团队积极推动绿色技术的应用，优化资源利用。此外，关注员工的社会责任，通过培训和沟通活动提高员工对可持续发展的认知，使他们能够在日常工作中践行可持续实践。这些举措不仅为电驱动石油深井钻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073"/>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驱动石油深井钻机项目的可持续发展理念，我们深信环保与社会责任是电驱动石油深井钻机项目成功的关键支柱。在电驱动石油深井钻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动石油深井钻机项目团队通过引入先进的环保技术、建立高效的废物处理系统以及推动能源节约措施，积极履行环保责任。定期的环保监测和评估确保电驱动石油深井钻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驱动石油深井钻机项目不仅致力于自身可持续发展，还注重对社会的回馈。通过支持社区电驱动石油深井钻机项目、参与慈善事业、提供培训机会等方式，电驱动石油深井钻机项目积极履行社会责任。与当地社区建立积极互动，关注员工的工作与生活平衡，以及员工的身心健康，是电驱动石油深井钻机项目在社会责任层面的关键举措。这样的实践不仅增强了电驱动石油深井钻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334"/>
      <w:r>
        <w:rPr>
          <w:rFonts w:ascii="仿宋" w:eastAsia="仿宋" w:hAnsi="仿宋" w:cs="仿宋" w:hint="eastAsia"/>
          <w:sz w:val="28"/>
          <w:lang w:eastAsia="zh-CN"/>
        </w:rPr>
        <w:t>三、电驱动石油深井钻机项目危机管理</w:t>
      </w:r>
      <w:bookmarkEnd w:id="8"/>
    </w:p>
    <w:p>
      <w:pPr>
        <w:pStyle w:val="Heading2"/>
        <w:rPr>
          <w:rFonts w:ascii="仿宋" w:eastAsia="仿宋" w:hAnsi="仿宋" w:cs="仿宋" w:hint="eastAsia"/>
          <w:lang w:eastAsia="zh-CN"/>
        </w:rPr>
      </w:pPr>
      <w:bookmarkStart w:id="9" w:name="_Toc25538"/>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电驱动石油深井钻机项目危机管理中，危机预警与识别是确保电驱动石油深井钻机项目稳健运行的核心步骤。通过建立全面的监测机制，电驱动石油深井钻机项目团队旨在及时发现和理解潜在的风险和危机因素，以便采取及时的预防和应对措施，确保电驱动石油深井钻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驱动石油深井钻机项目团队全面分析了整个电驱动石油深井钻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制定敏感指标和预警机制，电驱动石油深井钻机项目团队着重于明确定义电驱动石油深井钻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驱动石油深井钻机项目进展的持续监控，团队能够及时发现潜在问题并作出迅速反应。电驱动石油深井钻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驱动石油深井钻机项目得以更有序、可控地推进。</w:t>
      </w:r>
    </w:p>
    <w:p>
      <w:pPr>
        <w:pStyle w:val="Heading2"/>
        <w:ind w:firstLine="560" w:firstLineChars="200"/>
        <w:rPr>
          <w:rFonts w:ascii="仿宋" w:eastAsia="仿宋" w:hAnsi="仿宋" w:cs="仿宋" w:hint="eastAsia"/>
          <w:sz w:val="28"/>
          <w:lang w:eastAsia="zh-CN"/>
        </w:rPr>
      </w:pPr>
      <w:bookmarkStart w:id="10" w:name="_Toc21425"/>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在危机发生时，电驱动石油深井钻机项目团队立即行动，成立了应急小组。该小组的任务是迅速制定并实施紧急应对措施，以最小化潜在损失。以下是采取的主要措施：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暂停电驱动石油深井钻机项目进度：为遏制危机蔓延，电驱动石油深井钻机项目暂时停止进行，以便全面评估当前状况。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资源重新分配：重新评估电驱动石油深井钻机项目资源的分配，确保最大限度地减小损失。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实时沟通：与关键利益相关者建立实时沟通机制，向他们传递电驱动石油深井钻机项目危机的实际状况，保障电驱动石油深井钻机项目核心利益。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在紧急应对的同时，电驱动石油深井钻机项目团队强调了团队协作和有效沟通的重要性。以下是团队协作的关键举措：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信息共享机制：建立了信息共享平台，确保团队成员能够及时获取电驱动石油深井钻机项目危机的实时信息。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领导者沟通：电驱动石油深井钻机项目领导者通过定期会议和即时沟通工具，指导团队应对危机，保持团队稳定运行。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随着危机得到初步控制，电驱动石油深井钻机项目团队转向制定恢复计划，以确保电驱动石油深井钻机项目能够从中迅速恢复。主要恢复计划包括：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修复受损的进度计划：重新评估电驱动石油深井钻机项目进度，制定修复计划，确保电驱动石油深井钻机项目尽快回归正常进程。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重新调整资源分配：优化资源分配，确保电驱动石油深井钻机项目在有限资源下高效运转。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风险管理机制加强：对电驱动石油深井钻机项目风险进行全面评估，制定更强化的风险管理策略，以预防未来可能的危机。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31106"/>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1958"/>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电驱动石油深井钻机项目的技术管理特点体现在其创新导向。通过引入最先进的技术趋势和解决方案，电驱动石油深井钻机项目致力于提升科技含量、提高质量和效率水平。这意味着我们将采用最新的工具和方法，确保电驱动石油深井钻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驱动石油深井钻机项目技术管理的显著特征。通过整合不同领域的技术资源，我们实现了跨学科的协同工作。这有助于优化技术架构，提高整体效能。此外，整合性策略还促进了不同技术团队之间的紧密沟通和高效合作，确保电驱动石油深井钻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驱动石油深井钻机项目所采用的技术。通过不断优化技术方案，电驱动石油深井钻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电驱动石油深井钻机项目团队将在电驱动石油深井钻机项目初期识别可能的技术风险，并采取相应的预防和应对措施。通过建立健全的风险评估机制，电驱动石油深井钻机项目能够在实施过程中及时发现并解决潜在的技术问题，保障电驱动石油深井钻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驱动石油深井钻机项目中，技术将成为电驱动石油深井钻机项目成功的有力支持。这一深度剖析揭示了技术管理在电驱动石油深井钻机项目实施中的关键作用，为电驱动石油深井钻机项目的技术基础奠定了坚实的基础。</w:t>
      </w:r>
    </w:p>
    <w:p>
      <w:pPr>
        <w:pStyle w:val="Heading2"/>
        <w:ind w:firstLine="560" w:firstLineChars="200"/>
        <w:rPr>
          <w:rFonts w:ascii="仿宋" w:eastAsia="仿宋" w:hAnsi="仿宋" w:cs="仿宋" w:hint="eastAsia"/>
          <w:sz w:val="28"/>
          <w:lang w:eastAsia="zh-CN"/>
        </w:rPr>
      </w:pPr>
      <w:bookmarkStart w:id="13" w:name="_Toc32034"/>
      <w:r>
        <w:rPr>
          <w:rFonts w:ascii="仿宋" w:eastAsia="仿宋" w:hAnsi="仿宋" w:cs="仿宋" w:hint="eastAsia"/>
          <w:sz w:val="28"/>
          <w:lang w:eastAsia="zh-CN"/>
        </w:rPr>
        <w:t>(二)、电驱动石油深井钻机项目工艺技术设计方案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驱动石油深井钻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驱动石油深井钻机项目将严格按照相关行业规范要求进行组织。通过有效控制产品质量，电驱动石油深井钻机项目将致力于为顾客提供优质的电驱动石油深井钻机项目产品和良好的服务。这体现了电驱动石油深井钻机项目对于生产活动合规性和质量标准的高度重视，为电驱动石油深井钻机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驱动石油深井钻机项目注重生态效益和清洁生产原则。电驱动石油深井钻机项目建设将紧密结合地方特色经济发展，与社会经济发展规划和区域环境保护规划方案相协调一致。通过与当地区域自然生态系统的结合，电驱动石油深井钻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驱动石油深井钻机项目产品具有多样化的客户需求和个性化的特点。因此，电驱动石油深井钻机项目产品规格品种多样，且单批生产数量较小。为满足这一特点，电驱动石油深井钻机项目承办单位将建设先进的柔性制造生产线。通过广泛应用柔性制造技术，电驱动石油深井钻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驱动石油深井钻机项目采用的技术具有较高的技术含量和自动化水平，处于国内先进水平。这一技术选用不仅体现了对生产效率、质量和环境友好性的高标准要求，同时为电驱动石油深井钻机项目的可持续发展奠定了坚实的基础。</w:t>
      </w:r>
    </w:p>
    <w:p>
      <w:pPr>
        <w:pStyle w:val="Heading2"/>
        <w:ind w:firstLine="560" w:firstLineChars="200"/>
        <w:rPr>
          <w:rFonts w:ascii="仿宋" w:eastAsia="仿宋" w:hAnsi="仿宋" w:cs="仿宋" w:hint="eastAsia"/>
          <w:sz w:val="28"/>
          <w:lang w:eastAsia="zh-CN"/>
        </w:rPr>
      </w:pPr>
      <w:bookmarkStart w:id="14" w:name="_Toc8421"/>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为确保电驱动石油深井钻机项目的高效生产和技术实施，我们制定了一套精心设计的设备选型方案，以满足电驱动石油深井钻机项目生产、质量和环保的要求。该方案的主要特点如下：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驱动石油深井钻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针对电驱动石油深井钻机项目产品的多样性和小批量生产的特点，我们将建设柔性制造生产线。通过在设备选型中考虑柔性制造技术，可以灵活应对不同产品规格和生产需求，实现生产线的高度灵活性和适应性。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5655"/>
      <w:r>
        <w:rPr>
          <w:rFonts w:ascii="仿宋" w:eastAsia="仿宋" w:hAnsi="仿宋" w:cs="仿宋" w:hint="eastAsia"/>
          <w:sz w:val="28"/>
          <w:lang w:eastAsia="zh-CN"/>
        </w:rPr>
        <w:t>五、电驱动石油深井钻机项目选址可行性分析</w:t>
      </w:r>
      <w:bookmarkEnd w:id="15"/>
    </w:p>
    <w:p>
      <w:pPr>
        <w:pStyle w:val="Heading2"/>
        <w:rPr>
          <w:rFonts w:ascii="仿宋" w:eastAsia="仿宋" w:hAnsi="仿宋" w:cs="仿宋" w:hint="eastAsia"/>
          <w:lang w:eastAsia="zh-CN"/>
        </w:rPr>
      </w:pPr>
      <w:bookmarkStart w:id="16" w:name="_Toc21811"/>
      <w:r>
        <w:rPr>
          <w:rFonts w:ascii="仿宋" w:eastAsia="仿宋" w:hAnsi="仿宋" w:cs="仿宋" w:hint="eastAsia"/>
          <w:lang w:eastAsia="zh-CN"/>
        </w:rPr>
        <w:t>(一)、电驱动石油深井钻机项目选址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该电驱动石油深井钻机项目选址位于XX省XX市XX区XXX街道</w:t>
      </w:r>
    </w:p>
    <w:p>
      <w:pPr>
        <w:pStyle w:val="Heading2"/>
        <w:ind w:firstLine="560" w:firstLineChars="200"/>
        <w:rPr>
          <w:rFonts w:ascii="仿宋" w:eastAsia="仿宋" w:hAnsi="仿宋" w:cs="仿宋" w:hint="eastAsia"/>
          <w:sz w:val="28"/>
          <w:lang w:eastAsia="zh-CN"/>
        </w:rPr>
      </w:pPr>
      <w:bookmarkStart w:id="17" w:name="_Toc31817"/>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驱动石油深井钻机项目的征地面积将根据电驱动石油深井钻机项目的实际规模和需求进行精确规划。具体面积XXX平方米，旨在确保电驱动石油深井钻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净用地面积是在征地面积基础上去除不可利用面积后的实际可开发用地。具体面积XXX平方米，考虑到环保、交通、安全等多方面因素，以确保电驱动石油深井钻机项目在整体利用效率上达到最优。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电驱动石油深井钻机项目计划建设的建筑总规模具体面积XXX平方米。这一规模的确定综合考虑了电驱动石油深井钻机项目的性质、规模，以及城市规划的相关要求，确保建筑布局与周边环境协调一致。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绿地率： 绿地率是电驱动石油深井钻机项目用地中被规划为绿地的比例。具体面积XXX平方米，旨在通过合理规划绿地，改善电驱动石油深井钻机项目周边环境，提升居民生活质量，并符合城市整体绿化规划。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容积率是用地上可以建设的建筑总体积与用地面积之比。具体面积XXX，通过合理的容积率规划，确保电驱动石油深井钻机项目建筑规模与周边环境和谐共生。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驱动石油深井钻机项目选址与当地城市规划相一致，具体面积XXX平方米。通过与城市规划部门深入沟通，确保电驱动石油深井钻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驱动石油深井钻机项目选址符合当地产业政策，具体面积XXX平方米。这包括电驱动石油深井钻机项目对当地经济的促进作用，以及对相关产业的带动效应，确保电驱动石油深井钻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用地总体要求必须符合环保和可持续发展的原则，具体面积XXX平方米。通过采用绿色建筑设计、节能减排等措施，确保电驱动石油深井钻机项目在建设和运营过程中对环境的影响最小化，达到可持续发展的要求。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确保电驱动石油深井钻机项目选址具备必要的公共设施配套，具体面积XXX平方米。这包括交通便利性、教育、医疗等基础设施，以提高居民生活品质，使得电驱动石油深井钻机项目选址更具吸引力。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https://d.book118.com/495030113301011122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BA6851"/>
    <w:rsid w:val="33BA68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5030113301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2024-03-01T22:30:00Z</dcterms:created>
  <dcterms:modified xsi:type="dcterms:W3CDTF">2024-03-01T22:30:52Z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879AA71629004AA6980530894AD3BFF2_11</vt:lpwstr>
  </property>
  <property fmtid="{D5CDD505-2E9C-101B-9397-08002B2CF9AE}" pid="3" name="KSOProductBuildVer">
    <vt:lpwstr>2052-12.1.0.16388</vt:lpwstr>
  </property>
</Properties>
</file>