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会展物流项目建设方案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487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_Toc24871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36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_Toc31036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8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_Toc26788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2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_Toc12325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_Toc8805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_Toc5004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4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_Toc16849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92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_Toc25992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1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_Toc5061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_Toc3605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77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_Toc23677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4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_Toc5104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00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_Toc13700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_Toc10543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_Toc29805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_Toc20896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87" w:history="1">
        <w:r>
          <w:rPr>
            <w:rFonts w:ascii="仿宋" w:eastAsia="仿宋" w:hAnsi="仿宋" w:cs="仿宋" w:hint="eastAsia"/>
            <w:lang w:eastAsia="zh-CN"/>
          </w:rPr>
          <w:t>四、建设风险评估分析</w:t>
        </w:r>
        <w:r>
          <w:tab/>
        </w:r>
        <w:r>
          <w:fldChar w:fldCharType="begin"/>
        </w:r>
        <w:r>
          <w:instrText xml:space="preserve"> PAGEREF _Toc10287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4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_Toc6464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_Toc27203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1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_Toc17221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_Toc27146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05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_Toc24205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_Toc3070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_Toc21105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_Toc947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3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_Toc20303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13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_Toc18113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1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_Toc10314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7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_Toc26627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8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_Toc2058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_Toc9685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16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_Toc16516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_Toc2869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0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_Toc13850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6" w:history="1">
        <w:r>
          <w:rPr>
            <w:rFonts w:ascii="仿宋" w:eastAsia="仿宋" w:hAnsi="仿宋" w:cs="仿宋" w:hint="eastAsia"/>
            <w:lang w:eastAsia="zh-CN"/>
          </w:rPr>
          <w:t>六、社会影响分析</w:t>
        </w:r>
        <w:r>
          <w:tab/>
        </w:r>
        <w:r>
          <w:fldChar w:fldCharType="begin"/>
        </w:r>
        <w:r>
          <w:instrText xml:space="preserve"> PAGEREF _Toc17136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8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_Toc10380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26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_Toc30026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14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_Toc28814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0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_Toc3000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3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_Toc16134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9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_Toc21419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922" w:history="1">
        <w:r>
          <w:rPr>
            <w:rFonts w:ascii="仿宋" w:eastAsia="仿宋" w:hAnsi="仿宋" w:cs="仿宋" w:hint="eastAsia"/>
            <w:lang w:eastAsia="zh-CN"/>
          </w:rPr>
          <w:t>八、项目质量与标准</w:t>
        </w:r>
        <w:r>
          <w:tab/>
        </w:r>
        <w:r>
          <w:fldChar w:fldCharType="begin"/>
        </w:r>
        <w:r>
          <w:instrText xml:space="preserve"> PAGEREF _Toc4922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_Toc131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_Toc1914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85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_Toc19985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8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_Toc20488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77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_Toc20577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6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_Toc26186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6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_Toc8866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79" w:history="1">
        <w:r>
          <w:rPr>
            <w:rFonts w:ascii="仿宋" w:eastAsia="仿宋" w:hAnsi="仿宋" w:cs="仿宋" w:hint="eastAsia"/>
            <w:lang w:eastAsia="zh-CN"/>
          </w:rPr>
          <w:t>十、项目进度计划</w:t>
        </w:r>
        <w:r>
          <w:tab/>
        </w:r>
        <w:r>
          <w:fldChar w:fldCharType="begin"/>
        </w:r>
        <w:r>
          <w:instrText xml:space="preserve"> PAGEREF _Toc27279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0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_Toc30300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6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_Toc22760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0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_Toc19805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7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_Toc20967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_Toc15358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_Toc32325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5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_Toc16055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9" w:history="1">
        <w:r>
          <w:rPr>
            <w:rFonts w:ascii="仿宋" w:eastAsia="仿宋" w:hAnsi="仿宋" w:cs="仿宋" w:hint="eastAsia"/>
            <w:lang w:eastAsia="zh-CN"/>
          </w:rPr>
          <w:t>十一、环境保护与治理方案</w:t>
        </w:r>
        <w:r>
          <w:tab/>
        </w:r>
        <w:r>
          <w:fldChar w:fldCharType="begin"/>
        </w:r>
        <w:r>
          <w:instrText xml:space="preserve"> PAGEREF _Toc3259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4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_Toc17684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_Toc909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90" w:history="1">
        <w:r>
          <w:rPr>
            <w:rFonts w:ascii="仿宋" w:eastAsia="仿宋" w:hAnsi="仿宋" w:cs="仿宋" w:hint="eastAsia"/>
            <w:lang w:eastAsia="zh-CN"/>
          </w:rPr>
          <w:t>十二、环境保护与绿色发展</w:t>
        </w:r>
        <w:r>
          <w:tab/>
        </w:r>
        <w:r>
          <w:fldChar w:fldCharType="begin"/>
        </w:r>
        <w:r>
          <w:instrText xml:space="preserve"> PAGEREF _Toc25990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6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_Toc11167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_Toc2226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05" w:history="1">
        <w:r>
          <w:rPr>
            <w:rFonts w:ascii="仿宋" w:eastAsia="仿宋" w:hAnsi="仿宋" w:cs="仿宋" w:hint="eastAsia"/>
            <w:lang w:eastAsia="zh-CN"/>
          </w:rPr>
          <w:t>十三、人力资源管理与开发</w:t>
        </w:r>
        <w:r>
          <w:tab/>
        </w:r>
        <w:r>
          <w:fldChar w:fldCharType="begin"/>
        </w:r>
        <w:r>
          <w:instrText xml:space="preserve"> PAGEREF _Toc18705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_Toc4127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3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_Toc13732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15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_Toc23415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_Toc21381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_Toc26811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94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_Toc17194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_Toc28434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5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_Toc23915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84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_Toc4384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9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_Toc15094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7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_Toc27397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375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_Toc7375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3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_Toc8573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9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_Toc25989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487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1036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78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会展物流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32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会展物流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会展物流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会展物流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880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00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在会展物流项目启动前，将进行一系列深入的地质调查，包括钻探和土壤取样，以深入了解项目区域的地层结构和土壤组成。特别是对于土壤的承载能力和地下水位的深度进行详细评估。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完成初始的地质风险评估后，会展物流项目将安装长期地质监测设备，如倾斜仪、裂缝计和地下水位计，以持续监测地质条件的变化。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684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会展物流项目将通过这些措施来适应和尊重特殊环境条件，确保项目的可持续发展，同时减少对环境的负面影响。这不仅有助于保护自然和文化遗产，还能提升项目在社会责任方面的表现和形象。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5992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5061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直接收益：假设会展物流项目的产品或服务年销售收入为XX万元。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https://d.book118.com/495121332233011103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会展物流项目建设方案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56C3732"/>
    <w:rsid w:val="056C373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95121332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2024-02-06T21:09:00Z</dcterms:created>
  <dcterms:modified xsi:type="dcterms:W3CDTF">2024-02-06T21:09:40Z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7B26FEDD9D3545FB911AA60A57C34E18_11</vt:lpwstr>
  </property>
  <property fmtid="{D5CDD505-2E9C-101B-9397-08002B2CF9AE}" pid="3" name="KSOProductBuildVer">
    <vt:lpwstr>2052-12.1.0.16250</vt:lpwstr>
  </property>
</Properties>
</file>