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液态食品无菌罐装设备项目规划设计方案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60" w:history="1">
        <w:r>
          <w:rPr>
            <w:rFonts w:ascii="仿宋" w:eastAsia="仿宋" w:hAnsi="仿宋" w:cs="仿宋" w:hint="eastAsia"/>
            <w:lang w:eastAsia="zh-CN"/>
          </w:rPr>
          <w:t>前言</w:t>
        </w:r>
        <w:r>
          <w:tab/>
        </w:r>
        <w:r>
          <w:fldChar w:fldCharType="begin"/>
        </w:r>
        <w:r>
          <w:instrText xml:space="preserve"> PAGEREF _Toc19160 \h </w:instrText>
        </w:r>
        <w:r>
          <w:fldChar w:fldCharType="separate"/>
        </w:r>
        <w:r>
          <w:t>3</w:t>
        </w:r>
        <w:r>
          <w:fldChar w:fldCharType="end"/>
        </w:r>
      </w:hyperlink>
    </w:p>
    <w:p>
      <w:pPr>
        <w:pStyle w:val="TOC1"/>
        <w:tabs>
          <w:tab w:val="right" w:leader="dot" w:pos="8306"/>
        </w:tabs>
      </w:pPr>
      <w:hyperlink w:anchor="_Toc30569" w:history="1">
        <w:r>
          <w:rPr>
            <w:rFonts w:ascii="仿宋" w:eastAsia="仿宋" w:hAnsi="仿宋" w:cs="仿宋" w:hint="eastAsia"/>
            <w:lang w:eastAsia="zh-CN"/>
          </w:rPr>
          <w:t>一、液态食品无菌罐装设备项目绩效评估</w:t>
        </w:r>
        <w:r>
          <w:tab/>
        </w:r>
        <w:r>
          <w:fldChar w:fldCharType="begin"/>
        </w:r>
        <w:r>
          <w:instrText xml:space="preserve"> PAGEREF _Toc30569 \h </w:instrText>
        </w:r>
        <w:r>
          <w:fldChar w:fldCharType="separate"/>
        </w:r>
        <w:r>
          <w:t>3</w:t>
        </w:r>
        <w:r>
          <w:fldChar w:fldCharType="end"/>
        </w:r>
      </w:hyperlink>
    </w:p>
    <w:p>
      <w:pPr>
        <w:pStyle w:val="TOC2"/>
        <w:tabs>
          <w:tab w:val="right" w:leader="dot" w:pos="8306"/>
        </w:tabs>
      </w:pPr>
      <w:hyperlink w:anchor="_Toc20825" w:history="1">
        <w:r>
          <w:rPr>
            <w:rFonts w:ascii="仿宋" w:eastAsia="仿宋" w:hAnsi="仿宋" w:cs="仿宋" w:hint="eastAsia"/>
            <w:lang w:eastAsia="zh-CN"/>
          </w:rPr>
          <w:t>(一)、绩效评估指标</w:t>
        </w:r>
        <w:r>
          <w:tab/>
        </w:r>
        <w:r>
          <w:fldChar w:fldCharType="begin"/>
        </w:r>
        <w:r>
          <w:instrText xml:space="preserve"> PAGEREF _Toc20825 \h </w:instrText>
        </w:r>
        <w:r>
          <w:fldChar w:fldCharType="separate"/>
        </w:r>
        <w:r>
          <w:t>3</w:t>
        </w:r>
        <w:r>
          <w:fldChar w:fldCharType="end"/>
        </w:r>
      </w:hyperlink>
    </w:p>
    <w:p>
      <w:pPr>
        <w:pStyle w:val="TOC2"/>
        <w:tabs>
          <w:tab w:val="right" w:leader="dot" w:pos="8306"/>
        </w:tabs>
      </w:pPr>
      <w:hyperlink w:anchor="_Toc3410" w:history="1">
        <w:r>
          <w:rPr>
            <w:rFonts w:ascii="仿宋" w:eastAsia="仿宋" w:hAnsi="仿宋" w:cs="仿宋" w:hint="eastAsia"/>
            <w:lang w:eastAsia="zh-CN"/>
          </w:rPr>
          <w:t>(二)、绩效评估方法</w:t>
        </w:r>
        <w:r>
          <w:tab/>
        </w:r>
        <w:r>
          <w:fldChar w:fldCharType="begin"/>
        </w:r>
        <w:r>
          <w:instrText xml:space="preserve"> PAGEREF _Toc3410 \h </w:instrText>
        </w:r>
        <w:r>
          <w:fldChar w:fldCharType="separate"/>
        </w:r>
        <w:r>
          <w:t>4</w:t>
        </w:r>
        <w:r>
          <w:fldChar w:fldCharType="end"/>
        </w:r>
      </w:hyperlink>
    </w:p>
    <w:p>
      <w:pPr>
        <w:pStyle w:val="TOC2"/>
        <w:tabs>
          <w:tab w:val="right" w:leader="dot" w:pos="8306"/>
        </w:tabs>
      </w:pPr>
      <w:hyperlink w:anchor="_Toc509" w:history="1">
        <w:r>
          <w:rPr>
            <w:rFonts w:ascii="仿宋" w:eastAsia="仿宋" w:hAnsi="仿宋" w:cs="仿宋" w:hint="eastAsia"/>
            <w:lang w:eastAsia="zh-CN"/>
          </w:rPr>
          <w:t>(三)、绩效评估周期</w:t>
        </w:r>
        <w:r>
          <w:tab/>
        </w:r>
        <w:r>
          <w:fldChar w:fldCharType="begin"/>
        </w:r>
        <w:r>
          <w:instrText xml:space="preserve"> PAGEREF _Toc509 \h </w:instrText>
        </w:r>
        <w:r>
          <w:fldChar w:fldCharType="separate"/>
        </w:r>
        <w:r>
          <w:t>5</w:t>
        </w:r>
        <w:r>
          <w:fldChar w:fldCharType="end"/>
        </w:r>
      </w:hyperlink>
    </w:p>
    <w:p>
      <w:pPr>
        <w:pStyle w:val="TOC1"/>
        <w:tabs>
          <w:tab w:val="right" w:leader="dot" w:pos="8306"/>
        </w:tabs>
      </w:pPr>
      <w:hyperlink w:anchor="_Toc22633" w:history="1">
        <w:r>
          <w:rPr>
            <w:rFonts w:ascii="仿宋" w:eastAsia="仿宋" w:hAnsi="仿宋" w:cs="仿宋" w:hint="eastAsia"/>
            <w:lang w:eastAsia="zh-CN"/>
          </w:rPr>
          <w:t>二、液态食品无菌罐装设备项目选址可行性分析</w:t>
        </w:r>
        <w:r>
          <w:tab/>
        </w:r>
        <w:r>
          <w:fldChar w:fldCharType="begin"/>
        </w:r>
        <w:r>
          <w:instrText xml:space="preserve"> PAGEREF _Toc22633 \h </w:instrText>
        </w:r>
        <w:r>
          <w:fldChar w:fldCharType="separate"/>
        </w:r>
        <w:r>
          <w:t>6</w:t>
        </w:r>
        <w:r>
          <w:fldChar w:fldCharType="end"/>
        </w:r>
      </w:hyperlink>
    </w:p>
    <w:p>
      <w:pPr>
        <w:pStyle w:val="TOC2"/>
        <w:tabs>
          <w:tab w:val="right" w:leader="dot" w:pos="8306"/>
        </w:tabs>
      </w:pPr>
      <w:hyperlink w:anchor="_Toc27978" w:history="1">
        <w:r>
          <w:rPr>
            <w:rFonts w:ascii="仿宋" w:eastAsia="仿宋" w:hAnsi="仿宋" w:cs="仿宋" w:hint="eastAsia"/>
            <w:lang w:eastAsia="zh-CN"/>
          </w:rPr>
          <w:t>(一)、液态食品无菌罐装设备项目选址</w:t>
        </w:r>
        <w:r>
          <w:tab/>
        </w:r>
        <w:r>
          <w:fldChar w:fldCharType="begin"/>
        </w:r>
        <w:r>
          <w:instrText xml:space="preserve"> PAGEREF _Toc27978 \h </w:instrText>
        </w:r>
        <w:r>
          <w:fldChar w:fldCharType="separate"/>
        </w:r>
        <w:r>
          <w:t>6</w:t>
        </w:r>
        <w:r>
          <w:fldChar w:fldCharType="end"/>
        </w:r>
      </w:hyperlink>
    </w:p>
    <w:p>
      <w:pPr>
        <w:pStyle w:val="TOC2"/>
        <w:tabs>
          <w:tab w:val="right" w:leader="dot" w:pos="8306"/>
        </w:tabs>
      </w:pPr>
      <w:hyperlink w:anchor="_Toc1513" w:history="1">
        <w:r>
          <w:rPr>
            <w:rFonts w:ascii="仿宋" w:eastAsia="仿宋" w:hAnsi="仿宋" w:cs="仿宋" w:hint="eastAsia"/>
            <w:lang w:eastAsia="zh-CN"/>
          </w:rPr>
          <w:t>(二)、用地控制指标</w:t>
        </w:r>
        <w:r>
          <w:tab/>
        </w:r>
        <w:r>
          <w:fldChar w:fldCharType="begin"/>
        </w:r>
        <w:r>
          <w:instrText xml:space="preserve"> PAGEREF _Toc1513 \h </w:instrText>
        </w:r>
        <w:r>
          <w:fldChar w:fldCharType="separate"/>
        </w:r>
        <w:r>
          <w:t>7</w:t>
        </w:r>
        <w:r>
          <w:fldChar w:fldCharType="end"/>
        </w:r>
      </w:hyperlink>
    </w:p>
    <w:p>
      <w:pPr>
        <w:pStyle w:val="TOC2"/>
        <w:tabs>
          <w:tab w:val="right" w:leader="dot" w:pos="8306"/>
        </w:tabs>
      </w:pPr>
      <w:hyperlink w:anchor="_Toc5939" w:history="1">
        <w:r>
          <w:rPr>
            <w:rFonts w:ascii="仿宋" w:eastAsia="仿宋" w:hAnsi="仿宋" w:cs="仿宋" w:hint="eastAsia"/>
            <w:lang w:eastAsia="zh-CN"/>
          </w:rPr>
          <w:t>(三)、节约用地措施</w:t>
        </w:r>
        <w:r>
          <w:tab/>
        </w:r>
        <w:r>
          <w:fldChar w:fldCharType="begin"/>
        </w:r>
        <w:r>
          <w:instrText xml:space="preserve"> PAGEREF _Toc5939 \h </w:instrText>
        </w:r>
        <w:r>
          <w:fldChar w:fldCharType="separate"/>
        </w:r>
        <w:r>
          <w:t>9</w:t>
        </w:r>
        <w:r>
          <w:fldChar w:fldCharType="end"/>
        </w:r>
      </w:hyperlink>
    </w:p>
    <w:p>
      <w:pPr>
        <w:pStyle w:val="TOC2"/>
        <w:tabs>
          <w:tab w:val="right" w:leader="dot" w:pos="8306"/>
        </w:tabs>
      </w:pPr>
      <w:hyperlink w:anchor="_Toc28437" w:history="1">
        <w:r>
          <w:rPr>
            <w:rFonts w:ascii="仿宋" w:eastAsia="仿宋" w:hAnsi="仿宋" w:cs="仿宋" w:hint="eastAsia"/>
            <w:lang w:eastAsia="zh-CN"/>
          </w:rPr>
          <w:t>(四)、总图布置方案</w:t>
        </w:r>
        <w:r>
          <w:tab/>
        </w:r>
        <w:r>
          <w:fldChar w:fldCharType="begin"/>
        </w:r>
        <w:r>
          <w:instrText xml:space="preserve"> PAGEREF _Toc28437 \h </w:instrText>
        </w:r>
        <w:r>
          <w:fldChar w:fldCharType="separate"/>
        </w:r>
        <w:r>
          <w:t>10</w:t>
        </w:r>
        <w:r>
          <w:fldChar w:fldCharType="end"/>
        </w:r>
      </w:hyperlink>
    </w:p>
    <w:p>
      <w:pPr>
        <w:pStyle w:val="TOC2"/>
        <w:tabs>
          <w:tab w:val="right" w:leader="dot" w:pos="8306"/>
        </w:tabs>
      </w:pPr>
      <w:hyperlink w:anchor="_Toc11425" w:history="1">
        <w:r>
          <w:rPr>
            <w:rFonts w:ascii="仿宋" w:eastAsia="仿宋" w:hAnsi="仿宋" w:cs="仿宋" w:hint="eastAsia"/>
            <w:lang w:eastAsia="zh-CN"/>
          </w:rPr>
          <w:t>(五)、选址综合评价</w:t>
        </w:r>
        <w:r>
          <w:tab/>
        </w:r>
        <w:r>
          <w:fldChar w:fldCharType="begin"/>
        </w:r>
        <w:r>
          <w:instrText xml:space="preserve"> PAGEREF _Toc11425 \h </w:instrText>
        </w:r>
        <w:r>
          <w:fldChar w:fldCharType="separate"/>
        </w:r>
        <w:r>
          <w:t>11</w:t>
        </w:r>
        <w:r>
          <w:fldChar w:fldCharType="end"/>
        </w:r>
      </w:hyperlink>
    </w:p>
    <w:p>
      <w:pPr>
        <w:pStyle w:val="TOC1"/>
        <w:tabs>
          <w:tab w:val="right" w:leader="dot" w:pos="8306"/>
        </w:tabs>
      </w:pPr>
      <w:hyperlink w:anchor="_Toc11031" w:history="1">
        <w:r>
          <w:rPr>
            <w:rFonts w:ascii="仿宋" w:eastAsia="仿宋" w:hAnsi="仿宋" w:cs="仿宋" w:hint="eastAsia"/>
            <w:lang w:eastAsia="zh-CN"/>
          </w:rPr>
          <w:t>三、液态食品无菌罐装设备项目可持续发展</w:t>
        </w:r>
        <w:r>
          <w:tab/>
        </w:r>
        <w:r>
          <w:fldChar w:fldCharType="begin"/>
        </w:r>
        <w:r>
          <w:instrText xml:space="preserve"> PAGEREF _Toc11031 \h </w:instrText>
        </w:r>
        <w:r>
          <w:fldChar w:fldCharType="separate"/>
        </w:r>
        <w:r>
          <w:t>12</w:t>
        </w:r>
        <w:r>
          <w:fldChar w:fldCharType="end"/>
        </w:r>
      </w:hyperlink>
    </w:p>
    <w:p>
      <w:pPr>
        <w:pStyle w:val="TOC2"/>
        <w:tabs>
          <w:tab w:val="right" w:leader="dot" w:pos="8306"/>
        </w:tabs>
      </w:pPr>
      <w:hyperlink w:anchor="_Toc13911" w:history="1">
        <w:r>
          <w:rPr>
            <w:rFonts w:ascii="仿宋" w:eastAsia="仿宋" w:hAnsi="仿宋" w:cs="仿宋" w:hint="eastAsia"/>
            <w:lang w:eastAsia="zh-CN"/>
          </w:rPr>
          <w:t>(一)、可持续战略与实践</w:t>
        </w:r>
        <w:r>
          <w:tab/>
        </w:r>
        <w:r>
          <w:fldChar w:fldCharType="begin"/>
        </w:r>
        <w:r>
          <w:instrText xml:space="preserve"> PAGEREF _Toc13911 \h </w:instrText>
        </w:r>
        <w:r>
          <w:fldChar w:fldCharType="separate"/>
        </w:r>
        <w:r>
          <w:t>12</w:t>
        </w:r>
        <w:r>
          <w:fldChar w:fldCharType="end"/>
        </w:r>
      </w:hyperlink>
    </w:p>
    <w:p>
      <w:pPr>
        <w:pStyle w:val="TOC2"/>
        <w:tabs>
          <w:tab w:val="right" w:leader="dot" w:pos="8306"/>
        </w:tabs>
      </w:pPr>
      <w:hyperlink w:anchor="_Toc15587" w:history="1">
        <w:r>
          <w:rPr>
            <w:rFonts w:ascii="仿宋" w:eastAsia="仿宋" w:hAnsi="仿宋" w:cs="仿宋" w:hint="eastAsia"/>
            <w:lang w:eastAsia="zh-CN"/>
          </w:rPr>
          <w:t>(二)、环保与社会责任</w:t>
        </w:r>
        <w:r>
          <w:tab/>
        </w:r>
        <w:r>
          <w:fldChar w:fldCharType="begin"/>
        </w:r>
        <w:r>
          <w:instrText xml:space="preserve"> PAGEREF _Toc15587 \h </w:instrText>
        </w:r>
        <w:r>
          <w:fldChar w:fldCharType="separate"/>
        </w:r>
        <w:r>
          <w:t>13</w:t>
        </w:r>
        <w:r>
          <w:fldChar w:fldCharType="end"/>
        </w:r>
      </w:hyperlink>
    </w:p>
    <w:p>
      <w:pPr>
        <w:pStyle w:val="TOC1"/>
        <w:tabs>
          <w:tab w:val="right" w:leader="dot" w:pos="8306"/>
        </w:tabs>
      </w:pPr>
      <w:hyperlink w:anchor="_Toc15306" w:history="1">
        <w:r>
          <w:rPr>
            <w:rFonts w:ascii="仿宋" w:eastAsia="仿宋" w:hAnsi="仿宋" w:cs="仿宋" w:hint="eastAsia"/>
            <w:lang w:eastAsia="zh-CN"/>
          </w:rPr>
          <w:t>四、市场分析、调研</w:t>
        </w:r>
        <w:r>
          <w:tab/>
        </w:r>
        <w:r>
          <w:fldChar w:fldCharType="begin"/>
        </w:r>
        <w:r>
          <w:instrText xml:space="preserve"> PAGEREF _Toc15306 \h </w:instrText>
        </w:r>
        <w:r>
          <w:fldChar w:fldCharType="separate"/>
        </w:r>
        <w:r>
          <w:t>14</w:t>
        </w:r>
        <w:r>
          <w:fldChar w:fldCharType="end"/>
        </w:r>
      </w:hyperlink>
    </w:p>
    <w:p>
      <w:pPr>
        <w:pStyle w:val="TOC2"/>
        <w:tabs>
          <w:tab w:val="right" w:leader="dot" w:pos="8306"/>
        </w:tabs>
      </w:pPr>
      <w:hyperlink w:anchor="_Toc9504" w:history="1">
        <w:r>
          <w:rPr>
            <w:rFonts w:ascii="仿宋" w:eastAsia="仿宋" w:hAnsi="仿宋" w:cs="仿宋" w:hint="eastAsia"/>
            <w:lang w:eastAsia="zh-CN"/>
          </w:rPr>
          <w:t>(一)、液态食品无菌罐装设备行业分析</w:t>
        </w:r>
        <w:r>
          <w:tab/>
        </w:r>
        <w:r>
          <w:fldChar w:fldCharType="begin"/>
        </w:r>
        <w:r>
          <w:instrText xml:space="preserve"> PAGEREF _Toc9504 \h </w:instrText>
        </w:r>
        <w:r>
          <w:fldChar w:fldCharType="separate"/>
        </w:r>
        <w:r>
          <w:t>14</w:t>
        </w:r>
        <w:r>
          <w:fldChar w:fldCharType="end"/>
        </w:r>
      </w:hyperlink>
    </w:p>
    <w:p>
      <w:pPr>
        <w:pStyle w:val="TOC2"/>
        <w:tabs>
          <w:tab w:val="right" w:leader="dot" w:pos="8306"/>
        </w:tabs>
      </w:pPr>
      <w:hyperlink w:anchor="_Toc7656" w:history="1">
        <w:r>
          <w:rPr>
            <w:rFonts w:ascii="仿宋" w:eastAsia="仿宋" w:hAnsi="仿宋" w:cs="仿宋" w:hint="eastAsia"/>
            <w:lang w:eastAsia="zh-CN"/>
          </w:rPr>
          <w:t>(二)、液态食品无菌罐装设备市场分析预测</w:t>
        </w:r>
        <w:r>
          <w:tab/>
        </w:r>
        <w:r>
          <w:fldChar w:fldCharType="begin"/>
        </w:r>
        <w:r>
          <w:instrText xml:space="preserve"> PAGEREF _Toc7656 \h </w:instrText>
        </w:r>
        <w:r>
          <w:fldChar w:fldCharType="separate"/>
        </w:r>
        <w:r>
          <w:t>15</w:t>
        </w:r>
        <w:r>
          <w:fldChar w:fldCharType="end"/>
        </w:r>
      </w:hyperlink>
    </w:p>
    <w:p>
      <w:pPr>
        <w:pStyle w:val="TOC1"/>
        <w:tabs>
          <w:tab w:val="right" w:leader="dot" w:pos="8306"/>
        </w:tabs>
      </w:pPr>
      <w:hyperlink w:anchor="_Toc8293" w:history="1">
        <w:r>
          <w:rPr>
            <w:rFonts w:ascii="仿宋" w:eastAsia="仿宋" w:hAnsi="仿宋" w:cs="仿宋" w:hint="eastAsia"/>
            <w:lang w:eastAsia="zh-CN"/>
          </w:rPr>
          <w:t>五、工艺说明</w:t>
        </w:r>
        <w:r>
          <w:tab/>
        </w:r>
        <w:r>
          <w:fldChar w:fldCharType="begin"/>
        </w:r>
        <w:r>
          <w:instrText xml:space="preserve"> PAGEREF _Toc8293 \h </w:instrText>
        </w:r>
        <w:r>
          <w:fldChar w:fldCharType="separate"/>
        </w:r>
        <w:r>
          <w:t>16</w:t>
        </w:r>
        <w:r>
          <w:fldChar w:fldCharType="end"/>
        </w:r>
      </w:hyperlink>
    </w:p>
    <w:p>
      <w:pPr>
        <w:pStyle w:val="TOC2"/>
        <w:tabs>
          <w:tab w:val="right" w:leader="dot" w:pos="8306"/>
        </w:tabs>
      </w:pPr>
      <w:hyperlink w:anchor="_Toc28896" w:history="1">
        <w:r>
          <w:rPr>
            <w:rFonts w:ascii="仿宋" w:eastAsia="仿宋" w:hAnsi="仿宋" w:cs="仿宋" w:hint="eastAsia"/>
            <w:lang w:eastAsia="zh-CN"/>
          </w:rPr>
          <w:t>(一)、技术管理特点</w:t>
        </w:r>
        <w:r>
          <w:tab/>
        </w:r>
        <w:r>
          <w:fldChar w:fldCharType="begin"/>
        </w:r>
        <w:r>
          <w:instrText xml:space="preserve"> PAGEREF _Toc28896 \h </w:instrText>
        </w:r>
        <w:r>
          <w:fldChar w:fldCharType="separate"/>
        </w:r>
        <w:r>
          <w:t>16</w:t>
        </w:r>
        <w:r>
          <w:fldChar w:fldCharType="end"/>
        </w:r>
      </w:hyperlink>
    </w:p>
    <w:p>
      <w:pPr>
        <w:pStyle w:val="TOC2"/>
        <w:tabs>
          <w:tab w:val="right" w:leader="dot" w:pos="8306"/>
        </w:tabs>
      </w:pPr>
      <w:hyperlink w:anchor="_Toc23625" w:history="1">
        <w:r>
          <w:rPr>
            <w:rFonts w:ascii="仿宋" w:eastAsia="仿宋" w:hAnsi="仿宋" w:cs="仿宋" w:hint="eastAsia"/>
            <w:lang w:eastAsia="zh-CN"/>
          </w:rPr>
          <w:t>(二)、液态食品无菌罐装设备项目工艺技术设计方案</w:t>
        </w:r>
        <w:r>
          <w:tab/>
        </w:r>
        <w:r>
          <w:fldChar w:fldCharType="begin"/>
        </w:r>
        <w:r>
          <w:instrText xml:space="preserve"> PAGEREF _Toc23625 \h </w:instrText>
        </w:r>
        <w:r>
          <w:fldChar w:fldCharType="separate"/>
        </w:r>
        <w:r>
          <w:t>17</w:t>
        </w:r>
        <w:r>
          <w:fldChar w:fldCharType="end"/>
        </w:r>
      </w:hyperlink>
    </w:p>
    <w:p>
      <w:pPr>
        <w:pStyle w:val="TOC2"/>
        <w:tabs>
          <w:tab w:val="right" w:leader="dot" w:pos="8306"/>
        </w:tabs>
      </w:pPr>
      <w:hyperlink w:anchor="_Toc5484" w:history="1">
        <w:r>
          <w:rPr>
            <w:rFonts w:ascii="仿宋" w:eastAsia="仿宋" w:hAnsi="仿宋" w:cs="仿宋" w:hint="eastAsia"/>
            <w:lang w:eastAsia="zh-CN"/>
          </w:rPr>
          <w:t>(三)、设备选型方案</w:t>
        </w:r>
        <w:r>
          <w:tab/>
        </w:r>
        <w:r>
          <w:fldChar w:fldCharType="begin"/>
        </w:r>
        <w:r>
          <w:instrText xml:space="preserve"> PAGEREF _Toc5484 \h </w:instrText>
        </w:r>
        <w:r>
          <w:fldChar w:fldCharType="separate"/>
        </w:r>
        <w:r>
          <w:t>18</w:t>
        </w:r>
        <w:r>
          <w:fldChar w:fldCharType="end"/>
        </w:r>
      </w:hyperlink>
    </w:p>
    <w:p>
      <w:pPr>
        <w:pStyle w:val="TOC1"/>
        <w:tabs>
          <w:tab w:val="right" w:leader="dot" w:pos="8306"/>
        </w:tabs>
      </w:pPr>
      <w:hyperlink w:anchor="_Toc542" w:history="1">
        <w:r>
          <w:rPr>
            <w:rFonts w:ascii="仿宋" w:eastAsia="仿宋" w:hAnsi="仿宋" w:cs="仿宋" w:hint="eastAsia"/>
            <w:lang w:eastAsia="zh-CN"/>
          </w:rPr>
          <w:t>六、液态食品无菌罐装设备项目危机管理</w:t>
        </w:r>
        <w:r>
          <w:tab/>
        </w:r>
        <w:r>
          <w:fldChar w:fldCharType="begin"/>
        </w:r>
        <w:r>
          <w:instrText xml:space="preserve"> PAGEREF _Toc542 \h </w:instrText>
        </w:r>
        <w:r>
          <w:fldChar w:fldCharType="separate"/>
        </w:r>
        <w:r>
          <w:t>20</w:t>
        </w:r>
        <w:r>
          <w:fldChar w:fldCharType="end"/>
        </w:r>
      </w:hyperlink>
    </w:p>
    <w:p>
      <w:pPr>
        <w:pStyle w:val="TOC2"/>
        <w:tabs>
          <w:tab w:val="right" w:leader="dot" w:pos="8306"/>
        </w:tabs>
      </w:pPr>
      <w:hyperlink w:anchor="_Toc5420" w:history="1">
        <w:r>
          <w:rPr>
            <w:rFonts w:ascii="仿宋" w:eastAsia="仿宋" w:hAnsi="仿宋" w:cs="仿宋" w:hint="eastAsia"/>
            <w:lang w:eastAsia="zh-CN"/>
          </w:rPr>
          <w:t>(一)、危机预警与识别</w:t>
        </w:r>
        <w:r>
          <w:tab/>
        </w:r>
        <w:r>
          <w:fldChar w:fldCharType="begin"/>
        </w:r>
        <w:r>
          <w:instrText xml:space="preserve"> PAGEREF _Toc5420 \h </w:instrText>
        </w:r>
        <w:r>
          <w:fldChar w:fldCharType="separate"/>
        </w:r>
        <w:r>
          <w:t>20</w:t>
        </w:r>
        <w:r>
          <w:fldChar w:fldCharType="end"/>
        </w:r>
      </w:hyperlink>
    </w:p>
    <w:p>
      <w:pPr>
        <w:pStyle w:val="TOC2"/>
        <w:tabs>
          <w:tab w:val="right" w:leader="dot" w:pos="8306"/>
        </w:tabs>
      </w:pPr>
      <w:hyperlink w:anchor="_Toc11336" w:history="1">
        <w:r>
          <w:rPr>
            <w:rFonts w:ascii="仿宋" w:eastAsia="仿宋" w:hAnsi="仿宋" w:cs="仿宋" w:hint="eastAsia"/>
            <w:lang w:eastAsia="zh-CN"/>
          </w:rPr>
          <w:t>(二)、危机应对与恢复</w:t>
        </w:r>
        <w:r>
          <w:tab/>
        </w:r>
        <w:r>
          <w:fldChar w:fldCharType="begin"/>
        </w:r>
        <w:r>
          <w:instrText xml:space="preserve"> PAGEREF _Toc11336 \h </w:instrText>
        </w:r>
        <w:r>
          <w:fldChar w:fldCharType="separate"/>
        </w:r>
        <w:r>
          <w:t>21</w:t>
        </w:r>
        <w:r>
          <w:fldChar w:fldCharType="end"/>
        </w:r>
      </w:hyperlink>
    </w:p>
    <w:p>
      <w:pPr>
        <w:pStyle w:val="TOC1"/>
        <w:tabs>
          <w:tab w:val="right" w:leader="dot" w:pos="8306"/>
        </w:tabs>
      </w:pPr>
      <w:hyperlink w:anchor="_Toc8975" w:history="1">
        <w:r>
          <w:rPr>
            <w:rFonts w:ascii="仿宋" w:eastAsia="仿宋" w:hAnsi="仿宋" w:cs="仿宋" w:hint="eastAsia"/>
            <w:lang w:eastAsia="zh-CN"/>
          </w:rPr>
          <w:t>七、生产安全保护</w:t>
        </w:r>
        <w:r>
          <w:tab/>
        </w:r>
        <w:r>
          <w:fldChar w:fldCharType="begin"/>
        </w:r>
        <w:r>
          <w:instrText xml:space="preserve"> PAGEREF _Toc8975 \h </w:instrText>
        </w:r>
        <w:r>
          <w:fldChar w:fldCharType="separate"/>
        </w:r>
        <w:r>
          <w:t>22</w:t>
        </w:r>
        <w:r>
          <w:fldChar w:fldCharType="end"/>
        </w:r>
      </w:hyperlink>
    </w:p>
    <w:p>
      <w:pPr>
        <w:pStyle w:val="TOC2"/>
        <w:tabs>
          <w:tab w:val="right" w:leader="dot" w:pos="8306"/>
        </w:tabs>
      </w:pPr>
      <w:hyperlink w:anchor="_Toc17300" w:history="1">
        <w:r>
          <w:rPr>
            <w:rFonts w:ascii="仿宋" w:eastAsia="仿宋" w:hAnsi="仿宋" w:cs="仿宋" w:hint="eastAsia"/>
            <w:lang w:eastAsia="zh-CN"/>
          </w:rPr>
          <w:t>(一)、消防安全</w:t>
        </w:r>
        <w:r>
          <w:tab/>
        </w:r>
        <w:r>
          <w:fldChar w:fldCharType="begin"/>
        </w:r>
        <w:r>
          <w:instrText xml:space="preserve"> PAGEREF _Toc17300 \h </w:instrText>
        </w:r>
        <w:r>
          <w:fldChar w:fldCharType="separate"/>
        </w:r>
        <w:r>
          <w:t>22</w:t>
        </w:r>
        <w:r>
          <w:fldChar w:fldCharType="end"/>
        </w:r>
      </w:hyperlink>
    </w:p>
    <w:p>
      <w:pPr>
        <w:pStyle w:val="TOC2"/>
        <w:tabs>
          <w:tab w:val="right" w:leader="dot" w:pos="8306"/>
        </w:tabs>
      </w:pPr>
      <w:hyperlink w:anchor="_Toc26600" w:history="1">
        <w:r>
          <w:rPr>
            <w:rFonts w:ascii="仿宋" w:eastAsia="仿宋" w:hAnsi="仿宋" w:cs="仿宋" w:hint="eastAsia"/>
            <w:lang w:eastAsia="zh-CN"/>
          </w:rPr>
          <w:t>(二)、防火防爆总图布置措施</w:t>
        </w:r>
        <w:r>
          <w:tab/>
        </w:r>
        <w:r>
          <w:fldChar w:fldCharType="begin"/>
        </w:r>
        <w:r>
          <w:instrText xml:space="preserve"> PAGEREF _Toc26600 \h </w:instrText>
        </w:r>
        <w:r>
          <w:fldChar w:fldCharType="separate"/>
        </w:r>
        <w:r>
          <w:t>24</w:t>
        </w:r>
        <w:r>
          <w:fldChar w:fldCharType="end"/>
        </w:r>
      </w:hyperlink>
    </w:p>
    <w:p>
      <w:pPr>
        <w:pStyle w:val="TOC2"/>
        <w:tabs>
          <w:tab w:val="right" w:leader="dot" w:pos="8306"/>
        </w:tabs>
      </w:pPr>
      <w:hyperlink w:anchor="_Toc27641" w:history="1">
        <w:r>
          <w:rPr>
            <w:rFonts w:ascii="仿宋" w:eastAsia="仿宋" w:hAnsi="仿宋" w:cs="仿宋" w:hint="eastAsia"/>
            <w:lang w:eastAsia="zh-CN"/>
          </w:rPr>
          <w:t>(三)、自然灾害防范措施</w:t>
        </w:r>
        <w:r>
          <w:tab/>
        </w:r>
        <w:r>
          <w:fldChar w:fldCharType="begin"/>
        </w:r>
        <w:r>
          <w:instrText xml:space="preserve"> PAGEREF _Toc27641 \h </w:instrText>
        </w:r>
        <w:r>
          <w:fldChar w:fldCharType="separate"/>
        </w:r>
        <w:r>
          <w:t>25</w:t>
        </w:r>
        <w:r>
          <w:fldChar w:fldCharType="end"/>
        </w:r>
      </w:hyperlink>
    </w:p>
    <w:p>
      <w:pPr>
        <w:pStyle w:val="TOC2"/>
        <w:tabs>
          <w:tab w:val="right" w:leader="dot" w:pos="8306"/>
        </w:tabs>
      </w:pPr>
      <w:hyperlink w:anchor="_Toc17550" w:history="1">
        <w:r>
          <w:rPr>
            <w:rFonts w:ascii="仿宋" w:eastAsia="仿宋" w:hAnsi="仿宋" w:cs="仿宋" w:hint="eastAsia"/>
            <w:lang w:eastAsia="zh-CN"/>
          </w:rPr>
          <w:t>(四)、安全色及安全标志使用要求</w:t>
        </w:r>
        <w:r>
          <w:tab/>
        </w:r>
        <w:r>
          <w:fldChar w:fldCharType="begin"/>
        </w:r>
        <w:r>
          <w:instrText xml:space="preserve"> PAGEREF _Toc17550 \h </w:instrText>
        </w:r>
        <w:r>
          <w:fldChar w:fldCharType="separate"/>
        </w:r>
        <w:r>
          <w:t>26</w:t>
        </w:r>
        <w:r>
          <w:fldChar w:fldCharType="end"/>
        </w:r>
      </w:hyperlink>
    </w:p>
    <w:p>
      <w:pPr>
        <w:pStyle w:val="TOC2"/>
        <w:tabs>
          <w:tab w:val="right" w:leader="dot" w:pos="8306"/>
        </w:tabs>
      </w:pPr>
      <w:hyperlink w:anchor="_Toc9382" w:history="1">
        <w:r>
          <w:rPr>
            <w:rFonts w:ascii="仿宋" w:eastAsia="仿宋" w:hAnsi="仿宋" w:cs="仿宋" w:hint="eastAsia"/>
            <w:lang w:eastAsia="zh-CN"/>
          </w:rPr>
          <w:t>(五)、防尘防毒措施</w:t>
        </w:r>
        <w:r>
          <w:tab/>
        </w:r>
        <w:r>
          <w:fldChar w:fldCharType="begin"/>
        </w:r>
        <w:r>
          <w:instrText xml:space="preserve"> PAGEREF _Toc9382 \h </w:instrText>
        </w:r>
        <w:r>
          <w:fldChar w:fldCharType="separate"/>
        </w:r>
        <w:r>
          <w:t>27</w:t>
        </w:r>
        <w:r>
          <w:fldChar w:fldCharType="end"/>
        </w:r>
      </w:hyperlink>
    </w:p>
    <w:p>
      <w:pPr>
        <w:pStyle w:val="TOC2"/>
        <w:tabs>
          <w:tab w:val="right" w:leader="dot" w:pos="8306"/>
        </w:tabs>
      </w:pPr>
      <w:hyperlink w:anchor="_Toc15944" w:history="1">
        <w:r>
          <w:rPr>
            <w:rFonts w:ascii="仿宋" w:eastAsia="仿宋" w:hAnsi="仿宋" w:cs="仿宋" w:hint="eastAsia"/>
            <w:lang w:eastAsia="zh-CN"/>
          </w:rPr>
          <w:t>(六)、防静电、触电防护及防雷措施</w:t>
        </w:r>
        <w:r>
          <w:tab/>
        </w:r>
        <w:r>
          <w:fldChar w:fldCharType="begin"/>
        </w:r>
        <w:r>
          <w:instrText xml:space="preserve"> PAGEREF _Toc15944 \h </w:instrText>
        </w:r>
        <w:r>
          <w:fldChar w:fldCharType="separate"/>
        </w:r>
        <w:r>
          <w:t>28</w:t>
        </w:r>
        <w:r>
          <w:fldChar w:fldCharType="end"/>
        </w:r>
      </w:hyperlink>
    </w:p>
    <w:p>
      <w:pPr>
        <w:pStyle w:val="TOC2"/>
        <w:tabs>
          <w:tab w:val="right" w:leader="dot" w:pos="8306"/>
        </w:tabs>
      </w:pPr>
      <w:hyperlink w:anchor="_Toc7506" w:history="1">
        <w:r>
          <w:rPr>
            <w:rFonts w:ascii="仿宋" w:eastAsia="仿宋" w:hAnsi="仿宋" w:cs="仿宋" w:hint="eastAsia"/>
            <w:lang w:eastAsia="zh-CN"/>
          </w:rPr>
          <w:t>(七)、机械设备安全保障措施</w:t>
        </w:r>
        <w:r>
          <w:tab/>
        </w:r>
        <w:r>
          <w:fldChar w:fldCharType="begin"/>
        </w:r>
        <w:r>
          <w:instrText xml:space="preserve"> PAGEREF _Toc7506 \h </w:instrText>
        </w:r>
        <w:r>
          <w:fldChar w:fldCharType="separate"/>
        </w:r>
        <w:r>
          <w:t>29</w:t>
        </w:r>
        <w:r>
          <w:fldChar w:fldCharType="end"/>
        </w:r>
      </w:hyperlink>
    </w:p>
    <w:p>
      <w:pPr>
        <w:pStyle w:val="TOC1"/>
        <w:tabs>
          <w:tab w:val="right" w:leader="dot" w:pos="8306"/>
        </w:tabs>
      </w:pPr>
      <w:hyperlink w:anchor="_Toc12115" w:history="1">
        <w:r>
          <w:rPr>
            <w:rFonts w:ascii="仿宋" w:eastAsia="仿宋" w:hAnsi="仿宋" w:cs="仿宋" w:hint="eastAsia"/>
            <w:lang w:eastAsia="zh-CN"/>
          </w:rPr>
          <w:t>八、液态食品无菌罐装设备项目经营效益</w:t>
        </w:r>
        <w:r>
          <w:tab/>
        </w:r>
        <w:r>
          <w:fldChar w:fldCharType="begin"/>
        </w:r>
        <w:r>
          <w:instrText xml:space="preserve"> PAGEREF _Toc12115 \h </w:instrText>
        </w:r>
        <w:r>
          <w:fldChar w:fldCharType="separate"/>
        </w:r>
        <w:r>
          <w:t>31</w:t>
        </w:r>
        <w:r>
          <w:fldChar w:fldCharType="end"/>
        </w:r>
      </w:hyperlink>
    </w:p>
    <w:p>
      <w:pPr>
        <w:pStyle w:val="TOC2"/>
        <w:tabs>
          <w:tab w:val="right" w:leader="dot" w:pos="8306"/>
        </w:tabs>
      </w:pPr>
      <w:hyperlink w:anchor="_Toc4896" w:history="1">
        <w:r>
          <w:rPr>
            <w:rFonts w:ascii="仿宋" w:eastAsia="仿宋" w:hAnsi="仿宋" w:cs="仿宋" w:hint="eastAsia"/>
            <w:lang w:eastAsia="zh-CN"/>
          </w:rPr>
          <w:t>(一)、经济评价财务测算</w:t>
        </w:r>
        <w:r>
          <w:tab/>
        </w:r>
        <w:r>
          <w:fldChar w:fldCharType="begin"/>
        </w:r>
        <w:r>
          <w:instrText xml:space="preserve"> PAGEREF _Toc4896 \h </w:instrText>
        </w:r>
        <w:r>
          <w:fldChar w:fldCharType="separate"/>
        </w:r>
        <w:r>
          <w:t>31</w:t>
        </w:r>
        <w:r>
          <w:fldChar w:fldCharType="end"/>
        </w:r>
      </w:hyperlink>
    </w:p>
    <w:p>
      <w:pPr>
        <w:pStyle w:val="TOC2"/>
        <w:tabs>
          <w:tab w:val="right" w:leader="dot" w:pos="8306"/>
        </w:tabs>
      </w:pPr>
      <w:hyperlink w:anchor="_Toc25787" w:history="1">
        <w:r>
          <w:rPr>
            <w:rFonts w:ascii="仿宋" w:eastAsia="仿宋" w:hAnsi="仿宋" w:cs="仿宋" w:hint="eastAsia"/>
            <w:lang w:eastAsia="zh-CN"/>
          </w:rPr>
          <w:t>(二)、液态食品无菌罐装设备项目盈利能力分析</w:t>
        </w:r>
        <w:r>
          <w:tab/>
        </w:r>
        <w:r>
          <w:fldChar w:fldCharType="begin"/>
        </w:r>
        <w:r>
          <w:instrText xml:space="preserve"> PAGEREF _Toc25787 \h </w:instrText>
        </w:r>
        <w:r>
          <w:fldChar w:fldCharType="separate"/>
        </w:r>
        <w:r>
          <w:t>32</w:t>
        </w:r>
        <w:r>
          <w:fldChar w:fldCharType="end"/>
        </w:r>
      </w:hyperlink>
    </w:p>
    <w:p>
      <w:pPr>
        <w:pStyle w:val="TOC1"/>
        <w:tabs>
          <w:tab w:val="right" w:leader="dot" w:pos="8306"/>
        </w:tabs>
      </w:pPr>
      <w:hyperlink w:anchor="_Toc22937" w:history="1">
        <w:r>
          <w:rPr>
            <w:rFonts w:ascii="仿宋" w:eastAsia="仿宋" w:hAnsi="仿宋" w:cs="仿宋" w:hint="eastAsia"/>
            <w:lang w:eastAsia="zh-CN"/>
          </w:rPr>
          <w:t>九、液态食品无菌罐装设备项目风险管理</w:t>
        </w:r>
        <w:r>
          <w:tab/>
        </w:r>
        <w:r>
          <w:fldChar w:fldCharType="begin"/>
        </w:r>
        <w:r>
          <w:instrText xml:space="preserve"> PAGEREF _Toc22937 \h </w:instrText>
        </w:r>
        <w:r>
          <w:fldChar w:fldCharType="separate"/>
        </w:r>
        <w:r>
          <w:t>33</w:t>
        </w:r>
        <w:r>
          <w:fldChar w:fldCharType="end"/>
        </w:r>
      </w:hyperlink>
    </w:p>
    <w:p>
      <w:pPr>
        <w:pStyle w:val="TOC2"/>
        <w:tabs>
          <w:tab w:val="right" w:leader="dot" w:pos="8306"/>
        </w:tabs>
      </w:pPr>
      <w:hyperlink w:anchor="_Toc23522" w:history="1">
        <w:r>
          <w:rPr>
            <w:rFonts w:ascii="仿宋" w:eastAsia="仿宋" w:hAnsi="仿宋" w:cs="仿宋" w:hint="eastAsia"/>
            <w:lang w:eastAsia="zh-CN"/>
          </w:rPr>
          <w:t>(一)、风险识别与评估</w:t>
        </w:r>
        <w:r>
          <w:tab/>
        </w:r>
        <w:r>
          <w:fldChar w:fldCharType="begin"/>
        </w:r>
        <w:r>
          <w:instrText xml:space="preserve"> PAGEREF _Toc23522 \h </w:instrText>
        </w:r>
        <w:r>
          <w:fldChar w:fldCharType="separate"/>
        </w:r>
        <w:r>
          <w:t>33</w:t>
        </w:r>
        <w:r>
          <w:fldChar w:fldCharType="end"/>
        </w:r>
      </w:hyperlink>
    </w:p>
    <w:p>
      <w:pPr>
        <w:pStyle w:val="TOC2"/>
        <w:tabs>
          <w:tab w:val="right" w:leader="dot" w:pos="8306"/>
        </w:tabs>
      </w:pPr>
      <w:hyperlink w:anchor="_Toc6285" w:history="1">
        <w:r>
          <w:rPr>
            <w:rFonts w:ascii="仿宋" w:eastAsia="仿宋" w:hAnsi="仿宋" w:cs="仿宋" w:hint="eastAsia"/>
            <w:lang w:eastAsia="zh-CN"/>
          </w:rPr>
          <w:t>(二)、风险应对策略</w:t>
        </w:r>
        <w:r>
          <w:tab/>
        </w:r>
        <w:r>
          <w:fldChar w:fldCharType="begin"/>
        </w:r>
        <w:r>
          <w:instrText xml:space="preserve"> PAGEREF _Toc6285 \h </w:instrText>
        </w:r>
        <w:r>
          <w:fldChar w:fldCharType="separate"/>
        </w:r>
        <w:r>
          <w:t>34</w:t>
        </w:r>
        <w:r>
          <w:fldChar w:fldCharType="end"/>
        </w:r>
      </w:hyperlink>
    </w:p>
    <w:p>
      <w:pPr>
        <w:pStyle w:val="TOC2"/>
        <w:tabs>
          <w:tab w:val="right" w:leader="dot" w:pos="8306"/>
        </w:tabs>
      </w:pPr>
      <w:hyperlink w:anchor="_Toc9582" w:history="1">
        <w:r>
          <w:rPr>
            <w:rFonts w:ascii="仿宋" w:eastAsia="仿宋" w:hAnsi="仿宋" w:cs="仿宋" w:hint="eastAsia"/>
            <w:lang w:eastAsia="zh-CN"/>
          </w:rPr>
          <w:t>(三)、风险监控与控制</w:t>
        </w:r>
        <w:r>
          <w:tab/>
        </w:r>
        <w:r>
          <w:fldChar w:fldCharType="begin"/>
        </w:r>
        <w:r>
          <w:instrText xml:space="preserve"> PAGEREF _Toc9582 \h </w:instrText>
        </w:r>
        <w:r>
          <w:fldChar w:fldCharType="separate"/>
        </w:r>
        <w:r>
          <w:t>36</w:t>
        </w:r>
        <w:r>
          <w:fldChar w:fldCharType="end"/>
        </w:r>
      </w:hyperlink>
    </w:p>
    <w:p>
      <w:pPr>
        <w:pStyle w:val="TOC1"/>
        <w:tabs>
          <w:tab w:val="right" w:leader="dot" w:pos="8306"/>
        </w:tabs>
      </w:pPr>
      <w:hyperlink w:anchor="_Toc19924" w:history="1">
        <w:r>
          <w:rPr>
            <w:rFonts w:ascii="仿宋" w:eastAsia="仿宋" w:hAnsi="仿宋" w:cs="仿宋" w:hint="eastAsia"/>
            <w:lang w:eastAsia="zh-CN"/>
          </w:rPr>
          <w:t>十、液态食品无菌罐装设备项目人力资源管理</w:t>
        </w:r>
        <w:r>
          <w:tab/>
        </w:r>
        <w:r>
          <w:fldChar w:fldCharType="begin"/>
        </w:r>
        <w:r>
          <w:instrText xml:space="preserve"> PAGEREF _Toc19924 \h </w:instrText>
        </w:r>
        <w:r>
          <w:fldChar w:fldCharType="separate"/>
        </w:r>
        <w:r>
          <w:t>37</w:t>
        </w:r>
        <w:r>
          <w:fldChar w:fldCharType="end"/>
        </w:r>
      </w:hyperlink>
    </w:p>
    <w:p>
      <w:pPr>
        <w:pStyle w:val="TOC2"/>
        <w:tabs>
          <w:tab w:val="right" w:leader="dot" w:pos="8306"/>
        </w:tabs>
      </w:pPr>
      <w:hyperlink w:anchor="_Toc24691" w:history="1">
        <w:r>
          <w:rPr>
            <w:rFonts w:ascii="仿宋" w:eastAsia="仿宋" w:hAnsi="仿宋" w:cs="仿宋" w:hint="eastAsia"/>
            <w:lang w:eastAsia="zh-CN"/>
          </w:rPr>
          <w:t>(一)、建立健全的预算管理制度</w:t>
        </w:r>
        <w:r>
          <w:tab/>
        </w:r>
        <w:r>
          <w:fldChar w:fldCharType="begin"/>
        </w:r>
        <w:r>
          <w:instrText xml:space="preserve"> PAGEREF _Toc24691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16" w:history="1">
        <w:r>
          <w:rPr>
            <w:rFonts w:ascii="仿宋" w:eastAsia="仿宋" w:hAnsi="仿宋" w:cs="仿宋" w:hint="eastAsia"/>
            <w:lang w:eastAsia="zh-CN"/>
          </w:rPr>
          <w:t>(二)、加强资金流动监控</w:t>
        </w:r>
        <w:r>
          <w:tab/>
        </w:r>
        <w:r>
          <w:fldChar w:fldCharType="begin"/>
        </w:r>
        <w:r>
          <w:instrText xml:space="preserve"> PAGEREF _Toc23116 \h </w:instrText>
        </w:r>
        <w:r>
          <w:fldChar w:fldCharType="separate"/>
        </w:r>
        <w:r>
          <w:t>39</w:t>
        </w:r>
        <w:r>
          <w:fldChar w:fldCharType="end"/>
        </w:r>
      </w:hyperlink>
    </w:p>
    <w:p>
      <w:pPr>
        <w:pStyle w:val="TOC2"/>
        <w:tabs>
          <w:tab w:val="right" w:leader="dot" w:pos="8306"/>
        </w:tabs>
      </w:pPr>
      <w:hyperlink w:anchor="_Toc6161" w:history="1">
        <w:r>
          <w:rPr>
            <w:rFonts w:ascii="仿宋" w:eastAsia="仿宋" w:hAnsi="仿宋" w:cs="仿宋" w:hint="eastAsia"/>
            <w:lang w:eastAsia="zh-CN"/>
          </w:rPr>
          <w:t>(三)、制定完善的风险控制机制</w:t>
        </w:r>
        <w:r>
          <w:tab/>
        </w:r>
        <w:r>
          <w:fldChar w:fldCharType="begin"/>
        </w:r>
        <w:r>
          <w:instrText xml:space="preserve"> PAGEREF _Toc6161 \h </w:instrText>
        </w:r>
        <w:r>
          <w:fldChar w:fldCharType="separate"/>
        </w:r>
        <w:r>
          <w:t>40</w:t>
        </w:r>
        <w:r>
          <w:fldChar w:fldCharType="end"/>
        </w:r>
      </w:hyperlink>
    </w:p>
    <w:p>
      <w:pPr>
        <w:pStyle w:val="TOC2"/>
        <w:tabs>
          <w:tab w:val="right" w:leader="dot" w:pos="8306"/>
        </w:tabs>
      </w:pPr>
      <w:hyperlink w:anchor="_Toc23426" w:history="1">
        <w:r>
          <w:rPr>
            <w:rFonts w:ascii="仿宋" w:eastAsia="仿宋" w:hAnsi="仿宋" w:cs="仿宋" w:hint="eastAsia"/>
            <w:lang w:eastAsia="zh-CN"/>
          </w:rPr>
          <w:t>(四)、优化成本管理</w:t>
        </w:r>
        <w:r>
          <w:tab/>
        </w:r>
        <w:r>
          <w:fldChar w:fldCharType="begin"/>
        </w:r>
        <w:r>
          <w:instrText xml:space="preserve"> PAGEREF _Toc23426 \h </w:instrText>
        </w:r>
        <w:r>
          <w:fldChar w:fldCharType="separate"/>
        </w:r>
        <w:r>
          <w:t>42</w:t>
        </w:r>
        <w:r>
          <w:fldChar w:fldCharType="end"/>
        </w:r>
      </w:hyperlink>
    </w:p>
    <w:p>
      <w:pPr>
        <w:pStyle w:val="TOC1"/>
        <w:tabs>
          <w:tab w:val="right" w:leader="dot" w:pos="8306"/>
        </w:tabs>
      </w:pPr>
      <w:hyperlink w:anchor="_Toc24288" w:history="1">
        <w:r>
          <w:rPr>
            <w:rFonts w:ascii="仿宋" w:eastAsia="仿宋" w:hAnsi="仿宋" w:cs="仿宋" w:hint="eastAsia"/>
            <w:lang w:eastAsia="zh-CN"/>
          </w:rPr>
          <w:t>十一、液态食品无菌罐装设备项目创新与研发</w:t>
        </w:r>
        <w:r>
          <w:tab/>
        </w:r>
        <w:r>
          <w:fldChar w:fldCharType="begin"/>
        </w:r>
        <w:r>
          <w:instrText xml:space="preserve"> PAGEREF _Toc24288 \h </w:instrText>
        </w:r>
        <w:r>
          <w:fldChar w:fldCharType="separate"/>
        </w:r>
        <w:r>
          <w:t>43</w:t>
        </w:r>
        <w:r>
          <w:fldChar w:fldCharType="end"/>
        </w:r>
      </w:hyperlink>
    </w:p>
    <w:p>
      <w:pPr>
        <w:pStyle w:val="TOC2"/>
        <w:tabs>
          <w:tab w:val="right" w:leader="dot" w:pos="8306"/>
        </w:tabs>
      </w:pPr>
      <w:hyperlink w:anchor="_Toc24550" w:history="1">
        <w:r>
          <w:rPr>
            <w:rFonts w:ascii="仿宋" w:eastAsia="仿宋" w:hAnsi="仿宋" w:cs="仿宋" w:hint="eastAsia"/>
            <w:lang w:eastAsia="zh-CN"/>
          </w:rPr>
          <w:t>(一)、创新策略与方向</w:t>
        </w:r>
        <w:r>
          <w:tab/>
        </w:r>
        <w:r>
          <w:fldChar w:fldCharType="begin"/>
        </w:r>
        <w:r>
          <w:instrText xml:space="preserve"> PAGEREF _Toc24550 \h </w:instrText>
        </w:r>
        <w:r>
          <w:fldChar w:fldCharType="separate"/>
        </w:r>
        <w:r>
          <w:t>43</w:t>
        </w:r>
        <w:r>
          <w:fldChar w:fldCharType="end"/>
        </w:r>
      </w:hyperlink>
    </w:p>
    <w:p>
      <w:pPr>
        <w:pStyle w:val="TOC2"/>
        <w:tabs>
          <w:tab w:val="right" w:leader="dot" w:pos="8306"/>
        </w:tabs>
      </w:pPr>
      <w:hyperlink w:anchor="_Toc7903" w:history="1">
        <w:r>
          <w:rPr>
            <w:rFonts w:ascii="仿宋" w:eastAsia="仿宋" w:hAnsi="仿宋" w:cs="仿宋" w:hint="eastAsia"/>
            <w:lang w:eastAsia="zh-CN"/>
          </w:rPr>
          <w:t>(二)、研发规划与投入</w:t>
        </w:r>
        <w:r>
          <w:tab/>
        </w:r>
        <w:r>
          <w:fldChar w:fldCharType="begin"/>
        </w:r>
        <w:r>
          <w:instrText xml:space="preserve"> PAGEREF _Toc7903 \h </w:instrText>
        </w:r>
        <w:r>
          <w:fldChar w:fldCharType="separate"/>
        </w:r>
        <w:r>
          <w:t>45</w:t>
        </w:r>
        <w:r>
          <w:fldChar w:fldCharType="end"/>
        </w:r>
      </w:hyperlink>
    </w:p>
    <w:p>
      <w:pPr>
        <w:pStyle w:val="TOC1"/>
        <w:tabs>
          <w:tab w:val="right" w:leader="dot" w:pos="8306"/>
        </w:tabs>
      </w:pPr>
      <w:hyperlink w:anchor="_Toc12680" w:history="1">
        <w:r>
          <w:rPr>
            <w:rFonts w:ascii="仿宋" w:eastAsia="仿宋" w:hAnsi="仿宋" w:cs="仿宋" w:hint="eastAsia"/>
            <w:lang w:eastAsia="zh-CN"/>
          </w:rPr>
          <w:t>十二、液态食品无菌罐装设备项目计划安排</w:t>
        </w:r>
        <w:r>
          <w:tab/>
        </w:r>
        <w:r>
          <w:fldChar w:fldCharType="begin"/>
        </w:r>
        <w:r>
          <w:instrText xml:space="preserve"> PAGEREF _Toc12680 \h </w:instrText>
        </w:r>
        <w:r>
          <w:fldChar w:fldCharType="separate"/>
        </w:r>
        <w:r>
          <w:t>47</w:t>
        </w:r>
        <w:r>
          <w:fldChar w:fldCharType="end"/>
        </w:r>
      </w:hyperlink>
    </w:p>
    <w:p>
      <w:pPr>
        <w:pStyle w:val="TOC2"/>
        <w:tabs>
          <w:tab w:val="right" w:leader="dot" w:pos="8306"/>
        </w:tabs>
      </w:pPr>
      <w:hyperlink w:anchor="_Toc2498" w:history="1">
        <w:r>
          <w:rPr>
            <w:rFonts w:ascii="仿宋" w:eastAsia="仿宋" w:hAnsi="仿宋" w:cs="仿宋" w:hint="eastAsia"/>
            <w:lang w:eastAsia="zh-CN"/>
          </w:rPr>
          <w:t>(一)、建设周期</w:t>
        </w:r>
        <w:r>
          <w:tab/>
        </w:r>
        <w:r>
          <w:fldChar w:fldCharType="begin"/>
        </w:r>
        <w:r>
          <w:instrText xml:space="preserve"> PAGEREF _Toc2498 \h </w:instrText>
        </w:r>
        <w:r>
          <w:fldChar w:fldCharType="separate"/>
        </w:r>
        <w:r>
          <w:t>47</w:t>
        </w:r>
        <w:r>
          <w:fldChar w:fldCharType="end"/>
        </w:r>
      </w:hyperlink>
    </w:p>
    <w:p>
      <w:pPr>
        <w:pStyle w:val="TOC2"/>
        <w:tabs>
          <w:tab w:val="right" w:leader="dot" w:pos="8306"/>
        </w:tabs>
      </w:pPr>
      <w:hyperlink w:anchor="_Toc5023" w:history="1">
        <w:r>
          <w:rPr>
            <w:rFonts w:ascii="仿宋" w:eastAsia="仿宋" w:hAnsi="仿宋" w:cs="仿宋" w:hint="eastAsia"/>
            <w:lang w:eastAsia="zh-CN"/>
          </w:rPr>
          <w:t>(二)、建设进度</w:t>
        </w:r>
        <w:r>
          <w:tab/>
        </w:r>
        <w:r>
          <w:fldChar w:fldCharType="begin"/>
        </w:r>
        <w:r>
          <w:instrText xml:space="preserve"> PAGEREF _Toc5023 \h </w:instrText>
        </w:r>
        <w:r>
          <w:fldChar w:fldCharType="separate"/>
        </w:r>
        <w:r>
          <w:t>48</w:t>
        </w:r>
        <w:r>
          <w:fldChar w:fldCharType="end"/>
        </w:r>
      </w:hyperlink>
    </w:p>
    <w:p>
      <w:pPr>
        <w:pStyle w:val="TOC2"/>
        <w:tabs>
          <w:tab w:val="right" w:leader="dot" w:pos="8306"/>
        </w:tabs>
      </w:pPr>
      <w:hyperlink w:anchor="_Toc13528" w:history="1">
        <w:r>
          <w:rPr>
            <w:rFonts w:ascii="仿宋" w:eastAsia="仿宋" w:hAnsi="仿宋" w:cs="仿宋" w:hint="eastAsia"/>
            <w:lang w:eastAsia="zh-CN"/>
          </w:rPr>
          <w:t>(三)、进度安排注意事项</w:t>
        </w:r>
        <w:r>
          <w:tab/>
        </w:r>
        <w:r>
          <w:fldChar w:fldCharType="begin"/>
        </w:r>
        <w:r>
          <w:instrText xml:space="preserve"> PAGEREF _Toc13528 \h </w:instrText>
        </w:r>
        <w:r>
          <w:fldChar w:fldCharType="separate"/>
        </w:r>
        <w:r>
          <w:t>49</w:t>
        </w:r>
        <w:r>
          <w:fldChar w:fldCharType="end"/>
        </w:r>
      </w:hyperlink>
    </w:p>
    <w:p>
      <w:pPr>
        <w:pStyle w:val="TOC2"/>
        <w:tabs>
          <w:tab w:val="right" w:leader="dot" w:pos="8306"/>
        </w:tabs>
      </w:pPr>
      <w:hyperlink w:anchor="_Toc29038" w:history="1">
        <w:r>
          <w:rPr>
            <w:rFonts w:ascii="仿宋" w:eastAsia="仿宋" w:hAnsi="仿宋" w:cs="仿宋" w:hint="eastAsia"/>
            <w:lang w:eastAsia="zh-CN"/>
          </w:rPr>
          <w:t>(四)、人力资源配置</w:t>
        </w:r>
        <w:r>
          <w:tab/>
        </w:r>
        <w:r>
          <w:fldChar w:fldCharType="begin"/>
        </w:r>
        <w:r>
          <w:instrText xml:space="preserve"> PAGEREF _Toc29038 \h </w:instrText>
        </w:r>
        <w:r>
          <w:fldChar w:fldCharType="separate"/>
        </w:r>
        <w:r>
          <w:t>50</w:t>
        </w:r>
        <w:r>
          <w:fldChar w:fldCharType="end"/>
        </w:r>
      </w:hyperlink>
    </w:p>
    <w:p>
      <w:pPr>
        <w:pStyle w:val="TOC1"/>
        <w:tabs>
          <w:tab w:val="right" w:leader="dot" w:pos="8306"/>
        </w:tabs>
      </w:pPr>
      <w:hyperlink w:anchor="_Toc1239" w:history="1">
        <w:r>
          <w:rPr>
            <w:rFonts w:ascii="仿宋" w:eastAsia="仿宋" w:hAnsi="仿宋" w:cs="仿宋" w:hint="eastAsia"/>
            <w:lang w:eastAsia="zh-CN"/>
          </w:rPr>
          <w:t>十三、液态食品无菌罐装设备项目变更管理</w:t>
        </w:r>
        <w:r>
          <w:tab/>
        </w:r>
        <w:r>
          <w:fldChar w:fldCharType="begin"/>
        </w:r>
        <w:r>
          <w:instrText xml:space="preserve"> PAGEREF _Toc1239 \h </w:instrText>
        </w:r>
        <w:r>
          <w:fldChar w:fldCharType="separate"/>
        </w:r>
        <w:r>
          <w:t>51</w:t>
        </w:r>
        <w:r>
          <w:fldChar w:fldCharType="end"/>
        </w:r>
      </w:hyperlink>
    </w:p>
    <w:p>
      <w:pPr>
        <w:pStyle w:val="TOC2"/>
        <w:tabs>
          <w:tab w:val="right" w:leader="dot" w:pos="8306"/>
        </w:tabs>
      </w:pPr>
      <w:hyperlink w:anchor="_Toc12619" w:history="1">
        <w:r>
          <w:rPr>
            <w:rFonts w:ascii="仿宋" w:eastAsia="仿宋" w:hAnsi="仿宋" w:cs="仿宋" w:hint="eastAsia"/>
            <w:lang w:eastAsia="zh-CN"/>
          </w:rPr>
          <w:t>(一)、变更申请与评估</w:t>
        </w:r>
        <w:r>
          <w:tab/>
        </w:r>
        <w:r>
          <w:fldChar w:fldCharType="begin"/>
        </w:r>
        <w:r>
          <w:instrText xml:space="preserve"> PAGEREF _Toc12619 \h </w:instrText>
        </w:r>
        <w:r>
          <w:fldChar w:fldCharType="separate"/>
        </w:r>
        <w:r>
          <w:t>51</w:t>
        </w:r>
        <w:r>
          <w:fldChar w:fldCharType="end"/>
        </w:r>
      </w:hyperlink>
    </w:p>
    <w:p>
      <w:pPr>
        <w:pStyle w:val="TOC2"/>
        <w:tabs>
          <w:tab w:val="right" w:leader="dot" w:pos="8306"/>
        </w:tabs>
      </w:pPr>
      <w:hyperlink w:anchor="_Toc29009" w:history="1">
        <w:r>
          <w:rPr>
            <w:rFonts w:ascii="仿宋" w:eastAsia="仿宋" w:hAnsi="仿宋" w:cs="仿宋" w:hint="eastAsia"/>
            <w:lang w:eastAsia="zh-CN"/>
          </w:rPr>
          <w:t>(二)、变更实施与控制</w:t>
        </w:r>
        <w:r>
          <w:tab/>
        </w:r>
        <w:r>
          <w:fldChar w:fldCharType="begin"/>
        </w:r>
        <w:r>
          <w:instrText xml:space="preserve"> PAGEREF _Toc29009 \h </w:instrText>
        </w:r>
        <w:r>
          <w:fldChar w:fldCharType="separate"/>
        </w:r>
        <w:r>
          <w:t>52</w:t>
        </w:r>
        <w:r>
          <w:fldChar w:fldCharType="end"/>
        </w:r>
      </w:hyperlink>
    </w:p>
    <w:p>
      <w:pPr>
        <w:pStyle w:val="TOC1"/>
        <w:tabs>
          <w:tab w:val="right" w:leader="dot" w:pos="8306"/>
        </w:tabs>
      </w:pPr>
      <w:hyperlink w:anchor="_Toc13515" w:history="1">
        <w:r>
          <w:rPr>
            <w:rFonts w:ascii="仿宋" w:eastAsia="仿宋" w:hAnsi="仿宋" w:cs="仿宋" w:hint="eastAsia"/>
            <w:lang w:eastAsia="zh-CN"/>
          </w:rPr>
          <w:t>十四、风险识别与分类</w:t>
        </w:r>
        <w:r>
          <w:tab/>
        </w:r>
        <w:r>
          <w:fldChar w:fldCharType="begin"/>
        </w:r>
        <w:r>
          <w:instrText xml:space="preserve"> PAGEREF _Toc13515 \h </w:instrText>
        </w:r>
        <w:r>
          <w:fldChar w:fldCharType="separate"/>
        </w:r>
        <w:r>
          <w:t>52</w:t>
        </w:r>
        <w:r>
          <w:fldChar w:fldCharType="end"/>
        </w:r>
      </w:hyperlink>
    </w:p>
    <w:p>
      <w:pPr>
        <w:pStyle w:val="TOC2"/>
        <w:tabs>
          <w:tab w:val="right" w:leader="dot" w:pos="8306"/>
        </w:tabs>
      </w:pPr>
      <w:hyperlink w:anchor="_Toc9384" w:history="1">
        <w:r>
          <w:rPr>
            <w:rFonts w:ascii="仿宋" w:eastAsia="仿宋" w:hAnsi="仿宋" w:cs="仿宋" w:hint="eastAsia"/>
            <w:lang w:eastAsia="zh-CN"/>
          </w:rPr>
          <w:t>(一)、风险识别</w:t>
        </w:r>
        <w:r>
          <w:tab/>
        </w:r>
        <w:r>
          <w:fldChar w:fldCharType="begin"/>
        </w:r>
        <w:r>
          <w:instrText xml:space="preserve"> PAGEREF _Toc9384 \h </w:instrText>
        </w:r>
        <w:r>
          <w:fldChar w:fldCharType="separate"/>
        </w:r>
        <w:r>
          <w:t>52</w:t>
        </w:r>
        <w:r>
          <w:fldChar w:fldCharType="end"/>
        </w:r>
      </w:hyperlink>
    </w:p>
    <w:p>
      <w:pPr>
        <w:pStyle w:val="TOC2"/>
        <w:tabs>
          <w:tab w:val="right" w:leader="dot" w:pos="8306"/>
        </w:tabs>
      </w:pPr>
      <w:hyperlink w:anchor="_Toc5987" w:history="1">
        <w:r>
          <w:rPr>
            <w:rFonts w:ascii="仿宋" w:eastAsia="仿宋" w:hAnsi="仿宋" w:cs="仿宋" w:hint="eastAsia"/>
            <w:lang w:eastAsia="zh-CN"/>
          </w:rPr>
          <w:t>(二)、风险分类</w:t>
        </w:r>
        <w:r>
          <w:tab/>
        </w:r>
        <w:r>
          <w:fldChar w:fldCharType="begin"/>
        </w:r>
        <w:r>
          <w:instrText xml:space="preserve"> PAGEREF _Toc5987 \h </w:instrText>
        </w:r>
        <w:r>
          <w:fldChar w:fldCharType="separate"/>
        </w:r>
        <w:r>
          <w:t>54</w:t>
        </w:r>
        <w:r>
          <w:fldChar w:fldCharType="end"/>
        </w:r>
      </w:hyperlink>
    </w:p>
    <w:p>
      <w:pPr>
        <w:pStyle w:val="TOC1"/>
        <w:tabs>
          <w:tab w:val="right" w:leader="dot" w:pos="8306"/>
        </w:tabs>
      </w:pPr>
      <w:hyperlink w:anchor="_Toc25775" w:history="1">
        <w:r>
          <w:rPr>
            <w:rFonts w:ascii="仿宋" w:eastAsia="仿宋" w:hAnsi="仿宋" w:cs="仿宋" w:hint="eastAsia"/>
            <w:lang w:eastAsia="zh-CN"/>
          </w:rPr>
          <w:t>十五、供应链管理</w:t>
        </w:r>
        <w:r>
          <w:tab/>
        </w:r>
        <w:r>
          <w:fldChar w:fldCharType="begin"/>
        </w:r>
        <w:r>
          <w:instrText xml:space="preserve"> PAGEREF _Toc25775 \h </w:instrText>
        </w:r>
        <w:r>
          <w:fldChar w:fldCharType="separate"/>
        </w:r>
        <w:r>
          <w:t>56</w:t>
        </w:r>
        <w:r>
          <w:fldChar w:fldCharType="end"/>
        </w:r>
      </w:hyperlink>
    </w:p>
    <w:p>
      <w:pPr>
        <w:pStyle w:val="TOC2"/>
        <w:tabs>
          <w:tab w:val="right" w:leader="dot" w:pos="8306"/>
        </w:tabs>
      </w:pPr>
      <w:hyperlink w:anchor="_Toc1790" w:history="1">
        <w:r>
          <w:rPr>
            <w:rFonts w:ascii="仿宋" w:eastAsia="仿宋" w:hAnsi="仿宋" w:cs="仿宋" w:hint="eastAsia"/>
            <w:lang w:eastAsia="zh-CN"/>
          </w:rPr>
          <w:t>(一)、供应链战略规划</w:t>
        </w:r>
        <w:r>
          <w:tab/>
        </w:r>
        <w:r>
          <w:fldChar w:fldCharType="begin"/>
        </w:r>
        <w:r>
          <w:instrText xml:space="preserve"> PAGEREF _Toc1790 \h </w:instrText>
        </w:r>
        <w:r>
          <w:fldChar w:fldCharType="separate"/>
        </w:r>
        <w:r>
          <w:t>56</w:t>
        </w:r>
        <w:r>
          <w:fldChar w:fldCharType="end"/>
        </w:r>
      </w:hyperlink>
    </w:p>
    <w:p>
      <w:pPr>
        <w:pStyle w:val="TOC2"/>
        <w:tabs>
          <w:tab w:val="right" w:leader="dot" w:pos="8306"/>
        </w:tabs>
      </w:pPr>
      <w:hyperlink w:anchor="_Toc20840" w:history="1">
        <w:r>
          <w:rPr>
            <w:rFonts w:ascii="仿宋" w:eastAsia="仿宋" w:hAnsi="仿宋" w:cs="仿宋" w:hint="eastAsia"/>
            <w:lang w:eastAsia="zh-CN"/>
          </w:rPr>
          <w:t>(二)、供应商选择与合作</w:t>
        </w:r>
        <w:r>
          <w:tab/>
        </w:r>
        <w:r>
          <w:fldChar w:fldCharType="begin"/>
        </w:r>
        <w:r>
          <w:instrText xml:space="preserve"> PAGEREF _Toc20840 \h </w:instrText>
        </w:r>
        <w:r>
          <w:fldChar w:fldCharType="separate"/>
        </w:r>
        <w:r>
          <w:t>57</w:t>
        </w:r>
        <w:r>
          <w:fldChar w:fldCharType="end"/>
        </w:r>
      </w:hyperlink>
    </w:p>
    <w:p>
      <w:pPr>
        <w:pStyle w:val="TOC2"/>
        <w:tabs>
          <w:tab w:val="right" w:leader="dot" w:pos="8306"/>
        </w:tabs>
      </w:pPr>
      <w:hyperlink w:anchor="_Toc11864" w:history="1">
        <w:r>
          <w:rPr>
            <w:rFonts w:ascii="仿宋" w:eastAsia="仿宋" w:hAnsi="仿宋" w:cs="仿宋" w:hint="eastAsia"/>
            <w:lang w:eastAsia="zh-CN"/>
          </w:rPr>
          <w:t>(三)、物流与库存管理</w:t>
        </w:r>
        <w:r>
          <w:tab/>
        </w:r>
        <w:r>
          <w:fldChar w:fldCharType="begin"/>
        </w:r>
        <w:r>
          <w:instrText xml:space="preserve"> PAGEREF _Toc11864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69"/>
      <w:r>
        <w:rPr>
          <w:rFonts w:ascii="仿宋" w:eastAsia="仿宋" w:hAnsi="仿宋" w:cs="仿宋" w:hint="eastAsia"/>
          <w:sz w:val="28"/>
          <w:lang w:eastAsia="zh-CN"/>
        </w:rPr>
        <w:t>一、液态食品无菌罐装设备项目绩效评估</w:t>
      </w:r>
      <w:bookmarkEnd w:id="2"/>
    </w:p>
    <w:p>
      <w:pPr>
        <w:pStyle w:val="Heading2"/>
        <w:rPr>
          <w:rFonts w:ascii="仿宋" w:eastAsia="仿宋" w:hAnsi="仿宋" w:cs="仿宋" w:hint="eastAsia"/>
          <w:lang w:eastAsia="zh-CN"/>
        </w:rPr>
      </w:pPr>
      <w:bookmarkStart w:id="3" w:name="_Toc2082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态食品无菌罐装设备项目中，我们设计了一套全面的绩效评估指标，以确保液态食品无菌罐装设备项目的可控和成功交付。这些指标跨足液态食品无菌罐装设备项目目标、成本、进度和质量等多个维度，为我们提供了全面洞察液态食品无菌罐装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目标达成率是我们关注的首要指标。我们设定了明确的目标，并通过定期监测和评估，迅速发现并应对潜在的目标偏差。这为液态食品无菌罐装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成本绩效是另一个核心关注点。通过实际成本与预算成本的对比分析，我们深入了解成本差异的原因，及时调整资源分配，保持液态食品无菌罐装设备项目在经济效益方面的合理水平。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进度作为关键的绩效指标之一，得到了精心的关注。我们制定了详细的液态食品无菌罐装设备项目进度计划，并设立了进度符合度指标，确保实际进度与计划进度保持一致。这使我们能够快速发现和解决潜在的进度问题，保持液态食品无菌罐装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态食品无菌罐装设备项目绩效的不可或缺的一环。我们引入了一系列的质量标准和客户满意度指标，以确保液态食品无菌罐装设备项目交付的成果在质量上达到或超越预期水平。通过持续监测这些指标，我们努力提升液态食品无菌罐装设备项目整体质量水平，为液态食品无菌罐装设备项目的成功交付提供有力保障。通过这些科学且全面的绩效评估，我们能够更好地引导液态食品无菌罐装设备项目的持续改进，确保液态食品无菌罐装设备项目目标的顺利达成。</w:t>
      </w:r>
    </w:p>
    <w:p>
      <w:pPr>
        <w:pStyle w:val="Heading2"/>
        <w:ind w:firstLine="560" w:firstLineChars="200"/>
        <w:rPr>
          <w:rFonts w:ascii="仿宋" w:eastAsia="仿宋" w:hAnsi="仿宋" w:cs="仿宋" w:hint="eastAsia"/>
          <w:sz w:val="28"/>
          <w:lang w:eastAsia="zh-CN"/>
        </w:rPr>
      </w:pPr>
      <w:bookmarkStart w:id="4" w:name="_Toc341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绩效评估是液态食品无菌罐装设备项目中的关键环节，为确保液态食品无菌罐装设备项目达到预期目标，我们采用了多层次、多维度的绩效评估方法。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态食品无菌罐装设备项目的战略目标对齐，确保每个决策和行动都与液态食品无菌罐装设备项目整体目标保持一致。团队会定期召开战略对齐会议，审视当前工作与液态食品无菌罐装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态食品无菌罐装设备项目进度、质量、成本和风险等方面。这些指标通过数据收集和分析，为液态食品无菌罐装设备项目管理团队提供了客观的评估依据。例如，我们通过液态食品无菌罐装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态食品无菌罐装设备项目内部，还考虑了液态食品无菌罐装设备项目对外部环境的影响。我们定期进行干系人满意度调查，以了解各利益相关方对液态食品无菌罐装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这种多层次、多角度的绩效评估方法，使得我们能够全面了解液态食品无菌罐装设备项目的运行状态，及时做出调整，确保液态食品无菌罐装设备项目在不断变化的环境中保持稳健前行。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50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为了确保液态食品无菌罐装设备项目的有效管理和不断优化，我们采用了精心设计的绩效评估周期。这个周期旨在实现灵活、实时和全面的评估，以适应液态食品无菌罐装设备项目执行中的各种挑战。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态食品无菌罐装设备项目的不同需求，分为短期、中期和长期。短期评估关注每个迭代或工作周期，以及时发现和解决当前任务中的问题。中期评估涵盖几个迭代，深入了解整体液态食品无菌罐装设备项目的趋势和性能。长期评估则着眼于整个液态食品无菌罐装设备项目阶段，确保液态食品无菌罐装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态食品无菌罐装设备项目管理工具和协作平台，团队成员能够随时更新和分享液态食品无菌罐装设备项目数据。这种实时性的反馈机制使我们能够及时察觉潜在问题，快速调整，保持液态食品无菌罐装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态食品无菌罐装设备项目的决策制定密不可分。每个周期的液态食品无菌罐装设备项目回顾会议成为集体总结经验、识别问题深层次原因并找到创新解决方案的平台。这种定期的反思与调整机制使液态食品无菌罐装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633"/>
      <w:r>
        <w:rPr>
          <w:rFonts w:ascii="仿宋" w:eastAsia="仿宋" w:hAnsi="仿宋" w:cs="仿宋" w:hint="eastAsia"/>
          <w:sz w:val="28"/>
          <w:lang w:eastAsia="zh-CN"/>
        </w:rPr>
        <w:t>二、液态食品无菌罐装设备项目选址可行性分析</w:t>
      </w:r>
      <w:bookmarkEnd w:id="6"/>
    </w:p>
    <w:p>
      <w:pPr>
        <w:pStyle w:val="Heading2"/>
        <w:rPr>
          <w:rFonts w:ascii="仿宋" w:eastAsia="仿宋" w:hAnsi="仿宋" w:cs="仿宋" w:hint="eastAsia"/>
          <w:lang w:eastAsia="zh-CN"/>
        </w:rPr>
      </w:pPr>
      <w:bookmarkStart w:id="7" w:name="_Toc27978"/>
      <w:r>
        <w:rPr>
          <w:rFonts w:ascii="仿宋" w:eastAsia="仿宋" w:hAnsi="仿宋" w:cs="仿宋" w:hint="eastAsia"/>
          <w:lang w:eastAsia="zh-CN"/>
        </w:rPr>
        <w:t>(一)、液态食品无菌罐装设备项目选址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该液态食品无菌罐装设备项目选址位于XX省XX市XX区XXX街道</w:t>
      </w:r>
    </w:p>
    <w:p>
      <w:pPr>
        <w:pStyle w:val="Heading2"/>
        <w:ind w:firstLine="560" w:firstLineChars="200"/>
        <w:rPr>
          <w:rFonts w:ascii="仿宋" w:eastAsia="仿宋" w:hAnsi="仿宋" w:cs="仿宋" w:hint="eastAsia"/>
          <w:sz w:val="28"/>
          <w:lang w:eastAsia="zh-CN"/>
        </w:rPr>
      </w:pPr>
      <w:bookmarkStart w:id="8" w:name="_Toc151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态食品无菌罐装设备项目的征地面积将根据液态食品无菌罐装设备项目的实际规模和需求进行精确规划。具体面积XXX平方米，旨在确保液态食品无菌罐装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净用地面积是在征地面积基础上去除不可利用面积后的实际可开发用地。具体面积XXX平方米，考虑到环保、交通、安全等多方面因素，以确保液态食品无菌罐装设备项目在整体利用效率上达到最优。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液态食品无菌罐装设备项目计划建设的建筑总规模具体面积XXX平方米。这一规模的确定综合考虑了液态食品无菌罐装设备项目的性质、规模，以及城市规划的相关要求，确保建筑布局与周边环境协调一致。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绿地率是液态食品无菌罐装设备项目用地中被规划为绿地的比例。具体面积XXX平方米，旨在通过合理规划绿地，改善液态食品无菌罐装设备项目周边环境，提升居民生活质量，并符合城市整体绿化规划。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容积率是用地上可以建设的建筑总体积与用地面积之比。具体面积XXX，通过合理的容积率规划，确保液态食品无菌罐装设备项目建筑规模与周边环境和谐共生。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液态食品无菌罐装设备项目选址与当地城市规划相一致，具体面积XXX平方米。通过与城市规划部门深入沟通，确保液态食品无菌罐装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态食品无菌罐装设备项目选址符合当地产业政策，具体面积XXX平方米。这包括液态食品无菌罐装设备项目对当地经济的促进作用，以及对相关产业的带动效应，确保液态食品无菌罐装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态食品无菌罐装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确保液态食品无菌罐装设备项目选址具备必要的公共设施配套，具体面积XXX平方米。这包括交通便利性、教育、医疗等基础设施，以提高居民生活品质，使得液态食品无菌罐装设备项目选址更具吸引力。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考虑用地总体要求对当地社会稳定性的影响，具体面积XXX平方米。通过深入了解当地社区反馈，确保液态食品无菌罐装设备项目的选址和建设过程对当地社会和谐稳定产生积极作用。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态食品无菌罐装设备项目选址不仅符合法规和规划，还在实际操作中具有可行性。这一全面规划将为液态食品无菌罐装设备项目的成功实施提供坚实的基础，确保液态食品无菌罐装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93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食品无菌罐装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态食品无菌罐装设备项目的设备规划和空间设计中，我们将采取灵活设备布局的措施。设备布局将根据实际需求进行灵活设计，避免不必要的浪费。通过合理规划设备摆放位置，我们将提高设备的利用率，减少设备间距，以确保液态食品无菌罐装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态食品无菌罐装设备项目内部引入共享设施的概念，例如共享会议室、办公区等。通过这种方式，我们可以减少对资源的重复建设，提高资源共享效率，从而减小液态食品无菌罐装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843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态食品无菌罐装设备项目的总图布置中，我们将不同功能区域进行明确的规划，以最大程度满足液态食品无菌罐装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42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态食品无菌罐装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液态食品无菌罐装设备项目对环境的影响是综合评价的重要因素之一。我们将详细考虑选址周边的自然环境、生态保护区、水源地等情况，确保液态食品无菌罐装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对选址的评价还需充分考虑当地政府的产业政策和法规。我们将详细了解液态食品无菌罐装设备项目所在地的相关政策，确保液态食品无菌罐装设备项目的规划和运营与当地法规相符，降低不必要的法律风险。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考虑到社会稳定性对企业运营的重要性，我们将评估选址地区的社会安全情况、劳工关系、社区反馈等方面，以确保液态食品无菌罐装设备项目的建设和运营不会受到社会稳定性的负面影响。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最后，我们将综合考虑用地成本，包括土地购置费用、土地开发成本等。通过对用地成本的详细评估，我们能够做出更为精确的经济效益分析，为液态食品无菌罐装设备项目的投资决策提供有力支持。</w:t>
      </w:r>
    </w:p>
    <w:p>
      <w:pPr>
        <w:pStyle w:val="Heading1"/>
        <w:ind w:firstLine="560" w:firstLineChars="200"/>
        <w:rPr>
          <w:rFonts w:ascii="仿宋" w:eastAsia="仿宋" w:hAnsi="仿宋" w:cs="仿宋" w:hint="eastAsia"/>
          <w:sz w:val="28"/>
          <w:lang w:eastAsia="zh-CN"/>
        </w:rPr>
      </w:pPr>
      <w:bookmarkStart w:id="12" w:name="_Toc11031"/>
      <w:r>
        <w:rPr>
          <w:rFonts w:ascii="仿宋" w:eastAsia="仿宋" w:hAnsi="仿宋" w:cs="仿宋" w:hint="eastAsia"/>
          <w:sz w:val="28"/>
          <w:lang w:eastAsia="zh-CN"/>
        </w:rPr>
        <w:t>三、液态食品无菌罐装设备项目可持续发展</w:t>
      </w:r>
      <w:bookmarkEnd w:id="12"/>
    </w:p>
    <w:p>
      <w:pPr>
        <w:pStyle w:val="Heading2"/>
        <w:rPr>
          <w:rFonts w:ascii="仿宋" w:eastAsia="仿宋" w:hAnsi="仿宋" w:cs="仿宋" w:hint="eastAsia"/>
          <w:lang w:eastAsia="zh-CN"/>
        </w:rPr>
      </w:pPr>
      <w:bookmarkStart w:id="13" w:name="_Toc1391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食品无菌罐装设备项目中，液态食品无菌罐装设备项目团队着眼于未来，明确了可持续发展的战略方向。制定的具体可持续发展目标包括降低资源使用、采用环保技术、最大化社会效益等。这一步骤不仅有助于液态食品无菌罐装设备项目在环保和社会责任方面达到最高标准，也为未来提供了明确的指引，确保液态食品无菌罐装设备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可持续实践的融入液态食品无菌罐装设备项目管理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态食品无菌罐装设备项目管理周期。从液态食品无菌罐装设备项目规划开始，液态食品无菌罐装设备项目团队就考虑了环境和社会的因素。在执行阶段，液态食品无菌罐装设备项目团队积极推动绿色技术的应用，优化资源利用。此外，关注员工的社会责任，通过培训和沟通活动提高员工对可持续发展的认知，使他们能够在日常工作中践行可持续实践。这些举措不仅为液态食品无菌罐装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58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态食品无菌罐装设备项目的可持续发展理念，我们深信环保与社会责任是液态食品无菌罐装设备项目成功的关键支柱。在液态食品无菌罐装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团队通过引入先进的环保技术、建立高效的废物处理系统以及推动能源节约措施，积极履行环保责任。定期的环保监测和评估确保液态食品无菌罐装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不仅致力于自身可持续发展，还注重对社会的回馈。通过支持社区液态食品无菌罐装设备项目、参与慈善事业、提供培训机会等方式，液态食品无菌罐装设备项目积极履行社会责任。与当地社区建立积极互动，关注员工的工作与生活平衡，以及员工的身心健康，是液态食品无菌罐装设备项目在社会责任层面的关键举措。这样的实践不仅增强了液态食品无菌罐装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30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9504"/>
      <w:r>
        <w:rPr>
          <w:rFonts w:ascii="仿宋" w:eastAsia="仿宋" w:hAnsi="仿宋" w:cs="仿宋" w:hint="eastAsia"/>
          <w:lang w:eastAsia="zh-CN"/>
        </w:rPr>
        <w:t>(一)、液态食品无菌罐装设备行业分析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行业一直以来都是市场的关注焦点。行业内的发展趋势、竞争态势以及潜在机会都对液态食品无菌罐装设备项目的推进产生深远的影响。通过深入研究行业的整体概貌，我们将更好地理解行业的核心特征，为液态食品无菌罐装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食品无菌罐装设备行业，技术一直是推动创新和发展的关键因素。我们将对当前技术趋势进行详尽分析，包括但不限于人工智能、大数据应用、先进制造技术等。这有助于液态食品无菌罐装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态食品无菌罐装设备项目成功的基础。我们将对主要竞争对手进行深入研究，包括其市场份额、产品特点、市场定位等。通过全面了解竞争对手的优势和劣势，液态食品无菌罐装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656"/>
      <w:r>
        <w:rPr>
          <w:rFonts w:ascii="仿宋" w:eastAsia="仿宋" w:hAnsi="仿宋" w:cs="仿宋" w:hint="eastAsia"/>
          <w:sz w:val="28"/>
          <w:lang w:eastAsia="zh-CN"/>
        </w:rPr>
        <w:t>(二)、液态食品无菌罐装设备市场分析预测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态食品无菌罐装设备市场未来的增长趋势。这包括市场的整体规模、各细分领域的发展趋势等。液态食品无菌罐装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态食品无菌罐装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液态食品无菌罐装设备项目实施过程中需要充分考虑的因素。我们将对市场风险进行全面评估，包括但不限于政策法规风险、市场竞争风险、技术变革风险等。通过对潜在风险的深入分析，液态食品无菌罐装设备项目可以制定相应的风险缓解策略，降低不确定性对液态食品无菌罐装设备项目的影响。</w:t>
      </w:r>
    </w:p>
    <w:p>
      <w:pPr>
        <w:pStyle w:val="Heading1"/>
        <w:ind w:firstLine="560" w:firstLineChars="200"/>
        <w:rPr>
          <w:rFonts w:ascii="仿宋" w:eastAsia="仿宋" w:hAnsi="仿宋" w:cs="仿宋" w:hint="eastAsia"/>
          <w:sz w:val="28"/>
          <w:lang w:eastAsia="zh-CN"/>
        </w:rPr>
      </w:pPr>
      <w:bookmarkStart w:id="18" w:name="_Toc829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889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技术管理特点体现在其创新导向。通过引入最先进的技术趋势和解决方案，液态食品无菌罐装设备项目致力于提升科技含量、提高质量和效率水平。这意味着我们将采用最新的工具和方法，确保液态食品无菌罐装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态食品无菌罐装设备项目技术管理的显著特征。通过整合不同领域的技术资源，我们实现了跨学科的协同工作。这有助于优化技术架构，提高整体效能。此外，整合性策略还促进了不同技术团队之间的紧密沟通和高效合作，确保液态食品无菌罐装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态食品无菌罐装设备项目所采用的技术。通过不断优化技术方案，液态食品无菌罐装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https://d.book118.com/495142204121011113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51AEF"/>
    <w:rsid w:val="01D51A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14220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2024-02-21T06:17:00Z</dcterms:created>
  <dcterms:modified xsi:type="dcterms:W3CDTF">2024-02-21T06:17:45Z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B079277C3E5D463C82402EA4527CA1B6_11</vt:lpwstr>
  </property>
  <property fmtid="{D5CDD505-2E9C-101B-9397-08002B2CF9AE}" pid="3" name="KSOProductBuildVer">
    <vt:lpwstr>2052-12.1.0.16250</vt:lpwstr>
  </property>
</Properties>
</file>