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403" w:line="218" w:lineRule="auto"/>
        <w:ind w:left="1487"/>
        <w:rPr>
          <w:rFonts w:ascii="SimHei" w:eastAsia="SimHei" w:hAnsi="SimHei" w:cs="SimHei"/>
          <w:sz w:val="124"/>
          <w:szCs w:val="124"/>
        </w:rPr>
      </w:pPr>
      <w:r>
        <w:rPr>
          <w:rFonts w:ascii="SimHei" w:eastAsia="SimHei" w:hAnsi="SimHei" w:cs="SimHei"/>
          <w:b/>
          <w:bCs/>
          <w:color w:val="FFFFFF"/>
          <w:spacing w:val="23"/>
          <w:sz w:val="124"/>
          <w:szCs w:val="124"/>
        </w:rPr>
        <w:t>储能投资与实践</w:t>
      </w:r>
    </w:p>
    <w:p>
      <w:pPr>
        <w:spacing w:before="94" w:line="222" w:lineRule="auto"/>
        <w:ind w:left="1400"/>
        <w:rPr>
          <w:rFonts w:ascii="SimHei" w:eastAsia="SimHei" w:hAnsi="SimHei" w:cs="SimHei"/>
          <w:sz w:val="64"/>
          <w:szCs w:val="64"/>
        </w:rPr>
      </w:pPr>
      <w:r>
        <w:rPr>
          <w:rFonts w:ascii="SimHei" w:eastAsia="SimHei" w:hAnsi="SimHei" w:cs="SimHei"/>
          <w:color w:val="FFFFFF"/>
          <w:spacing w:val="23"/>
          <w:sz w:val="64"/>
          <w:szCs w:val="64"/>
        </w:rPr>
        <w:t>-一资本视角下的赛道复盘与展望</w:t>
      </w:r>
    </w:p>
    <w:p>
      <w:pPr>
        <w:sectPr>
          <w:headerReference w:type="default" r:id="rId4"/>
          <w:pgSz w:w="25870" w:h="14560"/>
          <w:pgMar w:top="400" w:right="0" w:bottom="0" w:left="0" w:header="0" w:footer="0" w:gutter="0"/>
          <w:cols w:space="708"/>
        </w:sectPr>
      </w:pPr>
    </w:p>
    <w:p>
      <w:pPr>
        <w:spacing w:before="192" w:line="222" w:lineRule="auto"/>
        <w:ind w:left="318"/>
        <w:rPr>
          <w:rFonts w:ascii="SimHei" w:eastAsia="SimHei" w:hAnsi="SimHei" w:cs="SimHei"/>
          <w:sz w:val="62"/>
          <w:szCs w:val="62"/>
        </w:rPr>
      </w:pPr>
      <w:r>
        <w:rPr>
          <w:rFonts w:ascii="SimHei" w:eastAsia="SimHei" w:hAnsi="SimHei" w:cs="SimHei"/>
          <w:b/>
          <w:bCs/>
          <w:spacing w:val="-58"/>
          <w:sz w:val="62"/>
          <w:szCs w:val="62"/>
        </w:rPr>
        <w:t>目</w:t>
      </w:r>
      <w:r>
        <w:rPr>
          <w:rFonts w:ascii="SimHei" w:eastAsia="SimHei" w:hAnsi="SimHei" w:cs="SimHei"/>
          <w:spacing w:val="4"/>
          <w:sz w:val="62"/>
          <w:szCs w:val="62"/>
        </w:rPr>
        <w:t xml:space="preserve"> </w:t>
      </w:r>
      <w:r>
        <w:rPr>
          <w:rFonts w:ascii="SimHei" w:eastAsia="SimHei" w:hAnsi="SimHei" w:cs="SimHei"/>
          <w:b/>
          <w:bCs/>
          <w:spacing w:val="-58"/>
          <w:sz w:val="62"/>
          <w:szCs w:val="62"/>
        </w:rPr>
        <w:t>录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20" w:lineRule="exact"/>
        <w:textAlignment w:val="center"/>
      </w:pPr>
      <w:r>
        <w:drawing>
          <wp:inline distT="0" distB="0" distL="0" distR="0">
            <wp:extent cx="15316134" cy="1275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16134" cy="12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202" w:line="219" w:lineRule="auto"/>
        <w:ind w:left="7190"/>
        <w:rPr>
          <w:rFonts w:ascii="SimSun" w:eastAsia="SimSun" w:hAnsi="SimSun" w:cs="SimSun"/>
          <w:sz w:val="62"/>
          <w:szCs w:val="6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6pt;height:77.55pt;margin-top:-15.04pt;margin-left:248.5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1510" w:lineRule="exact"/>
                    <w:ind w:left="20"/>
                  </w:pPr>
                  <w:r>
                    <w:rPr>
                      <w:position w:val="-30"/>
                    </w:rPr>
                    <w:drawing>
                      <wp:inline distT="0" distB="0" distL="0" distR="0">
                        <wp:extent cx="939650" cy="958861"/>
                        <wp:effectExtent l="0" t="0" r="0" b="0"/>
                        <wp:docPr id="3" name="IM 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IM 3"/>
                                <pic:cNvPicPr/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9650" cy="9588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22"/>
          <w:sz w:val="62"/>
          <w:szCs w:val="62"/>
        </w:rPr>
        <w:t>资本视角下的储能产业洞察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201" w:line="219" w:lineRule="auto"/>
        <w:ind w:left="6490"/>
        <w:rPr>
          <w:rFonts w:ascii="SimSun" w:eastAsia="SimSun" w:hAnsi="SimSun" w:cs="SimSun"/>
          <w:sz w:val="62"/>
          <w:szCs w:val="62"/>
        </w:rPr>
      </w:pPr>
      <w:r>
        <w:rPr>
          <w:rFonts w:ascii="SimSun" w:eastAsia="SimSun" w:hAnsi="SimSun" w:cs="SimSun"/>
          <w:color w:val="3280DA"/>
          <w:spacing w:val="19"/>
          <w:sz w:val="62"/>
          <w:szCs w:val="62"/>
        </w:rPr>
        <w:t>2</w:t>
      </w:r>
      <w:r>
        <w:rPr>
          <w:rFonts w:ascii="SimSun" w:eastAsia="SimSun" w:hAnsi="SimSun" w:cs="SimSun"/>
          <w:color w:val="3280DA"/>
          <w:spacing w:val="29"/>
          <w:sz w:val="62"/>
          <w:szCs w:val="62"/>
        </w:rPr>
        <w:t xml:space="preserve">    </w:t>
      </w:r>
      <w:r>
        <w:rPr>
          <w:rFonts w:ascii="SimSun" w:eastAsia="SimSun" w:hAnsi="SimSun" w:cs="SimSun"/>
          <w:spacing w:val="19"/>
          <w:sz w:val="62"/>
          <w:szCs w:val="62"/>
        </w:rPr>
        <w:t>一二级市场储能产业投资盘点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202" w:line="216" w:lineRule="auto"/>
        <w:ind w:left="7040"/>
        <w:rPr>
          <w:rFonts w:ascii="SimSun" w:eastAsia="SimSun" w:hAnsi="SimSun" w:cs="SimSun"/>
          <w:sz w:val="62"/>
          <w:szCs w:val="62"/>
        </w:rPr>
      </w:pPr>
      <w:r>
        <w:rPr>
          <w:rFonts w:ascii="SimSun" w:eastAsia="SimSun" w:hAnsi="SimSun" w:cs="SimSun"/>
          <w:color w:val="2173D1"/>
          <w:spacing w:val="18"/>
          <w:position w:val="1"/>
          <w:sz w:val="62"/>
          <w:szCs w:val="62"/>
        </w:rPr>
        <w:t>3</w:t>
      </w:r>
      <w:r>
        <w:rPr>
          <w:rFonts w:ascii="SimSun" w:eastAsia="SimSun" w:hAnsi="SimSun" w:cs="SimSun"/>
          <w:color w:val="2173D1"/>
          <w:spacing w:val="38"/>
          <w:position w:val="1"/>
          <w:sz w:val="62"/>
          <w:szCs w:val="62"/>
        </w:rPr>
        <w:t xml:space="preserve">    </w:t>
      </w:r>
      <w:r>
        <w:rPr>
          <w:rFonts w:ascii="SimSun" w:eastAsia="SimSun" w:hAnsi="SimSun" w:cs="SimSun"/>
          <w:spacing w:val="18"/>
          <w:sz w:val="62"/>
          <w:szCs w:val="62"/>
        </w:rPr>
        <w:t>储能产业投资机会展望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  <w:sectPr>
          <w:headerReference w:type="default" r:id="rId7"/>
          <w:pgSz w:w="25870" w:h="14560"/>
          <w:pgMar w:top="400" w:right="1020" w:bottom="0" w:left="730" w:header="0" w:footer="0" w:gutter="0"/>
          <w:pgNumType w:start="2"/>
          <w:cols w:space="708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202" w:line="183" w:lineRule="auto"/>
        <w:ind w:left="6909"/>
        <w:rPr>
          <w:rFonts w:ascii="SimSun" w:eastAsia="SimSun" w:hAnsi="SimSun" w:cs="SimSun"/>
          <w:sz w:val="62"/>
          <w:szCs w:val="62"/>
        </w:rPr>
      </w:pPr>
      <w:r>
        <w:rPr>
          <w:rFonts w:ascii="SimSun" w:eastAsia="SimSun" w:hAnsi="SimSun" w:cs="SimSun"/>
          <w:color w:val="0054B6"/>
          <w:sz w:val="62"/>
          <w:szCs w:val="62"/>
        </w:rPr>
        <w:t>4</w:t>
      </w:r>
    </w:p>
    <w:p>
      <w:pPr>
        <w:sectPr>
          <w:headerReference w:type="default" r:id="rId8"/>
          <w:type w:val="nextPage"/>
          <w:pgSz w:w="25870" w:h="14560"/>
          <w:pgMar w:top="400" w:right="1020" w:bottom="0" w:left="730" w:header="0" w:footer="0" w:gutter="0"/>
          <w:pgNumType w:start="3"/>
          <w:cols w:space="708"/>
          <w:titlePg w:val="0"/>
        </w:sectPr>
      </w:pPr>
    </w:p>
    <w:p>
      <w:pPr>
        <w:spacing w:before="2" w:line="220" w:lineRule="auto"/>
        <w:ind w:left="258"/>
        <w:rPr>
          <w:rFonts w:ascii="SimHei" w:eastAsia="SimHei" w:hAnsi="SimHei" w:cs="SimHei"/>
          <w:sz w:val="63"/>
          <w:szCs w:val="63"/>
        </w:rPr>
      </w:pPr>
      <w:r>
        <w:rPr>
          <w:rFonts w:ascii="SimHei" w:eastAsia="SimHei" w:hAnsi="SimHei" w:cs="SimHei"/>
          <w:b/>
          <w:bCs/>
          <w:spacing w:val="10"/>
          <w:sz w:val="63"/>
          <w:szCs w:val="63"/>
        </w:rPr>
        <w:t>投资储能的底层逻辑</w:t>
      </w:r>
    </w:p>
    <w:p>
      <w:pPr>
        <w:spacing w:before="13" w:line="221" w:lineRule="auto"/>
        <w:ind w:left="27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3"/>
          <w:sz w:val="48"/>
          <w:szCs w:val="48"/>
        </w:rPr>
        <w:t>储能是新型电力系统的底层基础设施1</w:t>
      </w:r>
    </w:p>
    <w:p>
      <w:pPr>
        <w:spacing w:before="226" w:line="20" w:lineRule="exact"/>
        <w:textAlignment w:val="center"/>
      </w:pPr>
      <w:r>
        <w:drawing>
          <wp:inline distT="0" distB="0" distL="0" distR="0">
            <wp:extent cx="15316134" cy="1275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16134" cy="12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23" w:line="224" w:lineRule="auto"/>
        <w:ind w:left="11785"/>
        <w:rPr>
          <w:rFonts w:ascii="SimHei" w:eastAsia="SimHei" w:hAnsi="SimHei" w:cs="SimHei"/>
          <w:sz w:val="38"/>
          <w:szCs w:val="38"/>
        </w:rPr>
      </w:pPr>
      <w:r>
        <w:pict>
          <v:shape id="_x0000_s1026" type="#_x0000_t202" style="width:59.5pt;height:24.75pt;margin-top:-6.83pt;margin-left:237.5pt;position:absolute;z-index:251662336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Hei" w:eastAsia="SimHei" w:hAnsi="SimHei" w:cs="SimHei"/>
                      <w:sz w:val="38"/>
                      <w:szCs w:val="38"/>
                    </w:rPr>
                  </w:pPr>
                  <w:r>
                    <w:rPr>
                      <w:rFonts w:ascii="SimHei" w:eastAsia="SimHei" w:hAnsi="SimHei" w:cs="SimHei"/>
                      <w:color w:val="FFFFFF"/>
                      <w:spacing w:val="3"/>
                      <w:sz w:val="38"/>
                      <w:szCs w:val="38"/>
                    </w:rPr>
                    <w:t>发电侧</w:t>
                  </w:r>
                </w:p>
              </w:txbxContent>
            </v:textbox>
          </v:shape>
        </w:pict>
      </w:r>
      <w:r>
        <w:pict>
          <v:shape id="_x0000_s1027" type="#_x0000_t202" style="width:60.5pt;height:25.05pt;margin-top:-7.55pt;margin-left:922pt;position:absolute;z-index:251661312" filled="f" stroked="f">
            <o:lock v:ext="edit" aspectratio="f"/>
            <v:textbox inset="0,0,0,0">
              <w:txbxContent>
                <w:p>
                  <w:pPr>
                    <w:spacing w:before="19" w:line="224" w:lineRule="auto"/>
                    <w:ind w:left="20"/>
                    <w:rPr>
                      <w:rFonts w:ascii="SimHei" w:eastAsia="SimHei" w:hAnsi="SimHei" w:cs="SimHei"/>
                      <w:sz w:val="38"/>
                      <w:szCs w:val="38"/>
                    </w:rPr>
                  </w:pPr>
                  <w:r>
                    <w:rPr>
                      <w:rFonts w:ascii="SimHei" w:eastAsia="SimHei" w:hAnsi="SimHei" w:cs="SimHei"/>
                      <w:color w:val="FFFFFF"/>
                      <w:spacing w:val="9"/>
                      <w:sz w:val="38"/>
                      <w:szCs w:val="38"/>
                    </w:rPr>
                    <w:t>用电侧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939814</wp:posOffset>
            </wp:positionH>
            <wp:positionV relativeFrom="paragraph">
              <wp:posOffset>-570969</wp:posOffset>
            </wp:positionV>
            <wp:extent cx="13969902" cy="3422629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969902" cy="34226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电网</w:t>
      </w:r>
    </w:p>
    <w:p>
      <w:pPr>
        <w:spacing w:before="2" w:line="221" w:lineRule="auto"/>
        <w:ind w:left="1139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1"/>
          <w:sz w:val="38"/>
          <w:szCs w:val="38"/>
        </w:rPr>
        <w:t>动态平衡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07" w:line="238" w:lineRule="auto"/>
        <w:ind w:left="19259" w:right="3519"/>
        <w:rPr>
          <w:rFonts w:ascii="SimHei" w:eastAsia="SimHei" w:hAnsi="SimHei" w:cs="SimHei"/>
          <w:sz w:val="33"/>
          <w:szCs w:val="33"/>
        </w:rPr>
      </w:pPr>
      <w:r>
        <w:pict>
          <v:shape id="_x0000_s1028" type="#_x0000_t202" style="width:68.75pt;height:41.5pt;margin-top:6.88pt;margin-left:189.49pt;position:absolute;z-index:251660288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 w:right="20" w:firstLine="10"/>
                    <w:rPr>
                      <w:rFonts w:ascii="SimHei" w:eastAsia="SimHei" w:hAnsi="SimHei" w:cs="SimHei"/>
                      <w:sz w:val="33"/>
                      <w:szCs w:val="33"/>
                    </w:rPr>
                  </w:pPr>
                  <w:r>
                    <w:rPr>
                      <w:rFonts w:ascii="SimHei" w:eastAsia="SimHei" w:hAnsi="SimHei" w:cs="SimHei"/>
                      <w:color w:val="0056BA"/>
                      <w:sz w:val="33"/>
                      <w:szCs w:val="33"/>
                    </w:rPr>
                    <w:t>多类能源</w:t>
                  </w:r>
                  <w:r>
                    <w:rPr>
                      <w:rFonts w:ascii="SimHei" w:eastAsia="SimHei" w:hAnsi="SimHei" w:cs="SimHei"/>
                      <w:color w:val="0056BA"/>
                      <w:sz w:val="33"/>
                      <w:szCs w:val="33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color w:val="0056BA"/>
                      <w:spacing w:val="3"/>
                      <w:sz w:val="33"/>
                      <w:szCs w:val="33"/>
                    </w:rPr>
                    <w:t>协同互补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color w:val="1668C7"/>
          <w:spacing w:val="3"/>
          <w:sz w:val="33"/>
          <w:szCs w:val="33"/>
        </w:rPr>
        <w:t>柔性负荷</w:t>
      </w:r>
      <w:r>
        <w:rPr>
          <w:rFonts w:ascii="SimHei" w:eastAsia="SimHei" w:hAnsi="SimHei" w:cs="SimHei"/>
          <w:color w:val="1668C7"/>
          <w:spacing w:val="1"/>
          <w:sz w:val="33"/>
          <w:szCs w:val="33"/>
        </w:rPr>
        <w:t xml:space="preserve"> </w:t>
      </w:r>
      <w:r>
        <w:rPr>
          <w:rFonts w:ascii="SimHei" w:eastAsia="SimHei" w:hAnsi="SimHei" w:cs="SimHei"/>
          <w:color w:val="1668C7"/>
          <w:spacing w:val="5"/>
          <w:sz w:val="33"/>
          <w:szCs w:val="33"/>
        </w:rPr>
        <w:t>灵活调节</w:t>
      </w:r>
    </w:p>
    <w:p>
      <w:pPr>
        <w:spacing w:before="357" w:line="220" w:lineRule="auto"/>
        <w:ind w:left="988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color w:val="FFFFFF"/>
          <w:spacing w:val="9"/>
          <w:sz w:val="38"/>
          <w:szCs w:val="38"/>
        </w:rPr>
        <w:t>储能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  <w:sectPr>
          <w:headerReference w:type="default" r:id="rId10"/>
          <w:pgSz w:w="25870" w:h="14560"/>
          <w:pgMar w:top="111" w:right="1020" w:bottom="0" w:left="730" w:header="0" w:footer="0" w:gutter="0"/>
          <w:pgNumType w:start="4"/>
          <w:cols w:space="708"/>
        </w:sectPr>
      </w:pPr>
    </w:p>
    <w:p>
      <w:pPr>
        <w:spacing w:line="4740" w:lineRule="exact"/>
        <w:ind w:firstLine="1239"/>
        <w:textAlignment w:val="center"/>
      </w:pPr>
      <w:r>
        <w:pict>
          <v:group id="_x0000_i1029" style="width:1091.05pt;height:237.05pt;mso-position-horizontal-relative:char;mso-position-vertical-relative:line" coordorigin="0,0" coordsize="21821,474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21821;height:4741;position:absolute" filled="f" stroked="f">
              <v:imagedata r:id="rId11" o:title=""/>
            </v:shape>
            <v:shape id="_x0000_s1031" type="#_x0000_t202" style="width:11149;height:3507;left:940;position:absolute;top:466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right="18"/>
                      <w:jc w:val="right"/>
                      <w:rPr>
                        <w:rFonts w:ascii="SimHei" w:eastAsia="SimHei" w:hAnsi="SimHei" w:cs="SimHei"/>
                        <w:sz w:val="38"/>
                        <w:szCs w:val="38"/>
                      </w:rPr>
                    </w:pPr>
                    <w:r>
                      <w:rPr>
                        <w:rFonts w:ascii="SimHei" w:eastAsia="SimHei" w:hAnsi="SimHei" w:cs="SimHei"/>
                        <w:color w:val="3684DD"/>
                        <w:spacing w:val="-1"/>
                        <w:sz w:val="38"/>
                        <w:szCs w:val="38"/>
                      </w:rPr>
                      <w:t>2030～2045年</w:t>
                    </w: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4" w:line="219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color w:val="3681D7"/>
                        <w:spacing w:val="-21"/>
                        <w:sz w:val="38"/>
                        <w:szCs w:val="38"/>
                      </w:rPr>
                      <w:t>·</w:t>
                    </w:r>
                    <w:r>
                      <w:rPr>
                        <w:rFonts w:ascii="SimSun" w:eastAsia="SimSun" w:hAnsi="SimSun" w:cs="SimSun"/>
                        <w:color w:val="3681D7"/>
                        <w:spacing w:val="2"/>
                        <w:sz w:val="38"/>
                        <w:szCs w:val="38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color w:val="3681D7"/>
                        <w:spacing w:val="-21"/>
                        <w:sz w:val="38"/>
                        <w:szCs w:val="38"/>
                      </w:rPr>
                      <w:t>日内平衡调节为主</w:t>
                    </w:r>
                  </w:p>
                  <w:p>
                    <w:pPr>
                      <w:spacing w:before="219" w:line="219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color w:val="3681D7"/>
                        <w:spacing w:val="-18"/>
                        <w:sz w:val="38"/>
                        <w:szCs w:val="38"/>
                      </w:rPr>
                      <w:t>·</w:t>
                    </w:r>
                    <w:r>
                      <w:rPr>
                        <w:rFonts w:ascii="SimSun" w:eastAsia="SimSun" w:hAnsi="SimSun" w:cs="SimSun"/>
                        <w:color w:val="3681D7"/>
                        <w:spacing w:val="193"/>
                        <w:sz w:val="38"/>
                        <w:szCs w:val="3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3681D7"/>
                        <w:spacing w:val="-18"/>
                        <w:sz w:val="38"/>
                        <w:szCs w:val="38"/>
                      </w:rPr>
                      <w:t>电化学储能高速发展</w:t>
                    </w:r>
                  </w:p>
                  <w:p>
                    <w:pPr>
                      <w:spacing w:before="206" w:line="219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color w:val="3681D7"/>
                        <w:spacing w:val="-12"/>
                        <w:sz w:val="38"/>
                        <w:szCs w:val="38"/>
                      </w:rPr>
                      <w:t>·</w:t>
                    </w:r>
                    <w:r>
                      <w:rPr>
                        <w:rFonts w:ascii="SimSun" w:eastAsia="SimSun" w:hAnsi="SimSun" w:cs="SimSun"/>
                        <w:color w:val="3681D7"/>
                        <w:spacing w:val="164"/>
                        <w:sz w:val="38"/>
                        <w:szCs w:val="3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3681D7"/>
                        <w:spacing w:val="-12"/>
                        <w:sz w:val="38"/>
                        <w:szCs w:val="38"/>
                      </w:rPr>
                      <w:t>机械储能、热储能等示范推广</w:t>
                    </w:r>
                  </w:p>
                </w:txbxContent>
              </v:textbox>
            </v:shape>
            <v:shape id="_x0000_s1032" type="#_x0000_t202" style="width:5167;height:1828;left:15819;position:absolute;top:2155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60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color w:val="3681D8"/>
                        <w:spacing w:val="-2"/>
                        <w:sz w:val="38"/>
                        <w:szCs w:val="38"/>
                      </w:rPr>
                      <w:t>扩展至跨季度平衡调节</w:t>
                    </w:r>
                  </w:p>
                  <w:p>
                    <w:pPr>
                      <w:spacing w:before="220" w:line="220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color w:val="3681D8"/>
                        <w:spacing w:val="-13"/>
                        <w:sz w:val="38"/>
                        <w:szCs w:val="38"/>
                      </w:rPr>
                      <w:t>·</w:t>
                    </w:r>
                    <w:r>
                      <w:rPr>
                        <w:rFonts w:ascii="SimSun" w:eastAsia="SimSun" w:hAnsi="SimSun" w:cs="SimSun"/>
                        <w:color w:val="3681D8"/>
                        <w:spacing w:val="165"/>
                        <w:sz w:val="38"/>
                        <w:szCs w:val="3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3681D8"/>
                        <w:spacing w:val="-13"/>
                        <w:sz w:val="38"/>
                        <w:szCs w:val="38"/>
                      </w:rPr>
                      <w:t>储电、储热、储气、储氢多</w:t>
                    </w:r>
                  </w:p>
                  <w:p>
                    <w:pPr>
                      <w:spacing w:before="213" w:line="219" w:lineRule="auto"/>
                      <w:ind w:left="64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color w:val="3681D8"/>
                        <w:spacing w:val="-9"/>
                        <w:sz w:val="38"/>
                        <w:szCs w:val="38"/>
                      </w:rPr>
                      <w:t>种储能方案有机结合</w:t>
                    </w:r>
                  </w:p>
                </w:txbxContent>
              </v:textbox>
            </v:shape>
            <v:shape id="_x0000_s1033" type="#_x0000_t202" style="width:4967;height:1810;left:8889;position:absolute;top:2156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color w:val="3681D7"/>
                        <w:spacing w:val="-4"/>
                        <w:sz w:val="38"/>
                        <w:szCs w:val="38"/>
                      </w:rPr>
                      <w:t>扩展至日以上平衡调节</w:t>
                    </w:r>
                  </w:p>
                  <w:p>
                    <w:pPr>
                      <w:spacing w:before="193" w:line="219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color w:val="3681D7"/>
                        <w:spacing w:val="-1"/>
                        <w:sz w:val="38"/>
                        <w:szCs w:val="38"/>
                      </w:rPr>
                      <w:t>机械储能、热储能、氢能技术</w:t>
                    </w:r>
                  </w:p>
                  <w:p>
                    <w:pPr>
                      <w:spacing w:before="221" w:line="219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color w:val="3681D7"/>
                        <w:spacing w:val="-2"/>
                        <w:sz w:val="38"/>
                        <w:szCs w:val="38"/>
                      </w:rPr>
                      <w:t>进一步突破</w:t>
                    </w:r>
                  </w:p>
                </w:txbxContent>
              </v:textbox>
            </v:shape>
            <v:shape id="_x0000_s1034" type="#_x0000_t202" style="width:2326;height:492;left:17099;position:absolute;top:465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color w:val="2072CF"/>
                        <w:sz w:val="38"/>
                        <w:szCs w:val="38"/>
                      </w:rPr>
                      <w:t>2045～2060年</w:t>
                    </w:r>
                  </w:p>
                </w:txbxContent>
              </v:textbox>
            </v:shape>
            <v:shape id="_x0000_s1035" type="#_x0000_t202" style="width:2301;height:492;left:2489;position:absolute;top:465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color w:val="1A6DCC"/>
                        <w:spacing w:val="-2"/>
                        <w:sz w:val="38"/>
                        <w:szCs w:val="38"/>
                      </w:rPr>
                      <w:t>2022～2030年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07" w:line="222" w:lineRule="auto"/>
        <w:ind w:left="1194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spacing w:val="1"/>
          <w:sz w:val="33"/>
          <w:szCs w:val="33"/>
        </w:rPr>
        <w:t>《新型电力系统发展蓝皮书(征求意见稿</w:t>
      </w:r>
    </w:p>
    <w:p>
      <w:pPr>
        <w:sectPr>
          <w:headerReference w:type="default" r:id="rId12"/>
          <w:type w:val="nextPage"/>
          <w:pgSz w:w="25870" w:h="14560"/>
          <w:pgMar w:top="111" w:right="1020" w:bottom="0" w:left="730" w:header="0" w:footer="0" w:gutter="0"/>
          <w:pgNumType w:start="5"/>
          <w:cols w:space="708"/>
          <w:titlePg w:val="0"/>
        </w:sectPr>
      </w:pPr>
    </w:p>
    <w:p>
      <w:pPr>
        <w:spacing w:line="218" w:lineRule="auto"/>
        <w:ind w:left="259"/>
        <w:rPr>
          <w:rFonts w:ascii="SimHei" w:eastAsia="SimHei" w:hAnsi="SimHei" w:cs="SimHei"/>
          <w:sz w:val="62"/>
          <w:szCs w:val="62"/>
        </w:rPr>
      </w:pPr>
      <w:r>
        <w:rPr>
          <w:rFonts w:ascii="SimHei" w:eastAsia="SimHei" w:hAnsi="SimHei" w:cs="SimHei"/>
          <w:b/>
          <w:bCs/>
          <w:spacing w:val="13"/>
          <w:sz w:val="62"/>
          <w:szCs w:val="62"/>
        </w:rPr>
        <w:t>2022年储能市场回顾</w:t>
      </w:r>
    </w:p>
    <w:p>
      <w:pPr>
        <w:spacing w:before="2" w:line="212" w:lineRule="auto"/>
        <w:ind w:left="25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7"/>
          <w:sz w:val="47"/>
          <w:szCs w:val="47"/>
        </w:rPr>
        <w:t>政策、产业、资本三重共振，储能已成为持续性热点赛道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0" w:lineRule="exact"/>
        <w:textAlignment w:val="center"/>
      </w:pPr>
      <w:r>
        <w:drawing>
          <wp:inline distT="0" distB="0" distL="0" distR="0">
            <wp:extent cx="15341598" cy="1275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341598" cy="12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spacing w:line="107" w:lineRule="exact"/>
      </w:pPr>
    </w:p>
    <w:p>
      <w:pPr>
        <w:sectPr>
          <w:headerReference w:type="default" r:id="rId14"/>
          <w:pgSz w:w="25870" w:h="14560"/>
          <w:pgMar w:top="145" w:right="990" w:bottom="0" w:left="719" w:header="0" w:footer="0" w:gutter="0"/>
          <w:pgNumType w:start="6"/>
          <w:cols w:num="1" w:space="708" w:equalWidth="0">
            <w:col w:w="24160" w:space="0"/>
          </w:cols>
        </w:sectPr>
      </w:pPr>
    </w:p>
    <w:p>
      <w:pPr>
        <w:spacing w:before="76" w:line="222" w:lineRule="auto"/>
        <w:ind w:left="7515"/>
        <w:rPr>
          <w:rFonts w:ascii="SimHei" w:eastAsia="SimHei" w:hAnsi="SimHei" w:cs="SimHei"/>
          <w:sz w:val="38"/>
          <w:szCs w:val="38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1225652</wp:posOffset>
            </wp:positionH>
            <wp:positionV relativeFrom="paragraph">
              <wp:posOffset>-128483</wp:posOffset>
            </wp:positionV>
            <wp:extent cx="13500079" cy="668651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500079" cy="6686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13"/>
          <w:sz w:val="38"/>
          <w:szCs w:val="38"/>
        </w:rPr>
        <w:t>政策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23" w:line="220" w:lineRule="auto"/>
        <w:ind w:left="6965" w:right="866" w:firstLine="17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2"/>
          <w:sz w:val="38"/>
          <w:szCs w:val="38"/>
        </w:rPr>
        <w:t>国家副部级</w:t>
      </w:r>
      <w:r>
        <w:rPr>
          <w:rFonts w:ascii="SimHei" w:eastAsia="SimHei" w:hAnsi="SimHei" w:cs="SimHei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38"/>
          <w:szCs w:val="38"/>
        </w:rPr>
        <w:t>以上单位发文</w:t>
      </w:r>
    </w:p>
    <w:p>
      <w:pPr>
        <w:spacing w:before="426" w:line="223" w:lineRule="auto"/>
        <w:ind w:left="7213"/>
        <w:rPr>
          <w:rFonts w:ascii="SimHei" w:eastAsia="SimHei" w:hAnsi="SimHei" w:cs="SimHei"/>
          <w:sz w:val="92"/>
          <w:szCs w:val="92"/>
        </w:rPr>
      </w:pPr>
      <w:r>
        <w:rPr>
          <w:rFonts w:ascii="SimHei" w:eastAsia="SimHei" w:hAnsi="SimHei" w:cs="SimHei"/>
          <w:b/>
          <w:bCs/>
          <w:spacing w:val="-24"/>
          <w:sz w:val="92"/>
          <w:szCs w:val="92"/>
        </w:rPr>
        <w:t>14份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98" w:line="222" w:lineRule="auto"/>
        <w:ind w:left="17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5"/>
          <w:sz w:val="30"/>
          <w:szCs w:val="30"/>
        </w:rPr>
        <w:t>价格体系变革</w:t>
      </w:r>
    </w:p>
    <w:p>
      <w:pPr>
        <w:spacing w:before="303" w:line="216" w:lineRule="auto"/>
        <w:ind w:right="8714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5"/>
          <w:sz w:val="30"/>
          <w:szCs w:val="30"/>
        </w:rPr>
        <w:t>-</w:t>
      </w:r>
      <w:r>
        <w:rPr>
          <w:rFonts w:ascii="SimSun" w:eastAsia="SimSun" w:hAnsi="SimSun" w:cs="SimSun"/>
          <w:spacing w:val="104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5"/>
          <w:sz w:val="30"/>
          <w:szCs w:val="30"/>
        </w:rPr>
        <w:t>电力现货市场基本规则(征求意见稿)</w:t>
      </w:r>
      <w:r>
        <w:rPr>
          <w:rFonts w:ascii="SimSun" w:eastAsia="SimSun" w:hAnsi="SimSun" w:cs="SimSun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29"/>
          <w:sz w:val="30"/>
          <w:szCs w:val="30"/>
        </w:rPr>
        <w:t>电力现货市场监管办法(征求意见稿)</w:t>
      </w:r>
    </w:p>
    <w:p>
      <w:pPr>
        <w:spacing w:line="219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sz w:val="30"/>
          <w:szCs w:val="30"/>
        </w:rPr>
        <w:t>-</w:t>
      </w:r>
      <w:r>
        <w:rPr>
          <w:rFonts w:ascii="SimSun" w:eastAsia="SimSun" w:hAnsi="SimSun" w:cs="SimSun"/>
          <w:spacing w:val="10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4"/>
          <w:sz w:val="30"/>
          <w:szCs w:val="30"/>
        </w:rPr>
        <w:t>关于进一步推动新型储能参与电力市场和调度运用的</w:t>
      </w:r>
      <w:r>
        <w:rPr>
          <w:rFonts w:ascii="SimSun" w:eastAsia="SimSun" w:hAnsi="SimSun" w:cs="SimSun"/>
          <w:spacing w:val="-5"/>
          <w:sz w:val="30"/>
          <w:szCs w:val="30"/>
        </w:rPr>
        <w:t>通知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98" w:line="218" w:lineRule="auto"/>
        <w:ind w:left="21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9"/>
          <w:sz w:val="30"/>
          <w:szCs w:val="30"/>
        </w:rPr>
        <w:t>前沿落地实践</w:t>
      </w:r>
    </w:p>
    <w:p>
      <w:pPr>
        <w:spacing w:before="298" w:line="184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5"/>
          <w:sz w:val="30"/>
          <w:szCs w:val="30"/>
        </w:rPr>
        <w:t>-</w:t>
      </w:r>
      <w:r>
        <w:rPr>
          <w:rFonts w:ascii="SimSun" w:eastAsia="SimSun" w:hAnsi="SimSun" w:cs="SimSun"/>
          <w:spacing w:val="10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5"/>
          <w:sz w:val="30"/>
          <w:szCs w:val="30"/>
        </w:rPr>
        <w:t>山东省新型储能工程发展行动方案</w:t>
      </w:r>
    </w:p>
    <w:p>
      <w:pPr>
        <w:sectPr>
          <w:headerReference w:type="default" r:id="rId16"/>
          <w:type w:val="continuous"/>
          <w:pgSz w:w="25870" w:h="14560"/>
          <w:pgMar w:top="145" w:right="990" w:bottom="0" w:left="719" w:header="0" w:footer="0" w:gutter="0"/>
          <w:pgNumType w:start="7"/>
          <w:cols w:num="2" w:space="708" w:equalWidth="0">
            <w:col w:w="10051" w:space="100"/>
            <w:col w:w="14010" w:space="0"/>
          </w:cols>
        </w:sectPr>
      </w:pPr>
    </w:p>
    <w:p/>
    <w:p/>
    <w:p/>
    <w:p/>
    <w:p/>
    <w:p/>
    <w:p/>
    <w:p/>
    <w:p>
      <w:pPr>
        <w:spacing w:line="84" w:lineRule="auto"/>
        <w:rPr>
          <w:rFonts w:ascii="Arial"/>
          <w:sz w:val="2"/>
        </w:rPr>
      </w:pPr>
    </w:p>
    <w:p>
      <w:pPr>
        <w:sectPr>
          <w:headerReference w:type="default" r:id="rId17"/>
          <w:type w:val="continuous"/>
          <w:pgSz w:w="25870" w:h="14560"/>
          <w:pgMar w:top="145" w:right="990" w:bottom="0" w:left="719" w:header="0" w:footer="0" w:gutter="0"/>
          <w:pgNumType w:start="8"/>
          <w:cols w:num="1" w:space="708" w:equalWidth="0">
            <w:col w:w="24160" w:space="0"/>
          </w:cols>
        </w:sectPr>
      </w:pPr>
    </w:p>
    <w:p>
      <w:pPr>
        <w:spacing w:before="79" w:line="223" w:lineRule="auto"/>
        <w:ind w:left="314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产业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25" w:line="218" w:lineRule="auto"/>
        <w:ind w:left="2185" w:right="520" w:firstLine="18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0"/>
          <w:sz w:val="38"/>
          <w:szCs w:val="38"/>
        </w:rPr>
        <w:t>已投运新型储能</w:t>
      </w:r>
      <w:r>
        <w:rPr>
          <w:rFonts w:ascii="SimHei" w:eastAsia="SimHei" w:hAnsi="SimHei" w:cs="SimHei"/>
          <w:spacing w:val="2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8"/>
          <w:szCs w:val="38"/>
        </w:rPr>
        <w:t>项目装机规模增长</w:t>
      </w:r>
    </w:p>
    <w:p>
      <w:pPr>
        <w:spacing w:before="515" w:line="184" w:lineRule="auto"/>
        <w:ind w:left="2624"/>
        <w:rPr>
          <w:rFonts w:ascii="SimSun" w:eastAsia="SimSun" w:hAnsi="SimSun" w:cs="SimSun"/>
          <w:sz w:val="101"/>
          <w:szCs w:val="101"/>
        </w:rPr>
      </w:pPr>
      <w:r>
        <w:rPr>
          <w:rFonts w:ascii="SimSun" w:eastAsia="SimSun" w:hAnsi="SimSun" w:cs="SimSun"/>
          <w:b/>
          <w:bCs/>
          <w:color w:val="0059BF"/>
          <w:spacing w:val="-33"/>
          <w:sz w:val="101"/>
          <w:szCs w:val="101"/>
        </w:rPr>
        <w:t>110%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98" w:line="222" w:lineRule="auto"/>
        <w:ind w:left="17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5"/>
          <w:sz w:val="30"/>
          <w:szCs w:val="30"/>
        </w:rPr>
        <w:t>上市公司业绩放量</w:t>
      </w:r>
    </w:p>
    <w:p>
      <w:pPr>
        <w:spacing w:before="273" w:line="222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7"/>
          <w:sz w:val="30"/>
          <w:szCs w:val="30"/>
        </w:rPr>
        <w:t>-</w:t>
      </w:r>
      <w:r>
        <w:rPr>
          <w:rFonts w:ascii="SimSun" w:eastAsia="SimSun" w:hAnsi="SimSun" w:cs="SimSun"/>
          <w:spacing w:val="109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7"/>
          <w:sz w:val="30"/>
          <w:szCs w:val="30"/>
        </w:rPr>
        <w:t>储能相关上市公司营收同比增长74.55%、</w:t>
      </w:r>
    </w:p>
    <w:p>
      <w:pPr>
        <w:spacing w:line="220" w:lineRule="auto"/>
        <w:ind w:left="33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3"/>
          <w:sz w:val="30"/>
          <w:szCs w:val="30"/>
        </w:rPr>
        <w:t>净利润同比增长111.51%1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99" w:line="221" w:lineRule="auto"/>
        <w:ind w:left="17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5"/>
          <w:sz w:val="30"/>
          <w:szCs w:val="30"/>
        </w:rPr>
        <w:t>创业公司加速发展</w:t>
      </w:r>
    </w:p>
    <w:p>
      <w:pPr>
        <w:spacing w:before="267" w:line="221" w:lineRule="auto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8"/>
          <w:sz w:val="30"/>
          <w:szCs w:val="30"/>
        </w:rPr>
        <w:t>-</w:t>
      </w:r>
      <w:r>
        <w:rPr>
          <w:rFonts w:ascii="SimSun" w:eastAsia="SimSun" w:hAnsi="SimSun" w:cs="SimSun"/>
          <w:spacing w:val="9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8"/>
          <w:sz w:val="30"/>
          <w:szCs w:val="30"/>
        </w:rPr>
        <w:t>少有的高确定、高成长赛道，吸引产业</w:t>
      </w:r>
    </w:p>
    <w:p>
      <w:pPr>
        <w:spacing w:before="1" w:line="218" w:lineRule="auto"/>
        <w:ind w:left="33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5"/>
          <w:sz w:val="30"/>
          <w:szCs w:val="30"/>
        </w:rPr>
        <w:t>玩家入局并加速科研转化落地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8"/>
          <w:type w:val="continuous"/>
          <w:pgSz w:w="25870" w:h="14560"/>
          <w:pgMar w:top="145" w:right="990" w:bottom="0" w:left="719" w:header="0" w:footer="0" w:gutter="0"/>
          <w:pgNumType w:start="9"/>
          <w:cols w:num="4" w:space="708" w:equalWidth="0">
            <w:col w:w="5671" w:space="100"/>
            <w:col w:w="8125" w:space="100"/>
            <w:col w:w="3400" w:space="100"/>
            <w:col w:w="6666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5" w:line="219" w:lineRule="auto"/>
        <w:ind w:left="731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1"/>
          <w:sz w:val="38"/>
          <w:szCs w:val="38"/>
        </w:rPr>
        <w:t>资本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23" w:line="219" w:lineRule="auto"/>
        <w:ind w:left="47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8"/>
          <w:sz w:val="38"/>
          <w:szCs w:val="38"/>
        </w:rPr>
        <w:t>一级市场</w:t>
      </w:r>
    </w:p>
    <w:p>
      <w:pPr>
        <w:spacing w:before="1" w:line="221" w:lineRule="auto"/>
        <w:ind w:left="30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3"/>
          <w:sz w:val="38"/>
          <w:szCs w:val="38"/>
        </w:rPr>
        <w:t>投融资事件</w:t>
      </w:r>
    </w:p>
    <w:p>
      <w:pPr>
        <w:spacing w:before="336" w:line="220" w:lineRule="auto"/>
        <w:rPr>
          <w:rFonts w:ascii="SimSun" w:eastAsia="SimSun" w:hAnsi="SimSun" w:cs="SimSun"/>
          <w:sz w:val="101"/>
          <w:szCs w:val="101"/>
        </w:rPr>
      </w:pPr>
      <w:r>
        <w:rPr>
          <w:rFonts w:ascii="SimSun" w:eastAsia="SimSun" w:hAnsi="SimSun" w:cs="SimSun"/>
          <w:b/>
          <w:bCs/>
          <w:spacing w:val="-32"/>
          <w:sz w:val="101"/>
          <w:szCs w:val="101"/>
        </w:rPr>
        <w:t>112起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98" w:line="221" w:lineRule="auto"/>
        <w:ind w:left="2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8"/>
          <w:sz w:val="30"/>
          <w:szCs w:val="30"/>
        </w:rPr>
        <w:t>上市造富效应初现</w:t>
      </w:r>
    </w:p>
    <w:p>
      <w:pPr>
        <w:spacing w:before="258" w:line="227" w:lineRule="auto"/>
        <w:ind w:left="185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3"/>
          <w:sz w:val="30"/>
          <w:szCs w:val="30"/>
        </w:rPr>
        <w:t>古瑞瓦特、瑞浦等储能产业链新进玩</w:t>
      </w:r>
    </w:p>
    <w:p>
      <w:pPr>
        <w:spacing w:before="1" w:line="218" w:lineRule="auto"/>
        <w:ind w:left="185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6"/>
          <w:sz w:val="30"/>
          <w:szCs w:val="30"/>
        </w:rPr>
        <w:t>家已进入IPO阶段，吸引更多资本进入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98" w:line="222" w:lineRule="auto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5"/>
          <w:sz w:val="30"/>
          <w:szCs w:val="30"/>
        </w:rPr>
        <w:t>优质公司融资活跃</w:t>
      </w:r>
    </w:p>
    <w:p>
      <w:pPr>
        <w:spacing w:before="275" w:line="228" w:lineRule="auto"/>
        <w:ind w:left="185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"/>
          <w:sz w:val="30"/>
          <w:szCs w:val="30"/>
        </w:rPr>
        <w:t>虽然受疫情影响一级市场整体情绪偏谨</w:t>
      </w:r>
    </w:p>
    <w:p>
      <w:pPr>
        <w:spacing w:line="219" w:lineRule="auto"/>
        <w:ind w:left="185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sz w:val="30"/>
          <w:szCs w:val="30"/>
        </w:rPr>
        <w:t>慎，但储能赛道的头部玩家仍持续获得</w:t>
      </w:r>
    </w:p>
    <w:p>
      <w:pPr>
        <w:spacing w:before="13" w:line="184" w:lineRule="auto"/>
        <w:ind w:left="185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5"/>
          <w:sz w:val="30"/>
          <w:szCs w:val="30"/>
        </w:rPr>
        <w:t>资本下注</w:t>
      </w:r>
    </w:p>
    <w:p>
      <w:pPr>
        <w:sectPr>
          <w:headerReference w:type="default" r:id="rId19"/>
          <w:type w:val="nextPage"/>
          <w:pgSz w:w="25870" w:h="14560"/>
          <w:pgMar w:top="145" w:right="990" w:bottom="0" w:left="719" w:header="0" w:footer="0" w:gutter="0"/>
          <w:pgNumType w:start="10"/>
          <w:cols w:num="4" w:space="708" w:equalWidth="0">
            <w:col w:w="5671" w:space="100"/>
            <w:col w:w="8125" w:space="100"/>
            <w:col w:w="3400" w:space="100"/>
            <w:col w:w="6666" w:space="0"/>
          </w:cols>
          <w:titlePg w:val="0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98" w:line="184" w:lineRule="auto"/>
        <w:ind w:left="25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7"/>
          <w:sz w:val="30"/>
          <w:szCs w:val="30"/>
        </w:rPr>
        <w:t>1.数据来源中证储能产</w:t>
      </w:r>
    </w:p>
    <w:p>
      <w:pPr>
        <w:sectPr>
          <w:headerReference w:type="default" r:id="rId20"/>
          <w:type w:val="continuous"/>
          <w:pgSz w:w="25870" w:h="14560"/>
          <w:pgMar w:top="145" w:right="990" w:bottom="0" w:left="719" w:header="0" w:footer="0" w:gutter="0"/>
          <w:pgNumType w:start="11"/>
          <w:cols w:num="1" w:space="708" w:equalWidth="0">
            <w:col w:w="24160" w:space="0"/>
          </w:cols>
        </w:sectPr>
      </w:pPr>
    </w:p>
    <w:p>
      <w:pPr>
        <w:spacing w:before="1" w:line="222" w:lineRule="auto"/>
        <w:ind w:left="518"/>
        <w:rPr>
          <w:rFonts w:ascii="SimHei" w:eastAsia="SimHei" w:hAnsi="SimHei" w:cs="SimHei"/>
          <w:sz w:val="60"/>
          <w:szCs w:val="60"/>
        </w:rPr>
      </w:pPr>
      <w:r>
        <w:rPr>
          <w:rFonts w:ascii="SimHei" w:eastAsia="SimHei" w:hAnsi="SimHei" w:cs="SimHei"/>
          <w:b/>
          <w:bCs/>
          <w:spacing w:val="33"/>
          <w:sz w:val="60"/>
          <w:szCs w:val="60"/>
        </w:rPr>
        <w:t>储能投资框架的思考</w:t>
      </w:r>
    </w:p>
    <w:p>
      <w:pPr>
        <w:spacing w:before="123" w:line="213" w:lineRule="auto"/>
        <w:ind w:left="50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8"/>
          <w:sz w:val="47"/>
          <w:szCs w:val="47"/>
        </w:rPr>
        <w:t>磷酸铁锂技术体系构建储能赛道主轴，投资节奏和产业同频演进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0" w:lineRule="exact"/>
        <w:ind w:firstLine="219"/>
        <w:textAlignment w:val="center"/>
      </w:pPr>
      <w:r>
        <w:drawing>
          <wp:inline distT="0" distB="0" distL="0" distR="0">
            <wp:extent cx="15341598" cy="1275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341598" cy="12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pacing w:line="75" w:lineRule="exact"/>
      </w:pPr>
    </w:p>
    <w:p>
      <w:pPr>
        <w:sectPr>
          <w:headerReference w:type="default" r:id="rId21"/>
          <w:pgSz w:w="25870" w:h="14560"/>
          <w:pgMar w:top="1" w:right="990" w:bottom="0" w:left="500" w:header="0" w:footer="0" w:gutter="0"/>
          <w:pgNumType w:start="12"/>
          <w:cols w:num="1" w:space="708" w:equalWidth="0">
            <w:col w:w="24380" w:space="0"/>
          </w:cols>
        </w:sectPr>
      </w:pPr>
    </w:p>
    <w:p>
      <w:pPr>
        <w:spacing w:line="410" w:lineRule="auto"/>
        <w:rPr>
          <w:rFonts w:ascii="Arial"/>
          <w:sz w:val="21"/>
        </w:rPr>
      </w:pPr>
    </w:p>
    <w:p>
      <w:pPr>
        <w:spacing w:before="1" w:line="9980" w:lineRule="exact"/>
        <w:textAlignment w:val="center"/>
      </w:pPr>
      <w:r>
        <w:pict>
          <v:group id="_x0000_i1036" style="width:732pt;height:499.05pt;mso-position-horizontal-relative:char;mso-position-vertical-relative:line" coordorigin="0,0" coordsize="14640,9980" filled="f" stroked="f">
            <v:shape id="_x0000_s1037" type="#_x0000_t75" style="width:14640;height:9980;position:absolute" filled="f" stroked="f">
              <v:imagedata r:id="rId22" o:title=""/>
            </v:shape>
            <v:shape id="_x0000_s1038" type="#_x0000_t202" style="width:7895;height:8287;left:1089;position:absolute;top:568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right="9"/>
                      <w:jc w:val="right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color w:val="297AE6"/>
                        <w:sz w:val="23"/>
                        <w:szCs w:val="23"/>
                      </w:rPr>
                      <w:t>6</w:t>
                    </w:r>
                  </w:p>
                  <w:p>
                    <w:pPr>
                      <w:spacing w:before="270" w:line="220" w:lineRule="auto"/>
                      <w:ind w:left="5920"/>
                      <w:rPr>
                        <w:rFonts w:ascii="SimSun" w:eastAsia="SimSun" w:hAnsi="SimSun" w:cs="SimSun"/>
                        <w:sz w:val="39"/>
                        <w:szCs w:val="39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sz w:val="39"/>
                        <w:szCs w:val="39"/>
                      </w:rPr>
                      <w:t>调度运行</w:t>
                    </w: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7" w:line="222" w:lineRule="auto"/>
                      <w:ind w:left="5925"/>
                      <w:rPr>
                        <w:rFonts w:ascii="SimHei" w:eastAsia="SimHei" w:hAnsi="SimHei" w:cs="SimHei"/>
                        <w:sz w:val="39"/>
                        <w:szCs w:val="39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-17"/>
                        <w:sz w:val="39"/>
                        <w:szCs w:val="39"/>
                      </w:rPr>
                      <w:t>储能产品</w:t>
                    </w: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183" w:lineRule="auto"/>
                      <w:ind w:left="3280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color w:val="3986EB"/>
                        <w:sz w:val="23"/>
                        <w:szCs w:val="23"/>
                      </w:rPr>
                      <w:t>3</w:t>
                    </w:r>
                  </w:p>
                  <w:p>
                    <w:pPr>
                      <w:spacing w:before="51" w:line="222" w:lineRule="auto"/>
                      <w:ind w:left="1790"/>
                      <w:rPr>
                        <w:rFonts w:ascii="SimSun" w:eastAsia="SimSun" w:hAnsi="SimSun" w:cs="SimSun"/>
                        <w:sz w:val="39"/>
                        <w:szCs w:val="39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39"/>
                        <w:szCs w:val="39"/>
                      </w:rPr>
                      <w:t>电芯</w:t>
                    </w:r>
                  </w:p>
                  <w:p>
                    <w:pPr>
                      <w:spacing w:line="220" w:lineRule="auto"/>
                      <w:ind w:left="1590"/>
                      <w:rPr>
                        <w:rFonts w:ascii="SimSun" w:eastAsia="SimSun" w:hAnsi="SimSun" w:cs="SimSun"/>
                        <w:sz w:val="39"/>
                        <w:szCs w:val="39"/>
                      </w:rPr>
                    </w:pPr>
                    <w:r>
                      <w:rPr>
                        <w:rFonts w:ascii="SimSun" w:eastAsia="SimSun" w:hAnsi="SimSun" w:cs="SimSun"/>
                        <w:spacing w:val="16"/>
                        <w:sz w:val="39"/>
                        <w:szCs w:val="39"/>
                      </w:rPr>
                      <w:t>(制造)</w:t>
                    </w: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184" w:lineRule="auto"/>
                      <w:ind w:left="1530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color w:val="3181E9"/>
                        <w:sz w:val="23"/>
                        <w:szCs w:val="23"/>
                      </w:rPr>
                      <w:t>1</w:t>
                    </w:r>
                  </w:p>
                  <w:p>
                    <w:pPr>
                      <w:spacing w:before="257" w:line="219" w:lineRule="auto"/>
                      <w:ind w:left="20"/>
                      <w:rPr>
                        <w:rFonts w:ascii="SimSun" w:eastAsia="SimSun" w:hAnsi="SimSun" w:cs="SimSun"/>
                        <w:sz w:val="39"/>
                        <w:szCs w:val="39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39"/>
                        <w:szCs w:val="39"/>
                      </w:rPr>
                      <w:t>材料</w:t>
                    </w:r>
                  </w:p>
                </w:txbxContent>
              </v:textbox>
            </v:shape>
            <v:shape id="_x0000_s1039" type="#_x0000_t202" style="width:795;height:512;left:4629;position:absolute;top:8355" filled="f" stroked="f">
              <o:lock v:ext="edit" aspectratio="f"/>
              <v:textbox inset="0,0,0,0">
                <w:txbxContent>
                  <w:p>
                    <w:pPr>
                      <w:spacing w:before="19" w:line="224" w:lineRule="auto"/>
                      <w:ind w:left="20"/>
                      <w:rPr>
                        <w:rFonts w:ascii="FangSong" w:eastAsia="FangSong" w:hAnsi="FangSong" w:cs="FangSong"/>
                        <w:sz w:val="39"/>
                        <w:szCs w:val="39"/>
                      </w:rPr>
                    </w:pPr>
                    <w:r>
                      <w:rPr>
                        <w:rFonts w:ascii="FangSong" w:eastAsia="FangSong" w:hAnsi="FangSong" w:cs="FangSong"/>
                        <w:spacing w:val="-7"/>
                        <w:sz w:val="39"/>
                        <w:szCs w:val="39"/>
                      </w:rPr>
                      <w:t>设备</w:t>
                    </w:r>
                  </w:p>
                </w:txbxContent>
              </v:textbox>
            </v:shape>
            <v:shape id="_x0000_s1040" type="#_x0000_t202" style="width:710;height:344;left:6249;position:absolute;top:5219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32"/>
                        <w:szCs w:val="32"/>
                      </w:rPr>
                    </w:pPr>
                    <w:r>
                      <w:rPr>
                        <w:rFonts w:ascii="Arial" w:eastAsia="Arial" w:hAnsi="Arial" w:cs="Arial"/>
                        <w:spacing w:val="-6"/>
                        <w:sz w:val="32"/>
                        <w:szCs w:val="32"/>
                      </w:rPr>
                      <w:t>BMS</w:t>
                    </w:r>
                  </w:p>
                </w:txbxContent>
              </v:textbox>
            </v:shape>
            <v:shape id="_x0000_s1041" type="#_x0000_t202" style="width:708;height:344;left:11920;position:absolute;top:5219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32"/>
                        <w:szCs w:val="32"/>
                      </w:rPr>
                    </w:pPr>
                    <w:r>
                      <w:rPr>
                        <w:rFonts w:ascii="Arial" w:eastAsia="Arial" w:hAnsi="Arial" w:cs="Arial"/>
                        <w:spacing w:val="-6"/>
                        <w:sz w:val="32"/>
                        <w:szCs w:val="32"/>
                      </w:rPr>
                      <w:t>EMS</w:t>
                    </w:r>
                  </w:p>
                </w:txbxContent>
              </v:textbox>
            </v:shape>
            <v:shape id="_x0000_s1042" type="#_x0000_t202" style="width:604;height:329;left:9110;position:absolute;top:5235" filled="f" stroked="f">
              <o:lock v:ext="edit" aspectratio="f"/>
              <v:textbox inset="0,0,0,0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32"/>
                        <w:szCs w:val="32"/>
                      </w:rPr>
                      <w:t>PCS</w:t>
                    </w:r>
                  </w:p>
                </w:txbxContent>
              </v:textbox>
            </v:shape>
            <v:shape id="_x0000_s1043" type="#_x0000_t202" style="width:146;height:267;left:10530;position:absolute;top:4668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color w:val="2D7EE8"/>
                        <w:sz w:val="23"/>
                        <w:szCs w:val="23"/>
                      </w:rPr>
                      <w:t>4</w:t>
                    </w:r>
                  </w:p>
                </w:txbxContent>
              </v:textbox>
            </v:shape>
            <v:shape id="_x0000_s1044" type="#_x0000_t202" style="width:143;height:267;left:6119;position:absolute;top:7878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20"/>
                      <w:rPr>
                        <w:rFonts w:ascii="SimSun" w:eastAsia="SimSun" w:hAnsi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color w:val="ADC8EC"/>
                        <w:sz w:val="23"/>
                        <w:szCs w:val="23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color w:val="0461DB"/>
          <w:spacing w:val="-6"/>
          <w:sz w:val="38"/>
          <w:szCs w:val="38"/>
        </w:rPr>
        <w:t>磷酸铁锂主辅材</w:t>
      </w:r>
    </w:p>
    <w:p>
      <w:pPr>
        <w:spacing w:before="219" w:line="571" w:lineRule="exac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3"/>
          <w:position w:val="18"/>
          <w:sz w:val="32"/>
          <w:szCs w:val="32"/>
        </w:rPr>
        <w:t>·</w:t>
      </w:r>
      <w:r>
        <w:rPr>
          <w:rFonts w:ascii="SimSun" w:eastAsia="SimSun" w:hAnsi="SimSun" w:cs="SimSun"/>
          <w:spacing w:val="95"/>
          <w:position w:val="1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3"/>
          <w:position w:val="18"/>
          <w:sz w:val="32"/>
          <w:szCs w:val="32"/>
        </w:rPr>
        <w:t>核心关注</w:t>
      </w:r>
      <w:r>
        <w:rPr>
          <w:rFonts w:ascii="SimSun" w:eastAsia="SimSun" w:hAnsi="SimSun" w:cs="SimSun"/>
          <w:color w:val="FE3535"/>
          <w:spacing w:val="-3"/>
          <w:position w:val="18"/>
          <w:sz w:val="32"/>
          <w:szCs w:val="32"/>
        </w:rPr>
        <w:t>安全性、循环寿命、低成本</w:t>
      </w:r>
    </w:p>
    <w:p>
      <w:pPr>
        <w:spacing w:before="1" w:line="219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3"/>
          <w:sz w:val="32"/>
          <w:szCs w:val="32"/>
        </w:rPr>
        <w:t>·</w:t>
      </w:r>
      <w:r>
        <w:rPr>
          <w:rFonts w:ascii="SimSun" w:eastAsia="SimSun" w:hAnsi="SimSun" w:cs="SimSun"/>
          <w:spacing w:val="93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3"/>
          <w:sz w:val="32"/>
          <w:szCs w:val="32"/>
        </w:rPr>
        <w:t>应用于储能的锂电体系技术迭代较慢</w:t>
      </w:r>
    </w:p>
    <w:p>
      <w:pPr>
        <w:spacing w:before="345" w:line="222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color w:val="005BD3"/>
          <w:spacing w:val="-21"/>
          <w:sz w:val="39"/>
          <w:szCs w:val="39"/>
        </w:rPr>
        <w:t>核心生产及检测设备</w:t>
      </w:r>
    </w:p>
    <w:p>
      <w:pPr>
        <w:spacing w:before="196" w:line="599" w:lineRule="exac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2"/>
          <w:position w:val="20"/>
          <w:sz w:val="32"/>
          <w:szCs w:val="32"/>
        </w:rPr>
        <w:t>·</w:t>
      </w:r>
      <w:r>
        <w:rPr>
          <w:rFonts w:ascii="SimSun" w:eastAsia="SimSun" w:hAnsi="SimSun" w:cs="SimSun"/>
          <w:spacing w:val="85"/>
          <w:position w:val="20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2"/>
          <w:position w:val="20"/>
          <w:sz w:val="32"/>
          <w:szCs w:val="32"/>
        </w:rPr>
        <w:t>核心通过</w:t>
      </w:r>
      <w:r>
        <w:rPr>
          <w:rFonts w:ascii="SimSun" w:eastAsia="SimSun" w:hAnsi="SimSun" w:cs="SimSun"/>
          <w:color w:val="FE2525"/>
          <w:spacing w:val="-2"/>
          <w:position w:val="20"/>
          <w:sz w:val="32"/>
          <w:szCs w:val="32"/>
        </w:rPr>
        <w:t>自动化、智能化</w:t>
      </w:r>
      <w:r>
        <w:rPr>
          <w:rFonts w:ascii="SimSun" w:eastAsia="SimSun" w:hAnsi="SimSun" w:cs="SimSun"/>
          <w:spacing w:val="-2"/>
          <w:position w:val="20"/>
          <w:sz w:val="32"/>
          <w:szCs w:val="32"/>
        </w:rPr>
        <w:t>设备提高电芯生产的</w:t>
      </w:r>
    </w:p>
    <w:p>
      <w:pPr>
        <w:spacing w:before="1" w:line="218" w:lineRule="auto"/>
        <w:ind w:left="45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>一致性并降低成本</w:t>
      </w:r>
    </w:p>
    <w:p>
      <w:pPr>
        <w:spacing w:before="361" w:line="223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color w:val="0461DB"/>
          <w:spacing w:val="-14"/>
          <w:sz w:val="39"/>
          <w:szCs w:val="39"/>
        </w:rPr>
        <w:t>电芯大规模生产</w:t>
      </w:r>
    </w:p>
    <w:p>
      <w:pPr>
        <w:spacing w:before="199" w:line="561" w:lineRule="exac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4"/>
          <w:position w:val="17"/>
          <w:sz w:val="32"/>
          <w:szCs w:val="32"/>
        </w:rPr>
        <w:t>·</w:t>
      </w:r>
      <w:r>
        <w:rPr>
          <w:rFonts w:ascii="SimSun" w:eastAsia="SimSun" w:hAnsi="SimSun" w:cs="SimSun"/>
          <w:spacing w:val="-132"/>
          <w:position w:val="17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4"/>
          <w:position w:val="17"/>
          <w:sz w:val="32"/>
          <w:szCs w:val="32"/>
        </w:rPr>
        <w:t>综合材料和设备能力，偏制造业投资逻辑，考</w:t>
      </w:r>
    </w:p>
    <w:p>
      <w:pPr>
        <w:spacing w:line="219" w:lineRule="auto"/>
        <w:ind w:left="45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2"/>
          <w:sz w:val="32"/>
          <w:szCs w:val="32"/>
        </w:rPr>
        <w:t>验大规模生产的</w:t>
      </w:r>
      <w:r>
        <w:rPr>
          <w:rFonts w:ascii="SimSun" w:eastAsia="SimSun" w:hAnsi="SimSun" w:cs="SimSun"/>
          <w:color w:val="FE3F3F"/>
          <w:spacing w:val="2"/>
          <w:sz w:val="32"/>
          <w:szCs w:val="32"/>
        </w:rPr>
        <w:t>产能、组织能力和高可靠性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28" w:line="222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color w:val="005EDA"/>
          <w:spacing w:val="-11"/>
          <w:sz w:val="39"/>
          <w:szCs w:val="39"/>
        </w:rPr>
        <w:t>3S能力</w:t>
      </w:r>
    </w:p>
    <w:p>
      <w:pPr>
        <w:spacing w:before="215" w:line="571" w:lineRule="exac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2"/>
          <w:position w:val="18"/>
          <w:sz w:val="32"/>
          <w:szCs w:val="32"/>
        </w:rPr>
        <w:t>·</w:t>
      </w:r>
      <w:r>
        <w:rPr>
          <w:rFonts w:ascii="SimSun" w:eastAsia="SimSun" w:hAnsi="SimSun" w:cs="SimSun"/>
          <w:spacing w:val="114"/>
          <w:position w:val="1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2"/>
          <w:position w:val="18"/>
          <w:sz w:val="32"/>
          <w:szCs w:val="32"/>
        </w:rPr>
        <w:t>3S单点的行业附加值有限，且</w:t>
      </w:r>
      <w:r>
        <w:rPr>
          <w:rFonts w:ascii="SimSun" w:eastAsia="SimSun" w:hAnsi="SimSun" w:cs="SimSun"/>
          <w:position w:val="18"/>
          <w:sz w:val="32"/>
          <w:szCs w:val="32"/>
        </w:rPr>
        <w:t>BMS</w:t>
      </w:r>
      <w:r>
        <w:rPr>
          <w:rFonts w:ascii="SimSun" w:eastAsia="SimSun" w:hAnsi="SimSun" w:cs="SimSun"/>
          <w:spacing w:val="2"/>
          <w:position w:val="18"/>
          <w:sz w:val="32"/>
          <w:szCs w:val="32"/>
        </w:rPr>
        <w:t>、</w:t>
      </w:r>
      <w:r>
        <w:rPr>
          <w:rFonts w:ascii="SimSun" w:eastAsia="SimSun" w:hAnsi="SimSun" w:cs="SimSun"/>
          <w:position w:val="18"/>
          <w:sz w:val="32"/>
          <w:szCs w:val="32"/>
        </w:rPr>
        <w:t>PCS</w:t>
      </w:r>
      <w:r>
        <w:rPr>
          <w:rFonts w:ascii="SimSun" w:eastAsia="SimSun" w:hAnsi="SimSun" w:cs="SimSun"/>
          <w:spacing w:val="-5"/>
          <w:position w:val="1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2"/>
          <w:position w:val="18"/>
          <w:sz w:val="32"/>
          <w:szCs w:val="32"/>
        </w:rPr>
        <w:t>均有</w:t>
      </w:r>
    </w:p>
    <w:p>
      <w:pPr>
        <w:spacing w:line="219" w:lineRule="auto"/>
        <w:ind w:left="45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>巨头跨界，核心关注</w:t>
      </w:r>
      <w:r>
        <w:rPr>
          <w:rFonts w:ascii="Times New Roman" w:eastAsia="Times New Roman" w:hAnsi="Times New Roman" w:cs="Times New Roman"/>
          <w:color w:val="FE3F3F"/>
          <w:sz w:val="32"/>
          <w:szCs w:val="32"/>
        </w:rPr>
        <w:t>3S</w:t>
      </w:r>
      <w:r>
        <w:rPr>
          <w:rFonts w:ascii="SimSun" w:eastAsia="SimSun" w:hAnsi="SimSun" w:cs="SimSun"/>
          <w:color w:val="FE3F3F"/>
          <w:sz w:val="32"/>
          <w:szCs w:val="32"/>
        </w:rPr>
        <w:t>融合下的整体产品能</w:t>
      </w:r>
      <w:r>
        <w:rPr>
          <w:rFonts w:ascii="SimSun" w:eastAsia="SimSun" w:hAnsi="SimSun" w:cs="SimSun"/>
          <w:color w:val="FE3F3F"/>
          <w:spacing w:val="-1"/>
          <w:sz w:val="32"/>
          <w:szCs w:val="32"/>
        </w:rPr>
        <w:t>力</w:t>
      </w:r>
    </w:p>
    <w:p>
      <w:pPr>
        <w:spacing w:before="364" w:line="221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color w:val="005ED9"/>
          <w:spacing w:val="-18"/>
          <w:sz w:val="39"/>
          <w:szCs w:val="39"/>
        </w:rPr>
        <w:t>储能系统产品</w:t>
      </w:r>
    </w:p>
    <w:p>
      <w:pPr>
        <w:spacing w:before="209" w:line="582" w:lineRule="exac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0"/>
          <w:position w:val="19"/>
          <w:sz w:val="32"/>
          <w:szCs w:val="32"/>
        </w:rPr>
        <w:t>·</w:t>
      </w:r>
      <w:r>
        <w:rPr>
          <w:rFonts w:ascii="SimSun" w:eastAsia="SimSun" w:hAnsi="SimSun" w:cs="SimSun"/>
          <w:spacing w:val="102"/>
          <w:position w:val="19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0"/>
          <w:position w:val="19"/>
          <w:sz w:val="32"/>
          <w:szCs w:val="32"/>
        </w:rPr>
        <w:t>系统产品层的活跃融资将储能定义为独立赛</w:t>
      </w:r>
    </w:p>
    <w:p>
      <w:pPr>
        <w:spacing w:line="220" w:lineRule="auto"/>
        <w:ind w:left="450"/>
        <w:rPr>
          <w:rFonts w:ascii="SimSun" w:eastAsia="SimSun" w:hAnsi="SimSun" w:cs="SimSun"/>
          <w:sz w:val="32"/>
          <w:szCs w:val="32"/>
        </w:rPr>
        <w:sectPr>
          <w:headerReference w:type="default" r:id="rId23"/>
          <w:type w:val="continuous"/>
          <w:pgSz w:w="25870" w:h="14560"/>
          <w:pgMar w:top="1" w:right="990" w:bottom="0" w:left="500" w:header="0" w:footer="0" w:gutter="0"/>
          <w:pgNumType w:start="13"/>
          <w:cols w:num="2" w:space="708" w:equalWidth="0">
            <w:col w:w="16950" w:space="100"/>
            <w:col w:w="7331" w:space="0"/>
          </w:cols>
        </w:sectPr>
      </w:pPr>
      <w:r>
        <w:rPr>
          <w:rFonts w:ascii="SimSun" w:eastAsia="SimSun" w:hAnsi="SimSun" w:cs="SimSun"/>
          <w:spacing w:val="2"/>
          <w:sz w:val="32"/>
          <w:szCs w:val="32"/>
        </w:rPr>
        <w:t>道，核心关注</w:t>
      </w:r>
      <w:r>
        <w:rPr>
          <w:rFonts w:ascii="SimSun" w:eastAsia="SimSun" w:hAnsi="SimSun" w:cs="SimSun"/>
          <w:color w:val="FE2D2D"/>
          <w:spacing w:val="2"/>
          <w:sz w:val="32"/>
          <w:szCs w:val="32"/>
        </w:rPr>
        <w:t>安全性、经济性</w:t>
      </w:r>
      <w:r>
        <w:rPr>
          <w:rFonts w:ascii="SimSun" w:eastAsia="SimSun" w:hAnsi="SimSun" w:cs="SimSun"/>
          <w:spacing w:val="2"/>
          <w:sz w:val="32"/>
          <w:szCs w:val="32"/>
        </w:rPr>
        <w:t>的行业痛点</w:t>
      </w:r>
    </w:p>
    <w:p>
      <w:pPr>
        <w:spacing w:before="351" w:line="221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color w:val="2276E4"/>
          <w:spacing w:val="-20"/>
          <w:sz w:val="39"/>
          <w:szCs w:val="39"/>
        </w:rPr>
        <w:t>源网荷储系统融合</w:t>
      </w:r>
    </w:p>
    <w:p>
      <w:pPr>
        <w:spacing w:before="208" w:line="591" w:lineRule="exact"/>
        <w:ind w:left="10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1"/>
          <w:position w:val="20"/>
          <w:sz w:val="32"/>
          <w:szCs w:val="32"/>
        </w:rPr>
        <w:t>·</w:t>
      </w:r>
      <w:r>
        <w:rPr>
          <w:rFonts w:ascii="SimSun" w:eastAsia="SimSun" w:hAnsi="SimSun" w:cs="SimSun"/>
          <w:spacing w:val="7"/>
          <w:position w:val="20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1"/>
          <w:position w:val="20"/>
          <w:sz w:val="32"/>
          <w:szCs w:val="32"/>
        </w:rPr>
        <w:t>基于数字化智能化的网络实现储能与供能用</w:t>
      </w:r>
    </w:p>
    <w:p>
      <w:pPr>
        <w:spacing w:before="1" w:line="184" w:lineRule="auto"/>
        <w:ind w:left="45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"/>
          <w:sz w:val="32"/>
          <w:szCs w:val="32"/>
        </w:rPr>
        <w:t>能系统深度耦合协同，关注</w:t>
      </w:r>
      <w:r>
        <w:rPr>
          <w:rFonts w:ascii="SimSun" w:eastAsia="SimSun" w:hAnsi="SimSun" w:cs="SimSun"/>
          <w:color w:val="FE4040"/>
          <w:spacing w:val="1"/>
          <w:sz w:val="32"/>
          <w:szCs w:val="32"/>
        </w:rPr>
        <w:t>调度和交易能力</w:t>
      </w:r>
    </w:p>
    <w:p>
      <w:pPr>
        <w:sectPr>
          <w:headerReference w:type="default" r:id="rId24"/>
          <w:type w:val="nextPage"/>
          <w:pgSz w:w="25870" w:h="14560"/>
          <w:pgMar w:top="1" w:right="990" w:bottom="0" w:left="500" w:header="0" w:footer="0" w:gutter="0"/>
          <w:pgNumType w:start="14"/>
          <w:cols w:num="2" w:space="708" w:equalWidth="0">
            <w:col w:w="16950" w:space="100"/>
            <w:col w:w="7331" w:space="0"/>
          </w:cols>
          <w:titlePg w:val="0"/>
        </w:sectPr>
      </w:pPr>
    </w:p>
    <w:p>
      <w:pPr>
        <w:spacing w:before="3" w:line="220" w:lineRule="auto"/>
        <w:ind w:left="298"/>
        <w:rPr>
          <w:rFonts w:ascii="SimHei" w:eastAsia="SimHei" w:hAnsi="SimHei" w:cs="SimHei"/>
          <w:sz w:val="61"/>
          <w:szCs w:val="61"/>
        </w:rPr>
      </w:pPr>
      <w:r>
        <w:pict>
          <v:shape id="_x0000_s1045" type="#_x0000_t202" style="width:27.25pt;height:46.5pt;margin-top:181.49pt;margin-left:55.29pt;mso-position-horizontal-relative:page;mso-position-vertical-relative:page;position:absolute;z-index:251667456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15" w:lineRule="auto"/>
                    <w:ind w:left="20"/>
                    <w:rPr>
                      <w:rFonts w:ascii="SimSun" w:eastAsia="SimSun" w:hAnsi="SimSun" w:cs="SimSun"/>
                      <w:sz w:val="42"/>
                      <w:szCs w:val="42"/>
                    </w:rPr>
                  </w:pPr>
                  <w:r>
                    <w:rPr>
                      <w:rFonts w:ascii="SimSun" w:eastAsia="SimSun" w:hAnsi="SimSun" w:cs="SimSun"/>
                      <w:spacing w:val="24"/>
                      <w:sz w:val="42"/>
                      <w:szCs w:val="42"/>
                    </w:rPr>
                    <w:t>材料</w:t>
                  </w:r>
                </w:p>
              </w:txbxContent>
            </v:textbox>
          </v:shape>
        </w:pict>
      </w:r>
      <w:r>
        <w:pict>
          <v:shape id="_x0000_s1046" type="#_x0000_t202" style="width:25.65pt;height:51.15pt;margin-top:306.93pt;margin-left:56.41pt;mso-position-horizontal-relative:page;mso-position-vertical-relative:page;position:absolute;z-index:251665408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9" w:line="236" w:lineRule="auto"/>
                    <w:ind w:left="20"/>
                    <w:rPr>
                      <w:rFonts w:ascii="LiSu" w:eastAsia="LiSu" w:hAnsi="LiSu" w:cs="LiSu"/>
                      <w:sz w:val="36"/>
                      <w:szCs w:val="36"/>
                    </w:rPr>
                  </w:pPr>
                  <w:r>
                    <w:rPr>
                      <w:rFonts w:ascii="LiSu" w:eastAsia="LiSu" w:hAnsi="LiSu" w:cs="LiSu"/>
                      <w:spacing w:val="30"/>
                      <w:w w:val="128"/>
                      <w:sz w:val="36"/>
                      <w:szCs w:val="36"/>
                    </w:rPr>
                    <w:t>设备</w:t>
                  </w:r>
                </w:p>
              </w:txbxContent>
            </v:textbox>
          </v:shape>
        </w:pict>
      </w:r>
      <w:r>
        <w:pict>
          <v:shape id="_x0000_s1047" type="#_x0000_t202" style="width:23.9pt;height:47.45pt;margin-top:437.3pt;margin-left:57.53pt;mso-position-horizontal-relative:page;mso-position-vertical-relative:page;position:absolute;z-index:251666432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18" w:lineRule="auto"/>
                    <w:ind w:left="20"/>
                    <w:rPr>
                      <w:rFonts w:ascii="SimHei" w:eastAsia="SimHei" w:hAnsi="SimHei" w:cs="SimHei"/>
                      <w:sz w:val="36"/>
                      <w:szCs w:val="36"/>
                    </w:rPr>
                  </w:pPr>
                  <w:r>
                    <w:rPr>
                      <w:rFonts w:ascii="SimHei" w:eastAsia="SimHei" w:hAnsi="SimHei" w:cs="SimHei"/>
                      <w:spacing w:val="40"/>
                      <w:w w:val="115"/>
                      <w:sz w:val="36"/>
                      <w:szCs w:val="36"/>
                    </w:rPr>
                    <w:t>制造</w:t>
                  </w:r>
                </w:p>
              </w:txbxContent>
            </v:textbox>
          </v:shape>
        </w:pict>
      </w:r>
      <w:r>
        <w:pict>
          <v:shape id="_x0000_s1048" type="#_x0000_t202" style="width:23.8pt;height:45.8pt;margin-top:567.71pt;margin-left:57.67pt;mso-position-horizontal-relative:page;mso-position-vertical-relative:page;position:absolute;z-index:251664384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9" w:line="217" w:lineRule="auto"/>
                    <w:ind w:left="20"/>
                    <w:rPr>
                      <w:rFonts w:ascii="SimHei" w:eastAsia="SimHei" w:hAnsi="SimHei" w:cs="SimHei"/>
                      <w:sz w:val="36"/>
                      <w:szCs w:val="36"/>
                    </w:rPr>
                  </w:pPr>
                  <w:r>
                    <w:rPr>
                      <w:rFonts w:ascii="SimHei" w:eastAsia="SimHei" w:hAnsi="SimHei" w:cs="SimHei"/>
                      <w:spacing w:val="77"/>
                      <w:sz w:val="36"/>
                      <w:szCs w:val="36"/>
                    </w:rPr>
                    <w:t>产品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21"/>
          <w:sz w:val="61"/>
          <w:szCs w:val="61"/>
        </w:rPr>
        <w:t>储能赛道演进逻辑复盘</w:t>
      </w:r>
    </w:p>
    <w:p>
      <w:pPr>
        <w:spacing w:before="127" w:line="221" w:lineRule="auto"/>
        <w:ind w:left="27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2"/>
          <w:sz w:val="48"/>
          <w:szCs w:val="48"/>
        </w:rPr>
        <w:t>材料技术突破、先进产能扩张、数字化智能化共同推动行业持续发展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0" w:lineRule="exact"/>
        <w:textAlignment w:val="center"/>
      </w:pPr>
      <w:r>
        <w:drawing>
          <wp:inline distT="0" distB="0" distL="0" distR="0">
            <wp:extent cx="15341598" cy="1275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341598" cy="12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pacing w:line="195" w:lineRule="exact"/>
      </w:pPr>
    </w:p>
    <w:p>
      <w:pPr>
        <w:sectPr>
          <w:headerReference w:type="default" r:id="rId25"/>
          <w:pgSz w:w="25870" w:h="14560"/>
          <w:pgMar w:top="1" w:right="489" w:bottom="0" w:left="719" w:header="0" w:footer="0" w:gutter="0"/>
          <w:pgNumType w:start="15"/>
          <w:cols w:num="1" w:space="708" w:equalWidth="0">
            <w:col w:w="24661" w:space="0"/>
          </w:cols>
        </w:sectPr>
      </w:pPr>
    </w:p>
    <w:p>
      <w:pPr>
        <w:spacing w:before="69" w:line="188" w:lineRule="auto"/>
        <w:ind w:left="655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color w:val="005CD5"/>
          <w:spacing w:val="35"/>
          <w:sz w:val="34"/>
          <w:szCs w:val="34"/>
        </w:rPr>
        <w:t>细分赛道演进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9" w:line="187" w:lineRule="auto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color w:val="0461DB"/>
          <w:spacing w:val="35"/>
          <w:sz w:val="34"/>
          <w:szCs w:val="34"/>
        </w:rPr>
        <w:t>行业周期逻辑</w:t>
      </w:r>
    </w:p>
    <w:p>
      <w:pPr>
        <w:sectPr>
          <w:headerReference w:type="default" r:id="rId26"/>
          <w:type w:val="continuous"/>
          <w:pgSz w:w="25870" w:h="14560"/>
          <w:pgMar w:top="1" w:right="489" w:bottom="0" w:left="719" w:header="0" w:footer="0" w:gutter="0"/>
          <w:pgNumType w:start="16"/>
          <w:cols w:num="2" w:space="708" w:equalWidth="0">
            <w:col w:w="18385" w:space="100"/>
            <w:col w:w="6176" w:space="0"/>
          </w:cols>
        </w:sectPr>
      </w:pPr>
    </w:p>
    <w:p/>
    <w:p/>
    <w:p>
      <w:pPr>
        <w:spacing w:line="171" w:lineRule="exact"/>
      </w:pPr>
    </w:p>
    <w:p>
      <w:pPr>
        <w:sectPr>
          <w:headerReference w:type="default" r:id="rId27"/>
          <w:type w:val="continuous"/>
          <w:pgSz w:w="25870" w:h="14560"/>
          <w:pgMar w:top="1" w:right="489" w:bottom="0" w:left="719" w:header="0" w:footer="0" w:gutter="0"/>
          <w:pgNumType w:start="17"/>
          <w:cols w:num="1" w:space="708" w:equalWidth="0">
            <w:col w:w="24661" w:space="0"/>
          </w:cols>
        </w:sectPr>
      </w:pPr>
    </w:p>
    <w:p/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0" w:line="196" w:lineRule="auto"/>
        <w:ind w:left="249"/>
        <w:rPr>
          <w:rFonts w:ascii="Arial" w:eastAsia="Arial" w:hAnsi="Arial" w:cs="Arial"/>
          <w:sz w:val="62"/>
          <w:szCs w:val="62"/>
        </w:rPr>
      </w:pPr>
      <w:r>
        <w:rPr>
          <w:rFonts w:ascii="Arial" w:eastAsia="Arial" w:hAnsi="Arial" w:cs="Arial"/>
          <w:color w:val="003777"/>
          <w:spacing w:val="-10"/>
          <w:sz w:val="62"/>
          <w:szCs w:val="62"/>
        </w:rPr>
        <w:t>BTR</w:t>
      </w:r>
    </w:p>
    <w:p>
      <w:pPr>
        <w:spacing w:before="279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首轮融资：2010</w:t>
      </w:r>
    </w:p>
    <w:p>
      <w:pPr>
        <w:spacing w:before="15" w:line="184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公开发行：2020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3" w:line="200" w:lineRule="auto"/>
        <w:ind w:left="440"/>
        <w:rPr>
          <w:rFonts w:ascii="Arial" w:eastAsia="Arial" w:hAnsi="Arial" w:cs="Arial"/>
          <w:sz w:val="29"/>
          <w:szCs w:val="29"/>
        </w:rPr>
      </w:pPr>
      <w:r>
        <w:rPr>
          <w:rFonts w:ascii="Arial" w:eastAsia="Arial" w:hAnsi="Arial" w:cs="Arial"/>
          <w:b/>
          <w:bCs/>
          <w:color w:val="153181"/>
          <w:spacing w:val="-8"/>
          <w:sz w:val="29"/>
          <w:szCs w:val="29"/>
        </w:rPr>
        <w:t>Dynanonic</w:t>
      </w:r>
    </w:p>
    <w:p>
      <w:pPr>
        <w:spacing w:line="225" w:lineRule="auto"/>
        <w:ind w:left="56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color w:val="1F3EA5"/>
          <w:spacing w:val="3"/>
          <w:sz w:val="29"/>
          <w:szCs w:val="29"/>
        </w:rPr>
        <w:t>他方纳米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78" w:line="220" w:lineRule="auto"/>
        <w:ind w:left="3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首轮融资：2009</w:t>
      </w:r>
    </w:p>
    <w:p>
      <w:pPr>
        <w:spacing w:before="15" w:line="184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公开发行：2019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" w:line="207" w:lineRule="auto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color w:val="3986EB"/>
          <w:spacing w:val="-9"/>
          <w:sz w:val="33"/>
          <w:szCs w:val="33"/>
        </w:rPr>
        <w:t>材料体系</w:t>
      </w:r>
    </w:p>
    <w:p>
      <w:pPr>
        <w:spacing w:line="220" w:lineRule="auto"/>
        <w:ind w:left="17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color w:val="3986EB"/>
          <w:spacing w:val="-16"/>
          <w:sz w:val="34"/>
          <w:szCs w:val="34"/>
        </w:rPr>
        <w:t>多元化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9" w:line="200" w:lineRule="auto"/>
        <w:ind w:left="814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color w:val="1D8CCD"/>
          <w:spacing w:val="-29"/>
          <w:sz w:val="33"/>
          <w:szCs w:val="33"/>
        </w:rPr>
        <w:t>中科海钠</w:t>
      </w:r>
    </w:p>
    <w:p>
      <w:pPr>
        <w:spacing w:before="1" w:line="188" w:lineRule="auto"/>
        <w:ind w:left="829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b/>
          <w:bCs/>
          <w:color w:val="1D8CCD"/>
          <w:spacing w:val="-1"/>
          <w:sz w:val="12"/>
          <w:szCs w:val="12"/>
        </w:rPr>
        <w:t>HiNa</w:t>
      </w:r>
      <w:r>
        <w:rPr>
          <w:rFonts w:ascii="Times New Roman" w:eastAsia="Times New Roman" w:hAnsi="Times New Roman" w:cs="Times New Roman"/>
          <w:color w:val="1D8CCD"/>
          <w:spacing w:val="4"/>
          <w:sz w:val="12"/>
          <w:szCs w:val="12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color w:val="1D8CCD"/>
          <w:spacing w:val="-1"/>
          <w:sz w:val="12"/>
          <w:szCs w:val="12"/>
        </w:rPr>
        <w:t>EMTTURY</w:t>
      </w:r>
    </w:p>
    <w:p>
      <w:pPr>
        <w:spacing w:line="366" w:lineRule="auto"/>
        <w:rPr>
          <w:rFonts w:ascii="Arial"/>
          <w:sz w:val="21"/>
        </w:rPr>
      </w:pPr>
    </w:p>
    <w:p>
      <w:pPr>
        <w:spacing w:before="78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首轮融资：2018</w:t>
      </w:r>
    </w:p>
    <w:p>
      <w:pPr>
        <w:spacing w:before="14" w:line="184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3"/>
          <w:sz w:val="24"/>
          <w:szCs w:val="24"/>
        </w:rPr>
        <w:t>公开发行：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3"/>
          <w:sz w:val="24"/>
          <w:szCs w:val="24"/>
        </w:rPr>
        <w:t>NA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0" w:line="197" w:lineRule="auto"/>
        <w:ind w:left="62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color w:val="0762A0"/>
          <w:spacing w:val="28"/>
          <w:sz w:val="34"/>
          <w:szCs w:val="34"/>
        </w:rPr>
        <w:t>融科储能</w:t>
      </w:r>
    </w:p>
    <w:p>
      <w:pPr>
        <w:spacing w:line="195" w:lineRule="auto"/>
        <w:ind w:left="649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b/>
          <w:bCs/>
          <w:color w:val="0762A0"/>
          <w:spacing w:val="-2"/>
          <w:sz w:val="12"/>
          <w:szCs w:val="12"/>
        </w:rPr>
        <w:t>annaks</w:t>
      </w:r>
      <w:r>
        <w:rPr>
          <w:rFonts w:ascii="Arial" w:eastAsia="Arial" w:hAnsi="Arial" w:cs="Arial"/>
          <w:color w:val="0762A0"/>
          <w:sz w:val="12"/>
          <w:szCs w:val="12"/>
        </w:rPr>
        <w:t xml:space="preserve">                   </w:t>
      </w:r>
      <w:r>
        <w:rPr>
          <w:rFonts w:ascii="Arial" w:eastAsia="Arial" w:hAnsi="Arial" w:cs="Arial"/>
          <w:b/>
          <w:bCs/>
          <w:color w:val="0762A0"/>
          <w:spacing w:val="-2"/>
          <w:sz w:val="12"/>
          <w:szCs w:val="12"/>
        </w:rPr>
        <w:t>Pnw</w:t>
      </w:r>
    </w:p>
    <w:p>
      <w:pPr>
        <w:spacing w:before="24" w:line="213" w:lineRule="auto"/>
        <w:ind w:left="472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color w:val="225FBA"/>
          <w:spacing w:val="17"/>
          <w:sz w:val="34"/>
          <w:szCs w:val="34"/>
        </w:rPr>
        <w:t>材料逻辑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首轮融资：2022</w:t>
      </w:r>
    </w:p>
    <w:p>
      <w:pPr>
        <w:spacing w:before="5" w:line="184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公开发行：</w:t>
      </w:r>
      <w:r>
        <w:rPr>
          <w:rFonts w:ascii="SimSun" w:eastAsia="SimSun" w:hAnsi="SimSun" w:cs="SimSun"/>
          <w:spacing w:val="2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8"/>
          <w:sz w:val="24"/>
          <w:szCs w:val="24"/>
        </w:rPr>
        <w:t>N.A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9" w:line="206" w:lineRule="auto"/>
        <w:ind w:left="130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color w:val="126BE0"/>
          <w:spacing w:val="-16"/>
          <w:sz w:val="34"/>
          <w:szCs w:val="34"/>
        </w:rPr>
        <w:t>材料技术突破</w:t>
      </w:r>
    </w:p>
    <w:p>
      <w:pPr>
        <w:spacing w:before="1" w:line="221" w:lineRule="auto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color w:val="126BE0"/>
          <w:spacing w:val="-17"/>
          <w:sz w:val="34"/>
          <w:szCs w:val="34"/>
        </w:rPr>
        <w:t>提高下游渗透率</w:t>
      </w:r>
    </w:p>
    <w:p>
      <w:pPr>
        <w:sectPr>
          <w:headerReference w:type="default" r:id="rId28"/>
          <w:type w:val="continuous"/>
          <w:pgSz w:w="25870" w:h="14560"/>
          <w:pgMar w:top="1" w:right="489" w:bottom="0" w:left="719" w:header="0" w:footer="0" w:gutter="0"/>
          <w:pgNumType w:start="18"/>
          <w:cols w:num="7" w:space="708" w:equalWidth="0">
            <w:col w:w="1561" w:space="100"/>
            <w:col w:w="2511" w:space="100"/>
            <w:col w:w="2345" w:space="100"/>
            <w:col w:w="1966" w:space="100"/>
            <w:col w:w="2631" w:space="100"/>
            <w:col w:w="8385" w:space="100"/>
            <w:col w:w="4666" w:space="0"/>
          </w:cols>
        </w:sectPr>
      </w:pPr>
    </w:p>
    <w:p/>
    <w:p/>
    <w:p/>
    <w:p>
      <w:pPr>
        <w:spacing w:line="165" w:lineRule="exact"/>
      </w:pPr>
    </w:p>
    <w:p>
      <w:pPr>
        <w:sectPr>
          <w:headerReference w:type="default" r:id="rId29"/>
          <w:type w:val="continuous"/>
          <w:pgSz w:w="25870" w:h="14560"/>
          <w:pgMar w:top="1" w:right="489" w:bottom="0" w:left="719" w:header="0" w:footer="0" w:gutter="0"/>
          <w:pgNumType w:start="19"/>
          <w:cols w:num="1" w:space="708" w:equalWidth="0">
            <w:col w:w="24661" w:space="0"/>
          </w:cols>
        </w:sectPr>
      </w:pPr>
    </w:p>
    <w:p/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111" w:line="222" w:lineRule="auto"/>
        <w:ind w:left="139"/>
        <w:rPr>
          <w:rFonts w:ascii="SimHei" w:eastAsia="SimHei" w:hAnsi="SimHei" w:cs="SimHei"/>
          <w:sz w:val="34"/>
          <w:szCs w:val="34"/>
        </w:rPr>
      </w:pPr>
      <w:r>
        <w:rPr>
          <w:rFonts w:ascii="Arial" w:eastAsia="Arial" w:hAnsi="Arial" w:cs="Arial"/>
          <w:spacing w:val="-22"/>
          <w:sz w:val="34"/>
          <w:szCs w:val="34"/>
        </w:rPr>
        <w:t>LE/A</w:t>
      </w:r>
      <w:r>
        <w:rPr>
          <w:rFonts w:ascii="Arial" w:eastAsia="Arial" w:hAnsi="Arial" w:cs="Arial"/>
          <w:spacing w:val="-70"/>
          <w:sz w:val="34"/>
          <w:szCs w:val="34"/>
        </w:rPr>
        <w:t xml:space="preserve"> </w:t>
      </w:r>
      <w:r>
        <w:rPr>
          <w:rFonts w:ascii="Arial" w:eastAsia="Arial" w:hAnsi="Arial" w:cs="Arial"/>
          <w:b/>
          <w:bCs/>
          <w:color w:val="203872"/>
          <w:spacing w:val="-22"/>
          <w:sz w:val="34"/>
          <w:szCs w:val="34"/>
        </w:rPr>
        <w:t>D</w:t>
      </w:r>
      <w:r>
        <w:rPr>
          <w:rFonts w:ascii="Arial" w:eastAsia="Arial" w:hAnsi="Arial" w:cs="Arial"/>
          <w:color w:val="203872"/>
          <w:spacing w:val="9"/>
          <w:sz w:val="34"/>
          <w:szCs w:val="34"/>
        </w:rPr>
        <w:t xml:space="preserve"> </w:t>
      </w:r>
      <w:r>
        <w:rPr>
          <w:rFonts w:ascii="SimHei" w:eastAsia="SimHei" w:hAnsi="SimHei" w:cs="SimHei"/>
          <w:b/>
          <w:bCs/>
          <w:color w:val="203872"/>
          <w:spacing w:val="-22"/>
          <w:sz w:val="34"/>
          <w:szCs w:val="34"/>
        </w:rPr>
        <w:t>先导</w:t>
      </w:r>
    </w:p>
    <w:p>
      <w:pPr>
        <w:spacing w:before="223" w:line="231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首轮融资；2002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公开发行：2015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2" w:line="187" w:lineRule="auto"/>
        <w:ind w:left="99"/>
        <w:rPr>
          <w:rFonts w:ascii="Arial" w:eastAsia="Arial" w:hAnsi="Arial" w:cs="Arial"/>
          <w:sz w:val="53"/>
          <w:szCs w:val="53"/>
        </w:rPr>
      </w:pPr>
      <w:r>
        <w:rPr>
          <w:rFonts w:ascii="Arial" w:eastAsia="Arial" w:hAnsi="Arial" w:cs="Arial"/>
          <w:color w:val="1D55C7"/>
          <w:spacing w:val="-6"/>
          <w:sz w:val="53"/>
          <w:szCs w:val="53"/>
        </w:rPr>
        <w:t>CATL</w:t>
      </w:r>
    </w:p>
    <w:p>
      <w:pPr>
        <w:spacing w:before="1" w:line="222" w:lineRule="auto"/>
        <w:ind w:left="27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1D4FC3"/>
          <w:spacing w:val="-7"/>
          <w:sz w:val="24"/>
          <w:szCs w:val="24"/>
        </w:rPr>
        <w:t>宁德时代</w:t>
      </w:r>
    </w:p>
    <w:p>
      <w:pPr>
        <w:spacing w:before="255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首轮融资：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8"/>
          <w:sz w:val="24"/>
          <w:szCs w:val="24"/>
        </w:rPr>
        <w:t>2012</w:t>
      </w:r>
    </w:p>
    <w:p>
      <w:pPr>
        <w:spacing w:before="15" w:line="184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20"/>
          <w:sz w:val="24"/>
          <w:szCs w:val="24"/>
        </w:rPr>
        <w:t>公开发行：</w:t>
      </w:r>
      <w:r>
        <w:rPr>
          <w:rFonts w:ascii="SimSun" w:eastAsia="SimSun" w:hAnsi="SimSun" w:cs="SimSun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0"/>
          <w:sz w:val="24"/>
          <w:szCs w:val="24"/>
        </w:rPr>
        <w:t>2018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07" w:lineRule="auto"/>
        <w:ind w:left="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color w:val="3986EB"/>
          <w:spacing w:val="-13"/>
          <w:sz w:val="33"/>
          <w:szCs w:val="33"/>
        </w:rPr>
        <w:t>制造流程</w:t>
      </w:r>
    </w:p>
    <w:p>
      <w:pPr>
        <w:spacing w:before="2" w:line="220" w:lineRule="auto"/>
        <w:ind w:left="17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color w:val="3986EB"/>
          <w:spacing w:val="-21"/>
          <w:sz w:val="34"/>
          <w:szCs w:val="34"/>
        </w:rPr>
        <w:t>智能化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11" w:line="213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color w:val="3583EA"/>
          <w:spacing w:val="-14"/>
          <w:sz w:val="34"/>
          <w:szCs w:val="34"/>
        </w:rPr>
        <w:t>生产分工</w:t>
      </w:r>
    </w:p>
    <w:p>
      <w:pPr>
        <w:spacing w:line="220" w:lineRule="auto"/>
        <w:ind w:left="169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color w:val="3583EA"/>
          <w:spacing w:val="-11"/>
          <w:sz w:val="34"/>
          <w:szCs w:val="34"/>
        </w:rPr>
        <w:t>专业化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" w:line="188" w:lineRule="auto"/>
        <w:ind w:left="249"/>
        <w:rPr>
          <w:rFonts w:ascii="Times New Roman" w:eastAsia="Times New Roman" w:hAnsi="Times New Roman" w:cs="Times New Roman"/>
          <w:sz w:val="52"/>
          <w:szCs w:val="52"/>
        </w:rPr>
      </w:pPr>
      <w:r>
        <w:rPr>
          <w:rFonts w:ascii="Times New Roman" w:eastAsia="Times New Roman" w:hAnsi="Times New Roman" w:cs="Times New Roman"/>
          <w:b/>
          <w:bCs/>
          <w:color w:val="61C200"/>
          <w:spacing w:val="-11"/>
          <w:sz w:val="52"/>
          <w:szCs w:val="52"/>
        </w:rPr>
        <w:t>EHally</w:t>
      </w:r>
    </w:p>
    <w:p>
      <w:pPr>
        <w:spacing w:before="29" w:line="222" w:lineRule="auto"/>
        <w:ind w:left="26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color w:val="2138A9"/>
          <w:spacing w:val="16"/>
          <w:sz w:val="34"/>
          <w:szCs w:val="34"/>
        </w:rPr>
        <w:t>易鸿智能</w:t>
      </w:r>
    </w:p>
    <w:p>
      <w:pPr>
        <w:spacing w:before="242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首轮融资：2018</w:t>
      </w:r>
    </w:p>
    <w:p>
      <w:pPr>
        <w:spacing w:before="14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1"/>
          <w:sz w:val="24"/>
          <w:szCs w:val="24"/>
        </w:rPr>
        <w:t>公开发行：</w:t>
      </w:r>
      <w:r>
        <w:rPr>
          <w:rFonts w:ascii="SimSun" w:eastAsia="SimSun" w:hAnsi="SimSun" w:cs="SimSun"/>
          <w:spacing w:val="3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1"/>
          <w:sz w:val="24"/>
          <w:szCs w:val="24"/>
        </w:rPr>
        <w:t>N.A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78" w:line="163" w:lineRule="auto"/>
        <w:ind w:left="39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7"/>
          <w:szCs w:val="27"/>
        </w:rPr>
        <w:t>HTHIUM</w:t>
      </w:r>
    </w:p>
    <w:p>
      <w:pPr>
        <w:spacing w:before="1" w:line="220" w:lineRule="auto"/>
        <w:ind w:left="40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11"/>
          <w:sz w:val="27"/>
          <w:szCs w:val="27"/>
        </w:rPr>
        <w:t>票</w:t>
      </w:r>
      <w:r>
        <w:rPr>
          <w:rFonts w:ascii="SimHei" w:eastAsia="SimHei" w:hAnsi="SimHei" w:cs="SimHei"/>
          <w:spacing w:val="38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-11"/>
          <w:sz w:val="27"/>
          <w:szCs w:val="27"/>
        </w:rPr>
        <w:t>新</w:t>
      </w:r>
      <w:r>
        <w:rPr>
          <w:rFonts w:ascii="SimHei" w:eastAsia="SimHei" w:hAnsi="SimHei" w:cs="SimHei"/>
          <w:spacing w:val="13"/>
          <w:sz w:val="27"/>
          <w:szCs w:val="27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27"/>
          <w:szCs w:val="27"/>
        </w:rPr>
        <w:t>通</w:t>
      </w:r>
    </w:p>
    <w:p>
      <w:pPr>
        <w:spacing w:before="313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首轮融资：2019</w:t>
      </w:r>
    </w:p>
    <w:p>
      <w:pPr>
        <w:spacing w:before="24" w:line="192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9"/>
          <w:sz w:val="24"/>
          <w:szCs w:val="24"/>
        </w:rPr>
        <w:t>公开发行：</w:t>
      </w:r>
      <w:r>
        <w:rPr>
          <w:rFonts w:ascii="SimSun" w:eastAsia="SimSun" w:hAnsi="SimSun" w:cs="SimSun"/>
          <w:spacing w:val="2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NA</w:t>
      </w:r>
    </w:p>
    <w:p>
      <w:pPr>
        <w:spacing w:line="14" w:lineRule="auto"/>
        <w:rPr>
          <w:rFonts w:ascii="Arial"/>
          <w:sz w:val="2"/>
        </w:rPr>
        <w:sectPr>
          <w:headerReference w:type="default" r:id="rId30"/>
          <w:type w:val="continuous"/>
          <w:pgSz w:w="25870" w:h="14560"/>
          <w:pgMar w:top="1" w:right="489" w:bottom="0" w:left="719" w:header="0" w:footer="0" w:gutter="0"/>
          <w:pgNumType w:start="20"/>
          <w:cols w:num="5" w:space="708" w:equalWidth="0">
            <w:col w:w="2871" w:space="100"/>
            <w:col w:w="3641" w:space="100"/>
            <w:col w:w="1970" w:space="100"/>
            <w:col w:w="2631" w:space="100"/>
            <w:col w:w="1315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9" w:line="222" w:lineRule="auto"/>
        <w:ind w:left="75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color w:val="008DD5"/>
          <w:spacing w:val="-9"/>
          <w:sz w:val="39"/>
          <w:szCs w:val="39"/>
        </w:rPr>
        <w:t>恒翼能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79" w:line="232" w:lineRule="auto"/>
        <w:rPr>
          <w:rFonts w:ascii="FangSong" w:eastAsia="FangSong" w:hAnsi="FangSong" w:cs="FangSong"/>
          <w:sz w:val="24"/>
          <w:szCs w:val="24"/>
        </w:rPr>
      </w:pPr>
      <w:r>
        <w:pict>
          <v:shape id="_x0000_s1049" type="#_x0000_t202" style="width:67.25pt;height:43.35pt;margin-top:26.3pt;margin-left:542.99pt;position:absolute;z-index:251668480" filled="f" stroked="f">
            <o:lock v:ext="edit" aspectratio="f"/>
            <v:textbox inset="0,0,0,0">
              <w:txbxContent>
                <w:p>
                  <w:pPr>
                    <w:spacing w:before="21" w:line="224" w:lineRule="auto"/>
                    <w:ind w:left="20" w:right="20"/>
                    <w:rPr>
                      <w:rFonts w:ascii="SimHei" w:eastAsia="SimHei" w:hAnsi="SimHei" w:cs="SimHei"/>
                      <w:sz w:val="34"/>
                      <w:szCs w:val="34"/>
                    </w:rPr>
                  </w:pPr>
                  <w:r>
                    <w:rPr>
                      <w:rFonts w:ascii="SimHei" w:eastAsia="SimHei" w:hAnsi="SimHei" w:cs="SimHei"/>
                      <w:color w:val="116ADF"/>
                      <w:spacing w:val="-14"/>
                      <w:sz w:val="34"/>
                      <w:szCs w:val="34"/>
                    </w:rPr>
                    <w:t>材料科学</w:t>
                  </w:r>
                  <w:r>
                    <w:rPr>
                      <w:rFonts w:ascii="SimHei" w:eastAsia="SimHei" w:hAnsi="SimHei" w:cs="SimHei"/>
                      <w:color w:val="116ADF"/>
                      <w:sz w:val="34"/>
                      <w:szCs w:val="3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color w:val="116ADF"/>
                      <w:spacing w:val="-15"/>
                      <w:sz w:val="34"/>
                      <w:szCs w:val="34"/>
                    </w:rPr>
                    <w:t>演进胸期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spacing w:val="3"/>
          <w:sz w:val="24"/>
          <w:szCs w:val="24"/>
        </w:rPr>
        <w:t>首轮融资；2020</w:t>
      </w:r>
    </w:p>
    <w:p>
      <w:pPr>
        <w:spacing w:before="1" w:line="220" w:lineRule="auto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6"/>
          <w:sz w:val="24"/>
          <w:szCs w:val="24"/>
        </w:rPr>
        <w:t>公开发行；</w:t>
      </w:r>
      <w:r>
        <w:rPr>
          <w:rFonts w:ascii="FangSong" w:eastAsia="FangSong" w:hAnsi="FangSong" w:cs="FangSong"/>
          <w:spacing w:val="5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16"/>
          <w:sz w:val="24"/>
          <w:szCs w:val="24"/>
        </w:rPr>
        <w:t>N.A</w:t>
      </w:r>
    </w:p>
    <w:p>
      <w:pPr>
        <w:spacing w:before="337" w:line="220" w:lineRule="auto"/>
        <w:ind w:left="4724"/>
        <w:rPr>
          <w:rFonts w:ascii="SimSun" w:eastAsia="SimSun" w:hAnsi="SimSun" w:cs="SimSun"/>
          <w:sz w:val="34"/>
          <w:szCs w:val="34"/>
        </w:rPr>
      </w:pPr>
      <w:r>
        <w:pict>
          <v:shape id="_x0000_s1050" type="#_x0000_t202" style="width:67.2pt;height:41.95pt;margin-top:-6.65pt;margin-left:351.23pt;position:absolute;z-index:251669504" filled="f" stroked="f">
            <o:lock v:ext="edit" aspectratio="f"/>
            <v:textbox inset="0,0,0,0">
              <w:txbxContent>
                <w:p>
                  <w:pPr>
                    <w:spacing w:before="18" w:line="217" w:lineRule="auto"/>
                    <w:ind w:left="20" w:right="20"/>
                    <w:rPr>
                      <w:rFonts w:ascii="SimHei" w:eastAsia="SimHei" w:hAnsi="SimHei" w:cs="SimHei"/>
                      <w:sz w:val="34"/>
                      <w:szCs w:val="34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color w:val="196FE1"/>
                      <w:spacing w:val="-21"/>
                      <w:sz w:val="34"/>
                      <w:szCs w:val="34"/>
                    </w:rPr>
                    <w:t>生产制造</w:t>
                  </w:r>
                  <w:r>
                    <w:rPr>
                      <w:rFonts w:ascii="SimHei" w:eastAsia="SimHei" w:hAnsi="SimHei" w:cs="SimHei"/>
                      <w:color w:val="196FE1"/>
                      <w:sz w:val="34"/>
                      <w:szCs w:val="3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color w:val="196FE1"/>
                      <w:spacing w:val="-18"/>
                      <w:sz w:val="34"/>
                      <w:szCs w:val="34"/>
                    </w:rPr>
                    <w:t>扩产周期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color w:val="3885EB"/>
          <w:spacing w:val="24"/>
          <w:sz w:val="34"/>
          <w:szCs w:val="34"/>
        </w:rPr>
        <w:t>制造逻辑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79" w:line="227" w:lineRule="auto"/>
        <w:ind w:left="43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284785"/>
          <w:spacing w:val="-15"/>
          <w:sz w:val="24"/>
          <w:szCs w:val="24"/>
        </w:rPr>
        <w:t>星</w:t>
      </w:r>
      <w:r>
        <w:rPr>
          <w:rFonts w:ascii="SimHei" w:eastAsia="SimHei" w:hAnsi="SimHei" w:cs="SimHei"/>
          <w:color w:val="284785"/>
          <w:spacing w:val="79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color w:val="284785"/>
          <w:spacing w:val="-15"/>
          <w:sz w:val="24"/>
          <w:szCs w:val="24"/>
        </w:rPr>
        <w:t>宇</w:t>
      </w:r>
      <w:r>
        <w:rPr>
          <w:rFonts w:ascii="SimHei" w:eastAsia="SimHei" w:hAnsi="SimHei" w:cs="SimHei"/>
          <w:color w:val="284785"/>
          <w:spacing w:val="88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color w:val="284785"/>
          <w:spacing w:val="-15"/>
          <w:sz w:val="24"/>
          <w:szCs w:val="24"/>
        </w:rPr>
        <w:t>电</w:t>
      </w:r>
      <w:r>
        <w:rPr>
          <w:rFonts w:ascii="SimHei" w:eastAsia="SimHei" w:hAnsi="SimHei" w:cs="SimHei"/>
          <w:color w:val="284785"/>
          <w:spacing w:val="72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color w:val="284785"/>
          <w:spacing w:val="-15"/>
          <w:sz w:val="24"/>
          <w:szCs w:val="24"/>
        </w:rPr>
        <w:t>源</w:t>
      </w:r>
    </w:p>
    <w:p>
      <w:pPr>
        <w:spacing w:before="1" w:line="198" w:lineRule="auto"/>
        <w:ind w:left="47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color w:val="284785"/>
          <w:spacing w:val="-14"/>
          <w:sz w:val="24"/>
          <w:szCs w:val="24"/>
        </w:rPr>
        <w:t>COSPOWERS'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78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首轮融资：2020</w:t>
      </w:r>
    </w:p>
    <w:p>
      <w:pPr>
        <w:spacing w:before="25" w:line="192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1"/>
          <w:sz w:val="24"/>
          <w:szCs w:val="24"/>
        </w:rPr>
        <w:t>公开发行：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1"/>
          <w:sz w:val="24"/>
          <w:szCs w:val="24"/>
        </w:rPr>
        <w:t>NA</w:t>
      </w:r>
    </w:p>
    <w:p>
      <w:pPr>
        <w:sectPr>
          <w:headerReference w:type="default" r:id="rId31"/>
          <w:type w:val="nextPage"/>
          <w:pgSz w:w="25870" w:h="14560"/>
          <w:pgMar w:top="1" w:right="489" w:bottom="0" w:left="719" w:header="0" w:footer="0" w:gutter="0"/>
          <w:pgNumType w:start="21"/>
          <w:cols w:num="5" w:space="708" w:equalWidth="0">
            <w:col w:w="2871" w:space="100"/>
            <w:col w:w="3641" w:space="100"/>
            <w:col w:w="1970" w:space="100"/>
            <w:col w:w="2631" w:space="100"/>
            <w:col w:w="13150" w:space="0"/>
          </w:cols>
          <w:titlePg w:val="0"/>
        </w:sectPr>
      </w:pPr>
    </w:p>
    <w:p/>
    <w:p/>
    <w:p/>
    <w:p>
      <w:pPr>
        <w:spacing w:line="95" w:lineRule="exact"/>
      </w:pPr>
    </w:p>
    <w:p>
      <w:pPr>
        <w:sectPr>
          <w:headerReference w:type="default" r:id="rId32"/>
          <w:type w:val="continuous"/>
          <w:pgSz w:w="25870" w:h="14560"/>
          <w:pgMar w:top="1" w:right="489" w:bottom="0" w:left="719" w:header="0" w:footer="0" w:gutter="0"/>
          <w:pgNumType w:start="22"/>
          <w:cols w:num="1" w:space="708" w:equalWidth="0">
            <w:col w:w="24661" w:space="0"/>
          </w:cols>
        </w:sectPr>
      </w:pPr>
    </w:p>
    <w:p/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25" w:line="222" w:lineRule="auto"/>
        <w:ind w:left="44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color w:val="112E9F"/>
          <w:spacing w:val="-22"/>
          <w:sz w:val="34"/>
          <w:szCs w:val="34"/>
        </w:rPr>
        <w:t>海博思创</w:t>
      </w:r>
    </w:p>
    <w:p>
      <w:pPr>
        <w:spacing w:before="25" w:line="198" w:lineRule="auto"/>
        <w:ind w:left="499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b/>
          <w:bCs/>
          <w:color w:val="2D49B9"/>
          <w:spacing w:val="-1"/>
          <w:sz w:val="12"/>
          <w:szCs w:val="12"/>
        </w:rPr>
        <w:t>STan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78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首轮融资：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8"/>
          <w:sz w:val="24"/>
          <w:szCs w:val="24"/>
        </w:rPr>
        <w:t>2012</w:t>
      </w:r>
    </w:p>
    <w:p>
      <w:pPr>
        <w:spacing w:before="4" w:line="184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22"/>
          <w:sz w:val="24"/>
          <w:szCs w:val="24"/>
        </w:rPr>
        <w:t>公开发行：</w:t>
      </w:r>
      <w:r>
        <w:rPr>
          <w:rFonts w:ascii="SimSun" w:eastAsia="SimSun" w:hAnsi="SimSun" w:cs="SimSun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2"/>
          <w:sz w:val="24"/>
          <w:szCs w:val="24"/>
        </w:rPr>
        <w:t>N.A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06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color w:val="3B86EA"/>
          <w:spacing w:val="-20"/>
          <w:sz w:val="34"/>
          <w:szCs w:val="34"/>
        </w:rPr>
        <w:t>产品系统</w:t>
      </w:r>
    </w:p>
    <w:p>
      <w:pPr>
        <w:spacing w:line="219" w:lineRule="auto"/>
        <w:ind w:left="17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color w:val="3B86EA"/>
          <w:spacing w:val="-16"/>
          <w:sz w:val="34"/>
          <w:szCs w:val="34"/>
        </w:rPr>
        <w:t>数字化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7" w:line="185" w:lineRule="auto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bCs/>
          <w:color w:val="7AC40B"/>
          <w:spacing w:val="-1"/>
          <w:sz w:val="34"/>
          <w:szCs w:val="34"/>
        </w:rPr>
        <w:t>Batteryclcud</w:t>
      </w:r>
    </w:p>
    <w:p>
      <w:pPr>
        <w:spacing w:before="46" w:line="221" w:lineRule="auto"/>
        <w:ind w:left="23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color w:val="1071B3"/>
          <w:spacing w:val="-29"/>
          <w:sz w:val="34"/>
          <w:szCs w:val="34"/>
        </w:rPr>
        <w:t>云储新能源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78" w:line="215" w:lineRule="auto"/>
        <w:ind w:left="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首轮融资：2021</w:t>
      </w:r>
    </w:p>
    <w:p>
      <w:pPr>
        <w:spacing w:before="1" w:line="192" w:lineRule="auto"/>
        <w:ind w:left="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3"/>
          <w:sz w:val="24"/>
          <w:szCs w:val="24"/>
        </w:rPr>
        <w:t>公开发行：</w:t>
      </w:r>
      <w:r>
        <w:rPr>
          <w:rFonts w:ascii="SimSun" w:eastAsia="SimSun" w:hAnsi="SimSun" w:cs="SimSun"/>
          <w:spacing w:val="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3"/>
          <w:sz w:val="24"/>
          <w:szCs w:val="24"/>
        </w:rPr>
        <w:t>NA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80" w:line="196" w:lineRule="auto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b/>
          <w:bCs/>
          <w:color w:val="2459A9"/>
          <w:spacing w:val="6"/>
          <w:sz w:val="33"/>
          <w:szCs w:val="33"/>
        </w:rPr>
        <w:t>MSENERGY</w:t>
      </w:r>
    </w:p>
    <w:p>
      <w:pPr>
        <w:spacing w:before="1" w:line="195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color w:val="2459A9"/>
          <w:sz w:val="19"/>
          <w:szCs w:val="19"/>
        </w:rPr>
        <w:t>美克生莞源</w:t>
      </w:r>
    </w:p>
    <w:p>
      <w:pPr>
        <w:spacing w:before="1" w:line="222" w:lineRule="auto"/>
        <w:ind w:left="484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color w:val="3681D7"/>
          <w:spacing w:val="27"/>
          <w:sz w:val="33"/>
          <w:szCs w:val="33"/>
        </w:rPr>
        <w:t>产品逻辑</w:t>
      </w:r>
    </w:p>
    <w:p>
      <w:pPr>
        <w:spacing w:before="20" w:line="220" w:lineRule="auto"/>
        <w:ind w:left="1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首轮融资：2021</w:t>
      </w:r>
    </w:p>
    <w:p>
      <w:pPr>
        <w:spacing w:before="4" w:line="184" w:lineRule="auto"/>
        <w:ind w:left="1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1"/>
          <w:sz w:val="24"/>
          <w:szCs w:val="24"/>
        </w:rPr>
        <w:t>公开发行：</w:t>
      </w:r>
      <w:r>
        <w:rPr>
          <w:rFonts w:ascii="SimSun" w:eastAsia="SimSun" w:hAnsi="SimSun" w:cs="SimSun"/>
          <w:spacing w:val="2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1"/>
          <w:sz w:val="24"/>
          <w:szCs w:val="24"/>
        </w:rPr>
        <w:t>NA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108" w:lineRule="exact"/>
        <w:ind w:firstLine="20"/>
        <w:textAlignment w:val="center"/>
      </w:pPr>
      <w:r>
        <w:drawing>
          <wp:inline distT="0" distB="0" distL="0" distR="0">
            <wp:extent cx="108092" cy="704008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8092" cy="70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11" w:line="198" w:lineRule="auto"/>
        <w:ind w:left="295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color w:val="2377E5"/>
          <w:spacing w:val="-14"/>
          <w:sz w:val="34"/>
          <w:szCs w:val="34"/>
        </w:rPr>
        <w:t>下游出货放量</w:t>
      </w:r>
    </w:p>
    <w:p>
      <w:pPr>
        <w:spacing w:before="1" w:line="221" w:lineRule="auto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color w:val="2377E5"/>
          <w:spacing w:val="-20"/>
          <w:sz w:val="34"/>
          <w:szCs w:val="34"/>
        </w:rPr>
        <w:t>传导上游扩产周期</w:t>
      </w:r>
    </w:p>
    <w:p>
      <w:pPr>
        <w:sectPr>
          <w:headerReference w:type="default" r:id="rId34"/>
          <w:type w:val="continuous"/>
          <w:pgSz w:w="25870" w:h="14560"/>
          <w:pgMar w:top="1" w:right="489" w:bottom="0" w:left="719" w:header="0" w:footer="0" w:gutter="0"/>
          <w:pgNumType w:start="23"/>
          <w:cols w:num="7" w:space="708" w:equalWidth="0">
            <w:col w:w="2871" w:space="100"/>
            <w:col w:w="3645" w:space="100"/>
            <w:col w:w="1866" w:space="100"/>
            <w:col w:w="2610" w:space="100"/>
            <w:col w:w="7645" w:space="100"/>
            <w:col w:w="720" w:space="0"/>
            <w:col w:w="4806" w:space="0"/>
          </w:cols>
        </w:sectPr>
      </w:pPr>
    </w:p>
    <w:p>
      <w:pPr>
        <w:spacing w:before="2" w:line="212" w:lineRule="auto"/>
        <w:ind w:left="298"/>
        <w:rPr>
          <w:rFonts w:ascii="SimHei" w:eastAsia="SimHei" w:hAnsi="SimHei" w:cs="SimHei"/>
          <w:sz w:val="62"/>
          <w:szCs w:val="62"/>
        </w:rPr>
      </w:pPr>
      <w:r>
        <w:pict>
          <v:rect id="_x0000_s1051" style="width:221pt;height:0.55pt;margin-top:403pt;margin-left:339pt;mso-position-horizontal-relative:page;mso-position-vertical-relative:page;position:absolute;z-index:251680768" o:allowincell="f" filled="t" fillcolor="blue" stroked="f"/>
        </w:pict>
      </w:r>
      <w:r>
        <w:pict>
          <v:rect id="_x0000_s1052" style="width:0.5pt;height:211.5pt;margin-top:193pt;margin-left:1259pt;mso-position-horizontal-relative:page;mso-position-vertical-relative:page;position:absolute;z-index:251679744" o:allowincell="f" filled="t" fillcolor="blue" stroked="f"/>
        </w:pict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463582</wp:posOffset>
            </wp:positionH>
            <wp:positionV relativeFrom="page">
              <wp:posOffset>1066756</wp:posOffset>
            </wp:positionV>
            <wp:extent cx="15322539" cy="6379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5322539" cy="6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4286250</wp:posOffset>
            </wp:positionH>
            <wp:positionV relativeFrom="page">
              <wp:posOffset>2470147</wp:posOffset>
            </wp:positionV>
            <wp:extent cx="2584529" cy="6379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84529" cy="6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3" type="#_x0000_t202" style="width:225pt;height:47.5pt;margin-top:124pt;margin-left:336.5pt;mso-position-horizontal-relative:page;mso-position-vertical-relative:page;position:absolute;z-index:25167360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4452" w:type="dxa"/>
                    <w:tblInd w:w="22" w:type="dxa"/>
                    <w:tblBorders>
                      <w:top w:val="single" w:sz="2" w:space="0" w:color="0000FF"/>
                      <w:bottom w:val="single" w:sz="2" w:space="0" w:color="0000FF"/>
                      <w:right w:val="single" w:sz="4" w:space="0" w:color="0000FF"/>
                    </w:tblBorders>
                    <w:tblLayout w:type="fixed"/>
                  </w:tblPr>
                  <w:tblGrid>
                    <w:gridCol w:w="4452"/>
                  </w:tblGrid>
                  <w:tr>
                    <w:tblPrEx>
                      <w:tblW w:w="4452" w:type="dxa"/>
                      <w:tblInd w:w="22" w:type="dxa"/>
                      <w:tblBorders>
                        <w:top w:val="single" w:sz="2" w:space="0" w:color="0000FF"/>
                        <w:bottom w:val="single" w:sz="2" w:space="0" w:color="0000FF"/>
                        <w:right w:val="single" w:sz="4" w:space="0" w:color="0000FF"/>
                      </w:tblBorders>
                      <w:tblLayout w:type="fixed"/>
                    </w:tblPrEx>
                    <w:trPr>
                      <w:trHeight w:val="900"/>
                    </w:trPr>
                    <w:tc>
                      <w:tcPr>
                        <w:tcW w:w="4452" w:type="dxa"/>
                        <w:vAlign w:val="top"/>
                      </w:tcPr>
                      <w:p>
                        <w:pPr>
                          <w:spacing w:before="251" w:line="222" w:lineRule="auto"/>
                          <w:ind w:left="1119"/>
                          <w:rPr>
                            <w:rFonts w:ascii="SimHei" w:eastAsia="SimHei" w:hAnsi="SimHei" w:cs="SimHe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Hei" w:eastAsia="SimHei" w:hAnsi="SimHei" w:cs="SimHei"/>
                            <w:b/>
                            <w:bCs/>
                            <w:spacing w:val="-6"/>
                            <w:sz w:val="32"/>
                            <w:szCs w:val="32"/>
                          </w:rPr>
                          <w:t>工商业储能市场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54" type="#_x0000_t202" style="width:224.05pt;height:48.05pt;margin-top:124pt;margin-left:804.5pt;mso-position-horizontal-relative:page;mso-position-vertical-relative:page;position:absolute;z-index:25167257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4430" w:type="dxa"/>
                    <w:tblInd w:w="25" w:type="dxa"/>
                    <w:tblBorders>
                      <w:top w:val="single" w:sz="2" w:space="0" w:color="0000FF"/>
                      <w:left w:val="single" w:sz="4" w:space="0" w:color="0000FF"/>
                      <w:bottom w:val="single" w:sz="4" w:space="0" w:color="0000FF"/>
                      <w:right w:val="single" w:sz="4" w:space="0" w:color="0000FF"/>
                    </w:tblBorders>
                    <w:tblLayout w:type="fixed"/>
                  </w:tblPr>
                  <w:tblGrid>
                    <w:gridCol w:w="4430"/>
                  </w:tblGrid>
                  <w:tr>
                    <w:tblPrEx>
                      <w:tblW w:w="4430" w:type="dxa"/>
                      <w:tblInd w:w="25" w:type="dxa"/>
                      <w:tblBorders>
                        <w:top w:val="single" w:sz="2" w:space="0" w:color="0000FF"/>
                        <w:left w:val="single" w:sz="4" w:space="0" w:color="0000FF"/>
                        <w:bottom w:val="single" w:sz="4" w:space="0" w:color="0000FF"/>
                        <w:right w:val="single" w:sz="4" w:space="0" w:color="0000FF"/>
                      </w:tblBorders>
                      <w:tblLayout w:type="fixed"/>
                    </w:tblPrEx>
                    <w:trPr>
                      <w:trHeight w:val="905"/>
                    </w:trPr>
                    <w:tc>
                      <w:tcPr>
                        <w:tcW w:w="4430" w:type="dxa"/>
                        <w:vAlign w:val="top"/>
                      </w:tcPr>
                      <w:p>
                        <w:pPr>
                          <w:spacing w:before="240" w:line="221" w:lineRule="auto"/>
                          <w:ind w:left="1094"/>
                          <w:rPr>
                            <w:rFonts w:ascii="SimHei" w:eastAsia="SimHei" w:hAnsi="SimHei" w:cs="SimHei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Hei" w:eastAsia="SimHei" w:hAnsi="SimHei" w:cs="SimHei"/>
                            <w:b/>
                            <w:bCs/>
                            <w:spacing w:val="2"/>
                            <w:sz w:val="32"/>
                            <w:szCs w:val="32"/>
                          </w:rPr>
                          <w:t>便携式储能市场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55" type="#_x0000_t202" style="width:223.5pt;height:212.55pt;margin-top:193pt;margin-left:804.5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4419" w:type="dxa"/>
                    <w:tblInd w:w="25" w:type="dxa"/>
                    <w:tblBorders>
                      <w:top w:val="single" w:sz="2" w:space="0" w:color="0000FF"/>
                      <w:left w:val="single" w:sz="4" w:space="0" w:color="0000FF"/>
                      <w:bottom w:val="single" w:sz="4" w:space="0" w:color="0000FF"/>
                      <w:right w:val="single" w:sz="4" w:space="0" w:color="0000FF"/>
                    </w:tblBorders>
                    <w:tblLayout w:type="fixed"/>
                  </w:tblPr>
                  <w:tblGrid>
                    <w:gridCol w:w="4419"/>
                  </w:tblGrid>
                  <w:tr>
                    <w:tblPrEx>
                      <w:tblW w:w="4419" w:type="dxa"/>
                      <w:tblInd w:w="25" w:type="dxa"/>
                      <w:tblBorders>
                        <w:top w:val="single" w:sz="2" w:space="0" w:color="0000FF"/>
                        <w:left w:val="single" w:sz="4" w:space="0" w:color="0000FF"/>
                        <w:bottom w:val="single" w:sz="4" w:space="0" w:color="0000FF"/>
                        <w:right w:val="single" w:sz="4" w:space="0" w:color="0000FF"/>
                      </w:tblBorders>
                      <w:tblLayout w:type="fixed"/>
                    </w:tblPrEx>
                    <w:trPr>
                      <w:trHeight w:val="4195"/>
                    </w:trPr>
                    <w:tc>
                      <w:tcPr>
                        <w:tcW w:w="4419" w:type="dxa"/>
                        <w:vAlign w:val="top"/>
                      </w:tcPr>
                      <w:p>
                        <w:pPr>
                          <w:spacing w:line="45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104" w:line="220" w:lineRule="auto"/>
                          <w:ind w:left="499"/>
                          <w:rPr>
                            <w:rFonts w:ascii="SimSun" w:eastAsia="SimSun" w:hAnsi="SimSun" w:cs="SimSu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17"/>
                            <w:sz w:val="32"/>
                            <w:szCs w:val="32"/>
                          </w:rPr>
                          <w:t>·</w:t>
                        </w:r>
                        <w:r>
                          <w:rPr>
                            <w:rFonts w:ascii="SimSun" w:eastAsia="SimSun" w:hAnsi="SimSun" w:cs="SimSun"/>
                            <w:spacing w:val="-105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17"/>
                            <w:sz w:val="32"/>
                            <w:szCs w:val="32"/>
                          </w:rPr>
                          <w:t>户外和灾备两大核</w:t>
                        </w:r>
                      </w:p>
                      <w:p>
                        <w:pPr>
                          <w:spacing w:before="6" w:line="223" w:lineRule="auto"/>
                          <w:ind w:left="849" w:right="469" w:firstLine="10"/>
                          <w:rPr>
                            <w:rFonts w:ascii="SimSun" w:eastAsia="SimSun" w:hAnsi="SimSun" w:cs="SimSu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20"/>
                            <w:sz w:val="32"/>
                            <w:szCs w:val="32"/>
                          </w:rPr>
                          <w:t>心</w:t>
                        </w:r>
                        <w:r>
                          <w:rPr>
                            <w:rFonts w:ascii="SimSun" w:eastAsia="SimSun" w:hAnsi="SimSun" w:cs="SimSun"/>
                            <w:spacing w:val="19"/>
                            <w:sz w:val="32"/>
                            <w:szCs w:val="32"/>
                          </w:rPr>
                          <w:t xml:space="preserve">  </w:t>
                        </w:r>
                        <w:r>
                          <w:rPr>
                            <w:rFonts w:ascii="SimSun" w:eastAsia="SimSun" w:hAnsi="SimSun" w:cs="SimSun"/>
                            <w:spacing w:val="20"/>
                            <w:sz w:val="32"/>
                            <w:szCs w:val="32"/>
                          </w:rPr>
                          <w:t>场景在国内市场</w:t>
                        </w:r>
                        <w:r>
                          <w:rPr>
                            <w:rFonts w:ascii="SimSun" w:eastAsia="SimSun" w:hAnsi="SimSun" w:cs="SimSun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59"/>
                            <w:sz w:val="32"/>
                            <w:szCs w:val="32"/>
                          </w:rPr>
                          <w:t>均不成熟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56" type="#_x0000_t202" style="width:171.8pt;height:107.15pt;margin-top:221.03pt;margin-left:362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spacing w:before="22" w:line="239" w:lineRule="auto"/>
                    <w:ind w:left="360" w:right="20" w:hanging="340"/>
                    <w:rPr>
                      <w:rFonts w:ascii="SimSun" w:eastAsia="SimSun" w:hAnsi="SimSun" w:cs="SimSun"/>
                      <w:sz w:val="32"/>
                      <w:szCs w:val="32"/>
                    </w:rPr>
                  </w:pPr>
                  <w:r>
                    <w:rPr>
                      <w:rFonts w:ascii="SimSun" w:eastAsia="SimSun" w:hAnsi="SimSun" w:cs="SimSun"/>
                      <w:spacing w:val="9"/>
                      <w:sz w:val="32"/>
                      <w:szCs w:val="32"/>
                    </w:rPr>
                    <w:t>·</w:t>
                  </w:r>
                  <w:r>
                    <w:rPr>
                      <w:rFonts w:ascii="SimSun" w:eastAsia="SimSun" w:hAnsi="SimSun" w:cs="SimSun"/>
                      <w:spacing w:val="-61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9"/>
                      <w:sz w:val="32"/>
                      <w:szCs w:val="32"/>
                    </w:rPr>
                    <w:t>电价改革高度相关，</w:t>
                  </w:r>
                  <w:r>
                    <w:rPr>
                      <w:rFonts w:ascii="SimSun" w:eastAsia="SimSun" w:hAnsi="SimSun" w:cs="SimSun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9"/>
                      <w:sz w:val="32"/>
                      <w:szCs w:val="32"/>
                    </w:rPr>
                    <w:t>部分区域已初步具备</w:t>
                  </w:r>
                  <w:r>
                    <w:rPr>
                      <w:rFonts w:ascii="SimSun" w:eastAsia="SimSun" w:hAnsi="SimSun" w:cs="SimSun"/>
                      <w:spacing w:val="3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7"/>
                      <w:sz w:val="32"/>
                      <w:szCs w:val="32"/>
                    </w:rPr>
                    <w:t>经济性，快速渗透中</w:t>
                  </w:r>
                </w:p>
                <w:p>
                  <w:pPr>
                    <w:spacing w:before="46" w:line="234" w:lineRule="auto"/>
                    <w:ind w:left="360" w:right="25" w:hanging="340"/>
                    <w:rPr>
                      <w:rFonts w:ascii="SimSun" w:eastAsia="SimSun" w:hAnsi="SimSun" w:cs="SimSun"/>
                      <w:sz w:val="32"/>
                      <w:szCs w:val="32"/>
                    </w:rPr>
                  </w:pPr>
                  <w:r>
                    <w:rPr>
                      <w:rFonts w:ascii="SimSun" w:eastAsia="SimSun" w:hAnsi="SimSun" w:cs="SimSun"/>
                      <w:spacing w:val="12"/>
                      <w:sz w:val="32"/>
                      <w:szCs w:val="32"/>
                    </w:rPr>
                    <w:t>·</w:t>
                  </w:r>
                  <w:r>
                    <w:rPr>
                      <w:rFonts w:ascii="SimSun" w:eastAsia="SimSun" w:hAnsi="SimSun" w:cs="SimSun"/>
                      <w:spacing w:val="-91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2"/>
                      <w:sz w:val="32"/>
                      <w:szCs w:val="32"/>
                    </w:rPr>
                    <w:t>下游客户相对分散，</w:t>
                  </w:r>
                  <w:r>
                    <w:rPr>
                      <w:rFonts w:ascii="SimSun" w:eastAsia="SimSun" w:hAnsi="SimSun" w:cs="SimSun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5"/>
                      <w:sz w:val="32"/>
                      <w:szCs w:val="32"/>
                    </w:rPr>
                    <w:t>跨区域规模化有挑战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13201591</wp:posOffset>
            </wp:positionH>
            <wp:positionV relativeFrom="page">
              <wp:posOffset>5118087</wp:posOffset>
            </wp:positionV>
            <wp:extent cx="2032075" cy="6379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32075" cy="6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13188942</wp:posOffset>
            </wp:positionH>
            <wp:positionV relativeFrom="page">
              <wp:posOffset>2470147</wp:posOffset>
            </wp:positionV>
            <wp:extent cx="1593791" cy="6379"/>
            <wp:effectExtent l="0" t="0" r="0" b="0"/>
            <wp:wrapNone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93791" cy="6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13214351</wp:posOffset>
            </wp:positionH>
            <wp:positionV relativeFrom="page">
              <wp:posOffset>2463766</wp:posOffset>
            </wp:positionV>
            <wp:extent cx="6350" cy="2660698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660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11"/>
          <w:sz w:val="62"/>
          <w:szCs w:val="62"/>
        </w:rPr>
        <w:t>储能投资框架的思考</w:t>
      </w:r>
    </w:p>
    <w:p>
      <w:pPr>
        <w:spacing w:before="2" w:line="212" w:lineRule="auto"/>
        <w:ind w:left="28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5"/>
          <w:sz w:val="48"/>
          <w:szCs w:val="48"/>
        </w:rPr>
        <w:t>多场景并进，基于外部环境的顺势而为</w:t>
      </w:r>
    </w:p>
    <w:p/>
    <w:p/>
    <w:p/>
    <w:p/>
    <w:p>
      <w:pPr>
        <w:spacing w:line="132" w:lineRule="exact"/>
      </w:pPr>
    </w:p>
    <w:p>
      <w:pPr>
        <w:sectPr>
          <w:headerReference w:type="default" r:id="rId40"/>
          <w:pgSz w:w="25870" w:h="14560"/>
          <w:pgMar w:top="124" w:right="659" w:bottom="0" w:left="730" w:header="0" w:footer="0" w:gutter="0"/>
          <w:pgNumType w:start="24"/>
          <w:cols w:num="1" w:space="708" w:equalWidth="0">
            <w:col w:w="24481" w:space="0"/>
          </w:cols>
        </w:sectPr>
      </w:pPr>
    </w:p>
    <w:p/>
    <w:p/>
    <w:p/>
    <w:p/>
    <w:p/>
    <w:p>
      <w:pPr>
        <w:spacing w:line="172" w:lineRule="exact"/>
      </w:pPr>
    </w:p>
    <w:tbl>
      <w:tblPr>
        <w:tblStyle w:val="TableNormal0"/>
        <w:tblW w:w="925" w:type="dxa"/>
        <w:tblInd w:w="2" w:type="dxa"/>
        <w:tblBorders>
          <w:top w:val="single" w:sz="2" w:space="0" w:color="0000FF"/>
          <w:left w:val="single" w:sz="2" w:space="0" w:color="0000FF"/>
          <w:bottom w:val="single" w:sz="4" w:space="0" w:color="0000FF"/>
        </w:tblBorders>
        <w:tblLayout w:type="fixed"/>
      </w:tblPr>
      <w:tblGrid>
        <w:gridCol w:w="925"/>
      </w:tblGrid>
      <w:tr>
        <w:tblPrEx>
          <w:tblW w:w="925" w:type="dxa"/>
          <w:tblInd w:w="2" w:type="dxa"/>
          <w:tblBorders>
            <w:top w:val="single" w:sz="2" w:space="0" w:color="0000FF"/>
            <w:left w:val="single" w:sz="2" w:space="0" w:color="0000FF"/>
            <w:bottom w:val="single" w:sz="4" w:space="0" w:color="0000FF"/>
          </w:tblBorders>
          <w:tblLayout w:type="fixed"/>
        </w:tblPrEx>
        <w:trPr>
          <w:trHeight w:val="4204"/>
        </w:trPr>
        <w:tc>
          <w:tcPr>
            <w:tcW w:w="925" w:type="dxa"/>
            <w:textDirection w:val="tbRlV"/>
            <w:vAlign w:val="top"/>
          </w:tcPr>
          <w:p>
            <w:pPr>
              <w:spacing w:before="306" w:line="216" w:lineRule="auto"/>
              <w:ind w:left="1355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spacing w:val="54"/>
                <w:sz w:val="32"/>
                <w:szCs w:val="32"/>
              </w:rPr>
              <w:t>国内市场</w:t>
            </w:r>
          </w:p>
        </w:tc>
      </w:tr>
    </w:tbl>
    <w:p/>
    <w:p/>
    <w:p>
      <w:pPr>
        <w:spacing w:line="137" w:lineRule="exact"/>
      </w:pPr>
    </w:p>
    <w:tbl>
      <w:tblPr>
        <w:tblStyle w:val="TableNormal0"/>
        <w:tblW w:w="904" w:type="dxa"/>
        <w:tblInd w:w="2" w:type="dxa"/>
        <w:tblBorders>
          <w:top w:val="single" w:sz="2" w:space="0" w:color="0000FF"/>
          <w:left w:val="single" w:sz="2" w:space="0" w:color="0000FF"/>
          <w:right w:val="single" w:sz="2" w:space="0" w:color="0000FF"/>
        </w:tblBorders>
        <w:tblLayout w:type="fixed"/>
      </w:tblPr>
      <w:tblGrid>
        <w:gridCol w:w="904"/>
      </w:tblGrid>
      <w:tr>
        <w:tblPrEx>
          <w:tblW w:w="904" w:type="dxa"/>
          <w:tblInd w:w="2" w:type="dxa"/>
          <w:tblBorders>
            <w:top w:val="single" w:sz="2" w:space="0" w:color="0000FF"/>
            <w:left w:val="single" w:sz="2" w:space="0" w:color="0000FF"/>
            <w:right w:val="single" w:sz="2" w:space="0" w:color="0000FF"/>
          </w:tblBorders>
          <w:tblLayout w:type="fixed"/>
        </w:tblPrEx>
        <w:trPr>
          <w:trHeight w:val="3120"/>
        </w:trPr>
        <w:tc>
          <w:tcPr>
            <w:tcW w:w="904" w:type="dxa"/>
            <w:textDirection w:val="tbRlV"/>
            <w:vAlign w:val="top"/>
          </w:tcPr>
          <w:p>
            <w:pPr>
              <w:spacing w:before="285" w:line="216" w:lineRule="auto"/>
              <w:ind w:left="775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spacing w:val="51"/>
                <w:sz w:val="32"/>
                <w:szCs w:val="32"/>
              </w:rPr>
              <w:t>国外市场</w:t>
            </w:r>
          </w:p>
        </w:tc>
      </w:tr>
    </w:tbl>
    <w:p>
      <w:pPr>
        <w:spacing w:line="103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88" w:lineRule="auto"/>
        <w:rPr>
          <w:rFonts w:ascii="Arial"/>
          <w:sz w:val="2"/>
        </w:rPr>
      </w:pPr>
    </w:p>
    <w:tbl>
      <w:tblPr>
        <w:tblStyle w:val="TableNormal0"/>
        <w:tblW w:w="4444" w:type="dxa"/>
        <w:tblInd w:w="2" w:type="dxa"/>
        <w:tblBorders>
          <w:top w:val="single" w:sz="2" w:space="0" w:color="0000FF"/>
          <w:right w:val="single" w:sz="2" w:space="0" w:color="0000FF"/>
        </w:tblBorders>
        <w:tblLayout w:type="fixed"/>
      </w:tblPr>
      <w:tblGrid>
        <w:gridCol w:w="4444"/>
      </w:tblGrid>
      <w:tr>
        <w:tblPrEx>
          <w:tblW w:w="4444" w:type="dxa"/>
          <w:tblInd w:w="2" w:type="dxa"/>
          <w:tblBorders>
            <w:top w:val="single" w:sz="2" w:space="0" w:color="0000FF"/>
            <w:right w:val="single" w:sz="2" w:space="0" w:color="0000FF"/>
          </w:tblBorders>
          <w:tblLayout w:type="fixed"/>
        </w:tblPrEx>
        <w:trPr>
          <w:trHeight w:val="910"/>
        </w:trPr>
        <w:tc>
          <w:tcPr>
            <w:tcW w:w="4444" w:type="dxa"/>
            <w:vAlign w:val="top"/>
          </w:tcPr>
          <w:p>
            <w:pPr>
              <w:spacing w:before="230" w:line="221" w:lineRule="auto"/>
              <w:ind w:left="1069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b/>
                <w:bCs/>
                <w:spacing w:val="1"/>
                <w:sz w:val="32"/>
                <w:szCs w:val="32"/>
              </w:rPr>
              <w:t>源网侧表前市场</w:t>
            </w:r>
          </w:p>
        </w:tc>
      </w:tr>
    </w:tbl>
    <w:p/>
    <w:p>
      <w:pPr>
        <w:spacing w:line="228" w:lineRule="exact"/>
      </w:pPr>
    </w:p>
    <w:tbl>
      <w:tblPr>
        <w:tblStyle w:val="TableNormal0"/>
        <w:tblW w:w="4432" w:type="dxa"/>
        <w:tblInd w:w="24" w:type="dxa"/>
        <w:tblBorders>
          <w:top w:val="single" w:sz="2" w:space="0" w:color="0000FF"/>
          <w:left w:val="single" w:sz="4" w:space="0" w:color="0000FF"/>
          <w:bottom w:val="single" w:sz="4" w:space="0" w:color="0000FF"/>
        </w:tblBorders>
        <w:tblLayout w:type="fixed"/>
      </w:tblPr>
      <w:tblGrid>
        <w:gridCol w:w="4432"/>
      </w:tblGrid>
      <w:tr>
        <w:tblPrEx>
          <w:tblW w:w="4432" w:type="dxa"/>
          <w:tblInd w:w="24" w:type="dxa"/>
          <w:tblBorders>
            <w:top w:val="single" w:sz="2" w:space="0" w:color="0000FF"/>
            <w:left w:val="single" w:sz="4" w:space="0" w:color="0000FF"/>
            <w:bottom w:val="single" w:sz="4" w:space="0" w:color="0000FF"/>
          </w:tblBorders>
          <w:tblLayout w:type="fixed"/>
        </w:tblPrEx>
        <w:trPr>
          <w:trHeight w:val="4184"/>
        </w:trPr>
        <w:tc>
          <w:tcPr>
            <w:tcW w:w="4432" w:type="dxa"/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</w:p>
          <w:p>
            <w:pPr>
              <w:spacing w:before="104" w:line="487" w:lineRule="exact"/>
              <w:ind w:left="449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1065C7"/>
                <w:spacing w:val="-21"/>
                <w:position w:val="11"/>
                <w:sz w:val="32"/>
                <w:szCs w:val="32"/>
              </w:rPr>
              <w:t>·</w:t>
            </w:r>
            <w:r>
              <w:rPr>
                <w:rFonts w:ascii="SimHei" w:eastAsia="SimHei" w:hAnsi="SimHei" w:cs="SimHei"/>
                <w:color w:val="1065C7"/>
                <w:spacing w:val="30"/>
                <w:position w:val="11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color w:val="1065C7"/>
                <w:spacing w:val="-21"/>
                <w:position w:val="11"/>
                <w:sz w:val="32"/>
                <w:szCs w:val="32"/>
              </w:rPr>
              <w:t>市场规模最大</w:t>
            </w:r>
          </w:p>
          <w:p>
            <w:pPr>
              <w:spacing w:line="221" w:lineRule="auto"/>
              <w:ind w:left="449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1065C7"/>
                <w:spacing w:val="-15"/>
                <w:sz w:val="32"/>
                <w:szCs w:val="32"/>
              </w:rPr>
              <w:t>·</w:t>
            </w:r>
            <w:r>
              <w:rPr>
                <w:rFonts w:ascii="SimHei" w:eastAsia="SimHei" w:hAnsi="SimHei" w:cs="SimHei"/>
                <w:color w:val="1065C7"/>
                <w:spacing w:val="33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color w:val="1065C7"/>
                <w:spacing w:val="-15"/>
                <w:sz w:val="32"/>
                <w:szCs w:val="32"/>
              </w:rPr>
              <w:t>成本高度敏感</w:t>
            </w:r>
          </w:p>
          <w:p>
            <w:pPr>
              <w:spacing w:before="106" w:line="489" w:lineRule="exact"/>
              <w:ind w:left="449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1065C7"/>
                <w:spacing w:val="-13"/>
                <w:position w:val="11"/>
                <w:sz w:val="32"/>
                <w:szCs w:val="32"/>
              </w:rPr>
              <w:t>·</w:t>
            </w:r>
            <w:r>
              <w:rPr>
                <w:rFonts w:ascii="SimHei" w:eastAsia="SimHei" w:hAnsi="SimHei" w:cs="SimHei"/>
                <w:color w:val="1065C7"/>
                <w:spacing w:val="37"/>
                <w:position w:val="11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color w:val="1065C7"/>
                <w:spacing w:val="-13"/>
                <w:position w:val="11"/>
                <w:sz w:val="32"/>
                <w:szCs w:val="32"/>
              </w:rPr>
              <w:t>对储能的容量/时长等</w:t>
            </w:r>
          </w:p>
          <w:p>
            <w:pPr>
              <w:spacing w:before="1" w:line="221" w:lineRule="auto"/>
              <w:ind w:left="454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b/>
                <w:bCs/>
                <w:color w:val="1065C7"/>
                <w:spacing w:val="51"/>
                <w:sz w:val="32"/>
                <w:szCs w:val="32"/>
              </w:rPr>
              <w:t>需求维度多元化</w:t>
            </w:r>
          </w:p>
          <w:p>
            <w:pPr>
              <w:spacing w:before="111" w:line="491" w:lineRule="exact"/>
              <w:ind w:left="449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spacing w:val="19"/>
                <w:position w:val="11"/>
                <w:sz w:val="32"/>
                <w:szCs w:val="32"/>
              </w:rPr>
              <w:t>·</w:t>
            </w:r>
            <w:r>
              <w:rPr>
                <w:rFonts w:ascii="SimHei" w:eastAsia="SimHei" w:hAnsi="SimHei" w:cs="SimHei"/>
                <w:spacing w:val="-98"/>
                <w:position w:val="11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pacing w:val="19"/>
                <w:position w:val="11"/>
                <w:sz w:val="32"/>
                <w:szCs w:val="32"/>
              </w:rPr>
              <w:t>亟待电价政策改革进</w:t>
            </w:r>
          </w:p>
          <w:p>
            <w:pPr>
              <w:spacing w:line="222" w:lineRule="auto"/>
              <w:ind w:left="820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spacing w:val="5"/>
                <w:sz w:val="32"/>
                <w:szCs w:val="32"/>
              </w:rPr>
              <w:t>一步落地</w:t>
            </w:r>
          </w:p>
        </w:tc>
      </w:tr>
    </w:tbl>
    <w:p/>
    <w:p/>
    <w:p>
      <w:pPr>
        <w:spacing w:line="137" w:lineRule="exact"/>
      </w:pPr>
    </w:p>
    <w:tbl>
      <w:tblPr>
        <w:tblStyle w:val="TableNormal0"/>
        <w:tblW w:w="4422" w:type="dxa"/>
        <w:tblInd w:w="24" w:type="dxa"/>
        <w:tblBorders>
          <w:top w:val="single" w:sz="4" w:space="0" w:color="0000FF"/>
          <w:left w:val="single" w:sz="4" w:space="0" w:color="0000FF"/>
          <w:right w:val="single" w:sz="2" w:space="0" w:color="0000FF"/>
        </w:tblBorders>
        <w:tblLayout w:type="fixed"/>
      </w:tblPr>
      <w:tblGrid>
        <w:gridCol w:w="4422"/>
      </w:tblGrid>
      <w:tr>
        <w:tblPrEx>
          <w:tblW w:w="4422" w:type="dxa"/>
          <w:tblInd w:w="24" w:type="dxa"/>
          <w:tblBorders>
            <w:top w:val="single" w:sz="4" w:space="0" w:color="0000FF"/>
            <w:left w:val="single" w:sz="4" w:space="0" w:color="0000FF"/>
            <w:right w:val="single" w:sz="2" w:space="0" w:color="0000FF"/>
          </w:tblBorders>
          <w:tblLayout w:type="fixed"/>
        </w:tblPrEx>
        <w:trPr>
          <w:trHeight w:val="3123"/>
        </w:trPr>
        <w:tc>
          <w:tcPr>
            <w:tcW w:w="4422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spacing w:before="104" w:line="233" w:lineRule="auto"/>
              <w:ind w:left="819" w:right="539" w:hanging="370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16"/>
                <w:sz w:val="32"/>
                <w:szCs w:val="32"/>
              </w:rPr>
              <w:t>·</w:t>
            </w:r>
            <w:r>
              <w:rPr>
                <w:rFonts w:ascii="SimSun" w:eastAsia="SimSun" w:hAnsi="SimSun" w:cs="SimSun"/>
                <w:spacing w:val="-96"/>
                <w:sz w:val="32"/>
                <w:szCs w:val="32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32"/>
                <w:szCs w:val="32"/>
              </w:rPr>
              <w:t>欧美市场盈利模式更</w:t>
            </w:r>
            <w:r>
              <w:rPr>
                <w:rFonts w:ascii="SimSun" w:eastAsia="SimSun" w:hAnsi="SimSun" w:cs="SimSun"/>
                <w:sz w:val="32"/>
                <w:szCs w:val="32"/>
              </w:rPr>
              <w:t xml:space="preserve"> </w:t>
            </w:r>
            <w:r>
              <w:rPr>
                <w:rFonts w:ascii="SimSun" w:eastAsia="SimSun" w:hAnsi="SimSun" w:cs="SimSun"/>
                <w:spacing w:val="24"/>
                <w:sz w:val="32"/>
                <w:szCs w:val="32"/>
              </w:rPr>
              <w:t>清晰，但本土老牌</w:t>
            </w:r>
          </w:p>
          <w:p>
            <w:pPr>
              <w:spacing w:before="52" w:line="219" w:lineRule="auto"/>
              <w:ind w:left="820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27"/>
                <w:sz w:val="32"/>
                <w:szCs w:val="32"/>
              </w:rPr>
              <w:t>企业实力较强</w:t>
            </w:r>
          </w:p>
          <w:p>
            <w:pPr>
              <w:spacing w:before="48" w:line="234" w:lineRule="auto"/>
              <w:ind w:left="819" w:right="835" w:hanging="370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20"/>
                <w:sz w:val="32"/>
                <w:szCs w:val="32"/>
              </w:rPr>
              <w:t>·</w:t>
            </w:r>
            <w:r>
              <w:rPr>
                <w:rFonts w:ascii="SimSun" w:eastAsia="SimSun" w:hAnsi="SimSun" w:cs="SimSun"/>
                <w:spacing w:val="-93"/>
                <w:sz w:val="32"/>
                <w:szCs w:val="32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sz w:val="32"/>
                <w:szCs w:val="32"/>
              </w:rPr>
              <w:t>非洲等电网薄弱市</w:t>
            </w:r>
            <w:r>
              <w:rPr>
                <w:rFonts w:ascii="SimSun" w:eastAsia="SimSun" w:hAnsi="SimSun" w:cs="SimSun"/>
                <w:sz w:val="32"/>
                <w:szCs w:val="32"/>
              </w:rPr>
              <w:t xml:space="preserve"> </w:t>
            </w:r>
            <w:r>
              <w:rPr>
                <w:rFonts w:ascii="SimSun" w:eastAsia="SimSun" w:hAnsi="SimSun" w:cs="SimSun"/>
                <w:spacing w:val="24"/>
                <w:sz w:val="32"/>
                <w:szCs w:val="32"/>
              </w:rPr>
              <w:t>场逻辑偏灾备储能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0"/>
        <w:tblW w:w="4430" w:type="dxa"/>
        <w:tblInd w:w="4694" w:type="dxa"/>
        <w:tblBorders>
          <w:left w:val="single" w:sz="4" w:space="0" w:color="0000FF"/>
          <w:right w:val="single" w:sz="4" w:space="0" w:color="0000FF"/>
        </w:tblBorders>
        <w:tblLayout w:type="fixed"/>
      </w:tblPr>
      <w:tblGrid>
        <w:gridCol w:w="4430"/>
      </w:tblGrid>
      <w:tr>
        <w:tblPrEx>
          <w:tblW w:w="4430" w:type="dxa"/>
          <w:tblInd w:w="4694" w:type="dxa"/>
          <w:tblBorders>
            <w:left w:val="single" w:sz="4" w:space="0" w:color="0000FF"/>
            <w:right w:val="single" w:sz="4" w:space="0" w:color="0000FF"/>
          </w:tblBorders>
          <w:tblLayout w:type="fixed"/>
        </w:tblPrEx>
        <w:trPr>
          <w:trHeight w:val="918"/>
        </w:trPr>
        <w:tc>
          <w:tcPr>
            <w:tcW w:w="4430" w:type="dxa"/>
            <w:vAlign w:val="top"/>
          </w:tcPr>
          <w:p>
            <w:pPr>
              <w:spacing w:before="273" w:line="223" w:lineRule="auto"/>
              <w:ind w:left="1564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b/>
                <w:bCs/>
                <w:spacing w:val="-6"/>
                <w:sz w:val="32"/>
                <w:szCs w:val="32"/>
              </w:rPr>
              <w:t>户储市场</w:t>
            </w:r>
          </w:p>
        </w:tc>
      </w:tr>
    </w:tbl>
    <w:p/>
    <w:p>
      <w:pPr>
        <w:spacing w:line="228" w:lineRule="exact"/>
      </w:pPr>
    </w:p>
    <w:tbl>
      <w:tblPr>
        <w:tblStyle w:val="TableNormal0"/>
        <w:tblW w:w="4422" w:type="dxa"/>
        <w:tblInd w:w="4694" w:type="dxa"/>
        <w:tblBorders>
          <w:top w:val="single" w:sz="2" w:space="0" w:color="0000FF"/>
          <w:left w:val="single" w:sz="4" w:space="0" w:color="0000FF"/>
          <w:bottom w:val="single" w:sz="4" w:space="0" w:color="0000FF"/>
        </w:tblBorders>
        <w:tblLayout w:type="fixed"/>
      </w:tblPr>
      <w:tblGrid>
        <w:gridCol w:w="4422"/>
      </w:tblGrid>
      <w:tr>
        <w:tblPrEx>
          <w:tblW w:w="4422" w:type="dxa"/>
          <w:tblInd w:w="4694" w:type="dxa"/>
          <w:tblBorders>
            <w:top w:val="single" w:sz="2" w:space="0" w:color="0000FF"/>
            <w:left w:val="single" w:sz="4" w:space="0" w:color="0000FF"/>
            <w:bottom w:val="single" w:sz="4" w:space="0" w:color="0000FF"/>
          </w:tblBorders>
          <w:tblLayout w:type="fixed"/>
        </w:tblPrEx>
        <w:trPr>
          <w:trHeight w:val="4184"/>
        </w:trPr>
        <w:tc>
          <w:tcPr>
            <w:tcW w:w="4422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104" w:line="225" w:lineRule="auto"/>
              <w:ind w:left="848" w:right="479" w:hanging="369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15"/>
                <w:sz w:val="32"/>
                <w:szCs w:val="32"/>
              </w:rPr>
              <w:t>·</w:t>
            </w:r>
            <w:r>
              <w:rPr>
                <w:rFonts w:ascii="SimSun" w:eastAsia="SimSun" w:hAnsi="SimSun" w:cs="SimSun"/>
                <w:spacing w:val="-68"/>
                <w:sz w:val="32"/>
                <w:szCs w:val="32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32"/>
                <w:szCs w:val="32"/>
              </w:rPr>
              <w:t>国内电网强壮、电价</w:t>
            </w:r>
            <w:r>
              <w:rPr>
                <w:rFonts w:ascii="SimSun" w:eastAsia="SimSun" w:hAnsi="SimSun" w:cs="SimSun"/>
                <w:sz w:val="32"/>
                <w:szCs w:val="32"/>
              </w:rPr>
              <w:t xml:space="preserve"> </w:t>
            </w:r>
            <w:r>
              <w:rPr>
                <w:rFonts w:ascii="SimSun" w:eastAsia="SimSun" w:hAnsi="SimSun" w:cs="SimSun"/>
                <w:spacing w:val="22"/>
                <w:sz w:val="32"/>
                <w:szCs w:val="32"/>
              </w:rPr>
              <w:t>差有限，户储市场尚</w:t>
            </w:r>
            <w:r>
              <w:rPr>
                <w:rFonts w:ascii="SimSun" w:eastAsia="SimSun" w:hAnsi="SimSun" w:cs="SimSun"/>
                <w:spacing w:val="6"/>
                <w:sz w:val="32"/>
                <w:szCs w:val="32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32"/>
                <w:szCs w:val="32"/>
              </w:rPr>
              <w:t>不成熟</w:t>
            </w:r>
          </w:p>
        </w:tc>
      </w:tr>
    </w:tbl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3110" w:lineRule="exact"/>
        <w:ind w:firstLine="130"/>
        <w:textAlignment w:val="center"/>
      </w:pPr>
      <w:r>
        <w:pict>
          <v:shape id="_x0000_i1057" type="#_x0000_t202" style="width:677.5pt;height:155.55pt;mso-position-horizontal-relative:char;mso-position-vertical-relative:line" filled="t" fillcolor="#dce8f4" stroked="f">
            <o:lock v:ext="edit" aspectratio="f"/>
            <v:textbox inset="0,0,0,0">
              <w:txbxContent>
                <w:p>
                  <w:pPr>
                    <w:spacing w:line="4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04" w:line="219" w:lineRule="auto"/>
                    <w:ind w:left="379"/>
                    <w:rPr>
                      <w:rFonts w:ascii="SimSun" w:eastAsia="SimSun" w:hAnsi="SimSun" w:cs="SimSun"/>
                      <w:sz w:val="32"/>
                      <w:szCs w:val="32"/>
                    </w:rPr>
                  </w:pPr>
                  <w:r>
                    <w:rPr>
                      <w:rFonts w:ascii="SimSun" w:eastAsia="SimSun" w:hAnsi="SimSun" w:cs="SimSun"/>
                      <w:color w:val="2173D1"/>
                      <w:spacing w:val="-7"/>
                      <w:sz w:val="32"/>
                      <w:szCs w:val="32"/>
                    </w:rPr>
                    <w:t>·</w:t>
                  </w:r>
                  <w:r>
                    <w:rPr>
                      <w:rFonts w:ascii="SimSun" w:eastAsia="SimSun" w:hAnsi="SimSun" w:cs="SimSun"/>
                      <w:color w:val="2173D1"/>
                      <w:spacing w:val="-1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b/>
                      <w:bCs/>
                      <w:color w:val="2173D1"/>
                      <w:spacing w:val="-7"/>
                      <w:sz w:val="32"/>
                      <w:szCs w:val="32"/>
                    </w:rPr>
                    <w:t>欧美市场仍具有持续增长驱动力</w:t>
                  </w:r>
                </w:p>
                <w:p>
                  <w:pPr>
                    <w:spacing w:before="194" w:line="569" w:lineRule="exact"/>
                    <w:ind w:left="379"/>
                    <w:rPr>
                      <w:rFonts w:ascii="SimSun" w:eastAsia="SimSun" w:hAnsi="SimSun" w:cs="SimSun"/>
                      <w:sz w:val="32"/>
                      <w:szCs w:val="32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position w:val="18"/>
                      <w:sz w:val="32"/>
                      <w:szCs w:val="32"/>
                    </w:rPr>
                    <w:t>·模块化可扩展方案使工商业、户储、便携式的界限模糊</w:t>
                  </w:r>
                  <w:r>
                    <w:rPr>
                      <w:rFonts w:ascii="SimSun" w:eastAsia="SimSun" w:hAnsi="SimSun" w:cs="SimSun"/>
                      <w:spacing w:val="3"/>
                      <w:position w:val="18"/>
                      <w:sz w:val="32"/>
                      <w:szCs w:val="32"/>
                    </w:rPr>
                    <w:t>化</w:t>
                  </w:r>
                </w:p>
                <w:p>
                  <w:pPr>
                    <w:spacing w:before="1" w:line="218" w:lineRule="auto"/>
                    <w:ind w:left="379"/>
                    <w:rPr>
                      <w:rFonts w:ascii="SimSun" w:eastAsia="SimSun" w:hAnsi="SimSun" w:cs="SimSun"/>
                      <w:sz w:val="32"/>
                      <w:szCs w:val="32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32"/>
                      <w:szCs w:val="32"/>
                    </w:rPr>
                    <w:t>·</w:t>
                  </w:r>
                  <w:r>
                    <w:rPr>
                      <w:rFonts w:ascii="SimSun" w:eastAsia="SimSun" w:hAnsi="SimSun" w:cs="SimSun"/>
                      <w:spacing w:val="-122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4"/>
                      <w:sz w:val="32"/>
                      <w:szCs w:val="32"/>
                    </w:rPr>
                    <w:t>产品逻辑介于工业品和电子消费品之间</w:t>
                  </w:r>
                </w:p>
              </w:txbxContent>
            </v:textbox>
            <w10:wrap type="none"/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88" w:lineRule="auto"/>
        <w:rPr>
          <w:rFonts w:ascii="Arial"/>
          <w:sz w:val="2"/>
        </w:rPr>
      </w:pPr>
    </w:p>
    <w:tbl>
      <w:tblPr>
        <w:tblStyle w:val="TableNormal0"/>
        <w:tblW w:w="4424" w:type="dxa"/>
        <w:tblInd w:w="12" w:type="dxa"/>
        <w:tblBorders>
          <w:top w:val="single" w:sz="2" w:space="0" w:color="0000FF"/>
          <w:left w:val="single" w:sz="2" w:space="0" w:color="0000FF"/>
          <w:right w:val="single" w:sz="2" w:space="0" w:color="0000FF"/>
        </w:tblBorders>
        <w:tblLayout w:type="fixed"/>
      </w:tblPr>
      <w:tblGrid>
        <w:gridCol w:w="4424"/>
      </w:tblGrid>
      <w:tr>
        <w:tblPrEx>
          <w:tblW w:w="4424" w:type="dxa"/>
          <w:tblInd w:w="12" w:type="dxa"/>
          <w:tblBorders>
            <w:top w:val="single" w:sz="2" w:space="0" w:color="0000FF"/>
            <w:left w:val="single" w:sz="2" w:space="0" w:color="0000FF"/>
            <w:right w:val="single" w:sz="2" w:space="0" w:color="0000FF"/>
          </w:tblBorders>
          <w:tblLayout w:type="fixed"/>
        </w:tblPrEx>
        <w:trPr>
          <w:trHeight w:val="910"/>
        </w:trPr>
        <w:tc>
          <w:tcPr>
            <w:tcW w:w="4424" w:type="dxa"/>
            <w:vAlign w:val="top"/>
          </w:tcPr>
          <w:p>
            <w:pPr>
              <w:spacing w:before="253" w:line="222" w:lineRule="auto"/>
              <w:ind w:left="499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b/>
                <w:bCs/>
                <w:spacing w:val="-2"/>
                <w:sz w:val="32"/>
                <w:szCs w:val="32"/>
              </w:rPr>
              <w:t>数据中心/基站备电市场</w:t>
            </w:r>
          </w:p>
        </w:tc>
      </w:tr>
    </w:tbl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04" w:line="230" w:lineRule="auto"/>
        <w:ind w:left="849" w:right="488" w:hanging="34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18"/>
          <w:sz w:val="32"/>
          <w:szCs w:val="32"/>
        </w:rPr>
        <w:t>·</w:t>
      </w:r>
      <w:r>
        <w:rPr>
          <w:rFonts w:ascii="SimHei" w:eastAsia="SimHei" w:hAnsi="SimHei" w:cs="SimHei"/>
          <w:spacing w:val="-100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18"/>
          <w:sz w:val="32"/>
          <w:szCs w:val="32"/>
        </w:rPr>
        <w:t>市场规模大、下游客</w:t>
      </w:r>
      <w:r>
        <w:rPr>
          <w:rFonts w:ascii="SimHei" w:eastAsia="SimHei" w:hAnsi="SimHei" w:cs="SimHei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5"/>
          <w:sz w:val="32"/>
          <w:szCs w:val="32"/>
        </w:rPr>
        <w:t>户相对集中</w:t>
      </w:r>
    </w:p>
    <w:p>
      <w:pPr>
        <w:spacing w:before="16" w:line="232" w:lineRule="auto"/>
        <w:ind w:left="853" w:right="488" w:hanging="34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color w:val="0053B3"/>
          <w:spacing w:val="-12"/>
          <w:sz w:val="32"/>
          <w:szCs w:val="32"/>
        </w:rPr>
        <w:t>·</w:t>
      </w:r>
      <w:r>
        <w:rPr>
          <w:rFonts w:ascii="SimHei" w:eastAsia="SimHei" w:hAnsi="SimHei" w:cs="SimHei"/>
          <w:color w:val="0053B3"/>
          <w:spacing w:val="5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color w:val="0053B3"/>
          <w:spacing w:val="-12"/>
          <w:sz w:val="32"/>
          <w:szCs w:val="32"/>
        </w:rPr>
        <w:t>分布节点数量众多</w:t>
      </w:r>
      <w:r>
        <w:rPr>
          <w:rFonts w:ascii="SimHei" w:eastAsia="SimHei" w:hAnsi="SimHei" w:cs="SimHei"/>
          <w:color w:val="0053B3"/>
          <w:spacing w:val="5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color w:val="0053B3"/>
          <w:spacing w:val="-12"/>
          <w:sz w:val="32"/>
          <w:szCs w:val="32"/>
        </w:rPr>
        <w:t>·</w:t>
      </w:r>
      <w:r>
        <w:rPr>
          <w:rFonts w:ascii="SimHei" w:eastAsia="SimHei" w:hAnsi="SimHei" w:cs="SimHei"/>
          <w:color w:val="0053B3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color w:val="0053B3"/>
          <w:spacing w:val="-5"/>
          <w:sz w:val="32"/>
          <w:szCs w:val="32"/>
        </w:rPr>
        <w:t>安全要求高</w:t>
      </w:r>
      <w:r>
        <w:rPr>
          <w:rFonts w:ascii="SimHei" w:eastAsia="SimHei" w:hAnsi="SimHei" w:cs="SimHei"/>
          <w:color w:val="0053B3"/>
          <w:spacing w:val="1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color w:val="0053B3"/>
          <w:spacing w:val="-5"/>
          <w:sz w:val="32"/>
          <w:szCs w:val="32"/>
        </w:rPr>
        <w:t>·</w:t>
      </w:r>
      <w:r>
        <w:rPr>
          <w:rFonts w:ascii="SimHei" w:eastAsia="SimHei" w:hAnsi="SimHei" w:cs="SimHei"/>
          <w:color w:val="0053B3"/>
          <w:spacing w:val="-125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color w:val="0053B3"/>
          <w:spacing w:val="-5"/>
          <w:sz w:val="32"/>
          <w:szCs w:val="32"/>
        </w:rPr>
        <w:t>对系统</w:t>
      </w:r>
      <w:r>
        <w:rPr>
          <w:rFonts w:ascii="SimHei" w:eastAsia="SimHei" w:hAnsi="SimHei" w:cs="SimHei"/>
          <w:color w:val="0053B3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color w:val="0053B3"/>
          <w:spacing w:val="4"/>
          <w:sz w:val="32"/>
          <w:szCs w:val="32"/>
        </w:rPr>
        <w:t>管控能力要求高</w:t>
      </w:r>
    </w:p>
    <w:p/>
    <w:p/>
    <w:p/>
    <w:p/>
    <w:p/>
    <w:p/>
    <w:p/>
    <w:p/>
    <w:p/>
    <w:p>
      <w:pPr>
        <w:spacing w:line="75" w:lineRule="exact"/>
        <w:sectPr>
          <w:headerReference w:type="default" r:id="rId41"/>
          <w:type w:val="continuous"/>
          <w:pgSz w:w="25870" w:h="14560"/>
          <w:pgMar w:top="124" w:right="659" w:bottom="0" w:left="730" w:header="0" w:footer="0" w:gutter="0"/>
          <w:pgNumType w:start="25"/>
          <w:cols w:num="4" w:space="708" w:equalWidth="0">
            <w:col w:w="1260" w:space="100"/>
            <w:col w:w="4560" w:space="100"/>
            <w:col w:w="13920" w:space="100"/>
            <w:col w:w="4441" w:space="0"/>
          </w:cols>
        </w:sectPr>
      </w:pPr>
    </w:p>
    <w:tbl>
      <w:tblPr>
        <w:tblStyle w:val="TableNormal1"/>
        <w:tblW w:w="4405" w:type="dxa"/>
        <w:tblInd w:w="22" w:type="dxa"/>
        <w:tblBorders>
          <w:top w:val="single" w:sz="4" w:space="0" w:color="0000FF"/>
          <w:left w:val="single" w:sz="2" w:space="0" w:color="0000FF"/>
          <w:right w:val="single" w:sz="2" w:space="0" w:color="0000FF"/>
        </w:tblBorders>
        <w:tblLayout w:type="fixed"/>
      </w:tblPr>
      <w:tblGrid>
        <w:gridCol w:w="4405"/>
      </w:tblGrid>
      <w:tr>
        <w:tblPrEx>
          <w:tblW w:w="4405" w:type="dxa"/>
          <w:tblInd w:w="22" w:type="dxa"/>
          <w:tblBorders>
            <w:top w:val="single" w:sz="4" w:space="0" w:color="0000FF"/>
            <w:left w:val="single" w:sz="2" w:space="0" w:color="0000FF"/>
            <w:right w:val="single" w:sz="2" w:space="0" w:color="0000FF"/>
          </w:tblBorders>
          <w:tblLayout w:type="fixed"/>
        </w:tblPrEx>
        <w:trPr>
          <w:trHeight w:val="3123"/>
        </w:trPr>
        <w:tc>
          <w:tcPr>
            <w:tcW w:w="4405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104" w:line="223" w:lineRule="auto"/>
              <w:ind w:left="824" w:right="554" w:hanging="340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1"/>
                <w:sz w:val="32"/>
                <w:szCs w:val="32"/>
              </w:rPr>
              <w:t>·</w:t>
            </w:r>
            <w:r>
              <w:rPr>
                <w:rFonts w:ascii="SimSun" w:eastAsia="SimSun" w:hAnsi="SimSun" w:cs="SimSun"/>
                <w:spacing w:val="-11"/>
                <w:sz w:val="32"/>
                <w:szCs w:val="32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32"/>
                <w:szCs w:val="32"/>
              </w:rPr>
              <w:t>由于地缘政治因素，</w:t>
            </w:r>
            <w:r>
              <w:rPr>
                <w:rFonts w:ascii="SimSun" w:eastAsia="SimSun" w:hAnsi="SimSun" w:cs="SimSun"/>
                <w:sz w:val="32"/>
                <w:szCs w:val="32"/>
              </w:rPr>
              <w:t xml:space="preserve"> </w:t>
            </w:r>
            <w:r>
              <w:rPr>
                <w:rFonts w:ascii="SimSun" w:eastAsia="SimSun" w:hAnsi="SimSun" w:cs="SimSun"/>
                <w:sz w:val="32"/>
                <w:szCs w:val="32"/>
              </w:rPr>
              <w:t>中国厂商难以进入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https://d.book118.com/495224004221011043</w:t>
        </w:r>
      </w:hyperlink>
    </w:p>
    <w:p/>
    <w:sectPr>
      <w:headerReference w:type="default" r:id="rId43"/>
      <w:type w:val="nextPage"/>
      <w:pgSz w:w="25870" w:h="14560"/>
      <w:pgMar w:top="124" w:right="659" w:bottom="0" w:left="730" w:header="0" w:footer="0" w:gutter="0"/>
      <w:pgNumType w:start="26"/>
      <w:cols w:num="4" w:space="708" w:equalWidth="0">
        <w:col w:w="1260" w:space="100"/>
        <w:col w:w="4560" w:space="100"/>
        <w:col w:w="13920" w:space="100"/>
        <w:col w:w="4441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622271</wp:posOffset>
          </wp:positionH>
          <wp:positionV relativeFrom="page">
            <wp:posOffset>1212837</wp:posOffset>
          </wp:positionV>
          <wp:extent cx="15494043" cy="7137418"/>
          <wp:effectExtent l="0" t="0" r="0" b="0"/>
          <wp:wrapNone/>
          <wp:docPr id="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94043" cy="713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622271</wp:posOffset>
          </wp:positionH>
          <wp:positionV relativeFrom="page">
            <wp:posOffset>1212837</wp:posOffset>
          </wp:positionV>
          <wp:extent cx="15494043" cy="7137418"/>
          <wp:effectExtent l="0" t="0" r="0" b="0"/>
          <wp:wrapNone/>
          <wp:docPr id="679481480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9481480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94043" cy="713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622271</wp:posOffset>
          </wp:positionH>
          <wp:positionV relativeFrom="page">
            <wp:posOffset>1212837</wp:posOffset>
          </wp:positionV>
          <wp:extent cx="15494043" cy="7137418"/>
          <wp:effectExtent l="0" t="0" r="0" b="0"/>
          <wp:wrapNone/>
          <wp:docPr id="579896758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9896758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94043" cy="713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622271</wp:posOffset>
          </wp:positionH>
          <wp:positionV relativeFrom="page">
            <wp:posOffset>1212837</wp:posOffset>
          </wp:positionV>
          <wp:extent cx="15494043" cy="7137418"/>
          <wp:effectExtent l="0" t="0" r="0" b="0"/>
          <wp:wrapNone/>
          <wp:docPr id="154501270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5012709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94043" cy="713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622271</wp:posOffset>
          </wp:positionH>
          <wp:positionV relativeFrom="page">
            <wp:posOffset>1212837</wp:posOffset>
          </wp:positionV>
          <wp:extent cx="15494043" cy="7137418"/>
          <wp:effectExtent l="0" t="0" r="0" b="0"/>
          <wp:wrapNone/>
          <wp:docPr id="180620905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620905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94043" cy="713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622271</wp:posOffset>
          </wp:positionH>
          <wp:positionV relativeFrom="page">
            <wp:posOffset>1212837</wp:posOffset>
          </wp:positionV>
          <wp:extent cx="15494043" cy="7137418"/>
          <wp:effectExtent l="0" t="0" r="0" b="0"/>
          <wp:wrapNone/>
          <wp:docPr id="1652312254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2312254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94043" cy="713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622271</wp:posOffset>
          </wp:positionH>
          <wp:positionV relativeFrom="page">
            <wp:posOffset>1212837</wp:posOffset>
          </wp:positionV>
          <wp:extent cx="15494043" cy="7137418"/>
          <wp:effectExtent l="0" t="0" r="0" b="0"/>
          <wp:wrapNone/>
          <wp:docPr id="1309581576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9581576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94043" cy="713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622271</wp:posOffset>
          </wp:positionH>
          <wp:positionV relativeFrom="page">
            <wp:posOffset>1212837</wp:posOffset>
          </wp:positionV>
          <wp:extent cx="15494043" cy="7137418"/>
          <wp:effectExtent l="0" t="0" r="0" b="0"/>
          <wp:wrapNone/>
          <wp:docPr id="761201181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1201181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94043" cy="713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622271</wp:posOffset>
          </wp:positionH>
          <wp:positionV relativeFrom="page">
            <wp:posOffset>1212837</wp:posOffset>
          </wp:positionV>
          <wp:extent cx="15494043" cy="7137418"/>
          <wp:effectExtent l="0" t="0" r="0" b="0"/>
          <wp:wrapNone/>
          <wp:docPr id="1254428046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4428046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94043" cy="713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image" Target="media/image5.jpeg" /><Relationship Id="rId12" Type="http://schemas.openxmlformats.org/officeDocument/2006/relationships/header" Target="header5.xml" /><Relationship Id="rId13" Type="http://schemas.openxmlformats.org/officeDocument/2006/relationships/image" Target="media/image6.png" /><Relationship Id="rId14" Type="http://schemas.openxmlformats.org/officeDocument/2006/relationships/header" Target="header6.xml" /><Relationship Id="rId15" Type="http://schemas.openxmlformats.org/officeDocument/2006/relationships/image" Target="media/image7.jpeg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header" Target="header9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header" Target="header12.xml" /><Relationship Id="rId22" Type="http://schemas.openxmlformats.org/officeDocument/2006/relationships/image" Target="media/image8.jpeg" /><Relationship Id="rId23" Type="http://schemas.openxmlformats.org/officeDocument/2006/relationships/header" Target="header13.xml" /><Relationship Id="rId24" Type="http://schemas.openxmlformats.org/officeDocument/2006/relationships/header" Target="header14.xml" /><Relationship Id="rId25" Type="http://schemas.openxmlformats.org/officeDocument/2006/relationships/header" Target="header15.xml" /><Relationship Id="rId26" Type="http://schemas.openxmlformats.org/officeDocument/2006/relationships/header" Target="header16.xml" /><Relationship Id="rId27" Type="http://schemas.openxmlformats.org/officeDocument/2006/relationships/header" Target="header17.xml" /><Relationship Id="rId28" Type="http://schemas.openxmlformats.org/officeDocument/2006/relationships/header" Target="header18.xml" /><Relationship Id="rId29" Type="http://schemas.openxmlformats.org/officeDocument/2006/relationships/header" Target="header19.xml" /><Relationship Id="rId3" Type="http://schemas.openxmlformats.org/officeDocument/2006/relationships/fontTable" Target="fontTable.xml" /><Relationship Id="rId30" Type="http://schemas.openxmlformats.org/officeDocument/2006/relationships/header" Target="header20.xml" /><Relationship Id="rId31" Type="http://schemas.openxmlformats.org/officeDocument/2006/relationships/header" Target="header21.xml" /><Relationship Id="rId32" Type="http://schemas.openxmlformats.org/officeDocument/2006/relationships/header" Target="header22.xml" /><Relationship Id="rId33" Type="http://schemas.openxmlformats.org/officeDocument/2006/relationships/image" Target="media/image10.jpeg" /><Relationship Id="rId34" Type="http://schemas.openxmlformats.org/officeDocument/2006/relationships/header" Target="header23.xml" /><Relationship Id="rId35" Type="http://schemas.openxmlformats.org/officeDocument/2006/relationships/image" Target="media/image11.jpeg" /><Relationship Id="rId36" Type="http://schemas.openxmlformats.org/officeDocument/2006/relationships/image" Target="media/image12.png" /><Relationship Id="rId37" Type="http://schemas.openxmlformats.org/officeDocument/2006/relationships/image" Target="media/image13.png" /><Relationship Id="rId38" Type="http://schemas.openxmlformats.org/officeDocument/2006/relationships/image" Target="media/image14.png" /><Relationship Id="rId39" Type="http://schemas.openxmlformats.org/officeDocument/2006/relationships/image" Target="media/image15.jpeg" /><Relationship Id="rId4" Type="http://schemas.openxmlformats.org/officeDocument/2006/relationships/header" Target="header1.xml" /><Relationship Id="rId40" Type="http://schemas.openxmlformats.org/officeDocument/2006/relationships/header" Target="header24.xml" /><Relationship Id="rId41" Type="http://schemas.openxmlformats.org/officeDocument/2006/relationships/header" Target="header25.xml" /><Relationship Id="rId42" Type="http://schemas.openxmlformats.org/officeDocument/2006/relationships/hyperlink" Target="https://d.book118.com/495224004221011043" TargetMode="External" /><Relationship Id="rId43" Type="http://schemas.openxmlformats.org/officeDocument/2006/relationships/header" Target="header26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image" Target="media/image4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2023-10-29T19:03:58Z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2023-10-29T19:04:04Z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653e3c199ffa6b001fc6f488wl</vt:lpwstr>
  </property>
</Properties>
</file>