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遮光剂项目情况报告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13" w:history="1">
        <w:r>
          <w:rPr>
            <w:rFonts w:ascii="仿宋" w:eastAsia="仿宋" w:hAnsi="仿宋" w:cs="仿宋" w:hint="eastAsia"/>
            <w:lang w:eastAsia="zh-CN"/>
          </w:rPr>
          <w:t>前言</w:t>
        </w:r>
        <w:r>
          <w:tab/>
        </w:r>
        <w:r>
          <w:fldChar w:fldCharType="begin"/>
        </w:r>
        <w:r>
          <w:instrText xml:space="preserve"> PAGEREF _Toc24513 \h </w:instrText>
        </w:r>
        <w:r>
          <w:fldChar w:fldCharType="separate"/>
        </w:r>
        <w:r>
          <w:t>3</w:t>
        </w:r>
        <w:r>
          <w:fldChar w:fldCharType="end"/>
        </w:r>
      </w:hyperlink>
    </w:p>
    <w:p>
      <w:pPr>
        <w:pStyle w:val="TOC1"/>
        <w:tabs>
          <w:tab w:val="right" w:leader="dot" w:pos="8306"/>
        </w:tabs>
      </w:pPr>
      <w:hyperlink w:anchor="_Toc19325" w:history="1">
        <w:r>
          <w:rPr>
            <w:rFonts w:ascii="仿宋" w:eastAsia="仿宋" w:hAnsi="仿宋" w:cs="仿宋" w:hint="eastAsia"/>
            <w:lang w:eastAsia="zh-CN"/>
          </w:rPr>
          <w:t>一、工艺分析</w:t>
        </w:r>
        <w:r>
          <w:tab/>
        </w:r>
        <w:r>
          <w:fldChar w:fldCharType="begin"/>
        </w:r>
        <w:r>
          <w:instrText xml:space="preserve"> PAGEREF _Toc19325 \h </w:instrText>
        </w:r>
        <w:r>
          <w:fldChar w:fldCharType="separate"/>
        </w:r>
        <w:r>
          <w:t>3</w:t>
        </w:r>
        <w:r>
          <w:fldChar w:fldCharType="end"/>
        </w:r>
      </w:hyperlink>
    </w:p>
    <w:p>
      <w:pPr>
        <w:pStyle w:val="TOC2"/>
        <w:tabs>
          <w:tab w:val="right" w:leader="dot" w:pos="8306"/>
        </w:tabs>
      </w:pPr>
      <w:hyperlink w:anchor="_Toc11638" w:history="1">
        <w:r>
          <w:rPr>
            <w:rFonts w:ascii="仿宋" w:eastAsia="仿宋" w:hAnsi="仿宋" w:cs="仿宋" w:hint="eastAsia"/>
            <w:lang w:eastAsia="zh-CN"/>
          </w:rPr>
          <w:t>(一)、技术管理特点</w:t>
        </w:r>
        <w:r>
          <w:tab/>
        </w:r>
        <w:r>
          <w:fldChar w:fldCharType="begin"/>
        </w:r>
        <w:r>
          <w:instrText xml:space="preserve"> PAGEREF _Toc11638 \h </w:instrText>
        </w:r>
        <w:r>
          <w:fldChar w:fldCharType="separate"/>
        </w:r>
        <w:r>
          <w:t>3</w:t>
        </w:r>
        <w:r>
          <w:fldChar w:fldCharType="end"/>
        </w:r>
      </w:hyperlink>
    </w:p>
    <w:p>
      <w:pPr>
        <w:pStyle w:val="TOC2"/>
        <w:tabs>
          <w:tab w:val="right" w:leader="dot" w:pos="8306"/>
        </w:tabs>
      </w:pPr>
      <w:hyperlink w:anchor="_Toc15794" w:history="1">
        <w:r>
          <w:rPr>
            <w:rFonts w:ascii="仿宋" w:eastAsia="仿宋" w:hAnsi="仿宋" w:cs="仿宋" w:hint="eastAsia"/>
            <w:lang w:eastAsia="zh-CN"/>
          </w:rPr>
          <w:t>(二)、遮光剂项目工艺技术设计方案</w:t>
        </w:r>
        <w:r>
          <w:tab/>
        </w:r>
        <w:r>
          <w:fldChar w:fldCharType="begin"/>
        </w:r>
        <w:r>
          <w:instrText xml:space="preserve"> PAGEREF _Toc15794 \h </w:instrText>
        </w:r>
        <w:r>
          <w:fldChar w:fldCharType="separate"/>
        </w:r>
        <w:r>
          <w:t>4</w:t>
        </w:r>
        <w:r>
          <w:fldChar w:fldCharType="end"/>
        </w:r>
      </w:hyperlink>
    </w:p>
    <w:p>
      <w:pPr>
        <w:pStyle w:val="TOC2"/>
        <w:tabs>
          <w:tab w:val="right" w:leader="dot" w:pos="8306"/>
        </w:tabs>
      </w:pPr>
      <w:hyperlink w:anchor="_Toc14713" w:history="1">
        <w:r>
          <w:rPr>
            <w:rFonts w:ascii="仿宋" w:eastAsia="仿宋" w:hAnsi="仿宋" w:cs="仿宋" w:hint="eastAsia"/>
            <w:lang w:eastAsia="zh-CN"/>
          </w:rPr>
          <w:t>(三)、设备选型方案</w:t>
        </w:r>
        <w:r>
          <w:tab/>
        </w:r>
        <w:r>
          <w:fldChar w:fldCharType="begin"/>
        </w:r>
        <w:r>
          <w:instrText xml:space="preserve"> PAGEREF _Toc14713 \h </w:instrText>
        </w:r>
        <w:r>
          <w:fldChar w:fldCharType="separate"/>
        </w:r>
        <w:r>
          <w:t>5</w:t>
        </w:r>
        <w:r>
          <w:fldChar w:fldCharType="end"/>
        </w:r>
      </w:hyperlink>
    </w:p>
    <w:p>
      <w:pPr>
        <w:pStyle w:val="TOC1"/>
        <w:tabs>
          <w:tab w:val="right" w:leader="dot" w:pos="8306"/>
        </w:tabs>
      </w:pPr>
      <w:hyperlink w:anchor="_Toc5090" w:history="1">
        <w:r>
          <w:rPr>
            <w:rFonts w:ascii="仿宋" w:eastAsia="仿宋" w:hAnsi="仿宋" w:cs="仿宋" w:hint="eastAsia"/>
            <w:lang w:eastAsia="zh-CN"/>
          </w:rPr>
          <w:t>二、遮光剂项目选址说明</w:t>
        </w:r>
        <w:r>
          <w:tab/>
        </w:r>
        <w:r>
          <w:fldChar w:fldCharType="begin"/>
        </w:r>
        <w:r>
          <w:instrText xml:space="preserve"> PAGEREF _Toc5090 \h </w:instrText>
        </w:r>
        <w:r>
          <w:fldChar w:fldCharType="separate"/>
        </w:r>
        <w:r>
          <w:t>5</w:t>
        </w:r>
        <w:r>
          <w:fldChar w:fldCharType="end"/>
        </w:r>
      </w:hyperlink>
    </w:p>
    <w:p>
      <w:pPr>
        <w:pStyle w:val="TOC2"/>
        <w:tabs>
          <w:tab w:val="right" w:leader="dot" w:pos="8306"/>
        </w:tabs>
      </w:pPr>
      <w:hyperlink w:anchor="_Toc25050" w:history="1">
        <w:r>
          <w:rPr>
            <w:rFonts w:ascii="仿宋" w:eastAsia="仿宋" w:hAnsi="仿宋" w:cs="仿宋" w:hint="eastAsia"/>
            <w:lang w:eastAsia="zh-CN"/>
          </w:rPr>
          <w:t>(一)、遮光剂项目选址</w:t>
        </w:r>
        <w:r>
          <w:tab/>
        </w:r>
        <w:r>
          <w:fldChar w:fldCharType="begin"/>
        </w:r>
        <w:r>
          <w:instrText xml:space="preserve"> PAGEREF _Toc25050 \h </w:instrText>
        </w:r>
        <w:r>
          <w:fldChar w:fldCharType="separate"/>
        </w:r>
        <w:r>
          <w:t>5</w:t>
        </w:r>
        <w:r>
          <w:fldChar w:fldCharType="end"/>
        </w:r>
      </w:hyperlink>
    </w:p>
    <w:p>
      <w:pPr>
        <w:pStyle w:val="TOC2"/>
        <w:tabs>
          <w:tab w:val="right" w:leader="dot" w:pos="8306"/>
        </w:tabs>
      </w:pPr>
      <w:hyperlink w:anchor="_Toc19719" w:history="1">
        <w:r>
          <w:rPr>
            <w:rFonts w:ascii="仿宋" w:eastAsia="仿宋" w:hAnsi="仿宋" w:cs="仿宋" w:hint="eastAsia"/>
            <w:lang w:eastAsia="zh-CN"/>
          </w:rPr>
          <w:t>(二)、用地控制指标</w:t>
        </w:r>
        <w:r>
          <w:tab/>
        </w:r>
        <w:r>
          <w:fldChar w:fldCharType="begin"/>
        </w:r>
        <w:r>
          <w:instrText xml:space="preserve"> PAGEREF _Toc19719 \h </w:instrText>
        </w:r>
        <w:r>
          <w:fldChar w:fldCharType="separate"/>
        </w:r>
        <w:r>
          <w:t>6</w:t>
        </w:r>
        <w:r>
          <w:fldChar w:fldCharType="end"/>
        </w:r>
      </w:hyperlink>
    </w:p>
    <w:p>
      <w:pPr>
        <w:pStyle w:val="TOC2"/>
        <w:tabs>
          <w:tab w:val="right" w:leader="dot" w:pos="8306"/>
        </w:tabs>
      </w:pPr>
      <w:hyperlink w:anchor="_Toc1584" w:history="1">
        <w:r>
          <w:rPr>
            <w:rFonts w:ascii="仿宋" w:eastAsia="仿宋" w:hAnsi="仿宋" w:cs="仿宋" w:hint="eastAsia"/>
            <w:lang w:eastAsia="zh-CN"/>
          </w:rPr>
          <w:t>(三)、节约用地措施</w:t>
        </w:r>
        <w:r>
          <w:tab/>
        </w:r>
        <w:r>
          <w:fldChar w:fldCharType="begin"/>
        </w:r>
        <w:r>
          <w:instrText xml:space="preserve"> PAGEREF _Toc1584 \h </w:instrText>
        </w:r>
        <w:r>
          <w:fldChar w:fldCharType="separate"/>
        </w:r>
        <w:r>
          <w:t>7</w:t>
        </w:r>
        <w:r>
          <w:fldChar w:fldCharType="end"/>
        </w:r>
      </w:hyperlink>
    </w:p>
    <w:p>
      <w:pPr>
        <w:pStyle w:val="TOC2"/>
        <w:tabs>
          <w:tab w:val="right" w:leader="dot" w:pos="8306"/>
        </w:tabs>
      </w:pPr>
      <w:hyperlink w:anchor="_Toc15575" w:history="1">
        <w:r>
          <w:rPr>
            <w:rFonts w:ascii="仿宋" w:eastAsia="仿宋" w:hAnsi="仿宋" w:cs="仿宋" w:hint="eastAsia"/>
            <w:lang w:eastAsia="zh-CN"/>
          </w:rPr>
          <w:t>(四)、总图布置方案</w:t>
        </w:r>
        <w:r>
          <w:tab/>
        </w:r>
        <w:r>
          <w:fldChar w:fldCharType="begin"/>
        </w:r>
        <w:r>
          <w:instrText xml:space="preserve"> PAGEREF _Toc15575 \h </w:instrText>
        </w:r>
        <w:r>
          <w:fldChar w:fldCharType="separate"/>
        </w:r>
        <w:r>
          <w:t>7</w:t>
        </w:r>
        <w:r>
          <w:fldChar w:fldCharType="end"/>
        </w:r>
      </w:hyperlink>
    </w:p>
    <w:p>
      <w:pPr>
        <w:pStyle w:val="TOC2"/>
        <w:tabs>
          <w:tab w:val="right" w:leader="dot" w:pos="8306"/>
        </w:tabs>
      </w:pPr>
      <w:hyperlink w:anchor="_Toc15336" w:history="1">
        <w:r>
          <w:rPr>
            <w:rFonts w:ascii="仿宋" w:eastAsia="仿宋" w:hAnsi="仿宋" w:cs="仿宋" w:hint="eastAsia"/>
            <w:lang w:eastAsia="zh-CN"/>
          </w:rPr>
          <w:t>(五)、选址综合评价</w:t>
        </w:r>
        <w:r>
          <w:tab/>
        </w:r>
        <w:r>
          <w:fldChar w:fldCharType="begin"/>
        </w:r>
        <w:r>
          <w:instrText xml:space="preserve"> PAGEREF _Toc15336 \h </w:instrText>
        </w:r>
        <w:r>
          <w:fldChar w:fldCharType="separate"/>
        </w:r>
        <w:r>
          <w:t>9</w:t>
        </w:r>
        <w:r>
          <w:fldChar w:fldCharType="end"/>
        </w:r>
      </w:hyperlink>
    </w:p>
    <w:p>
      <w:pPr>
        <w:pStyle w:val="TOC1"/>
        <w:tabs>
          <w:tab w:val="right" w:leader="dot" w:pos="8306"/>
        </w:tabs>
      </w:pPr>
      <w:hyperlink w:anchor="_Toc14678" w:history="1">
        <w:r>
          <w:rPr>
            <w:rFonts w:ascii="仿宋" w:eastAsia="仿宋" w:hAnsi="仿宋" w:cs="仿宋" w:hint="eastAsia"/>
            <w:lang w:eastAsia="zh-CN"/>
          </w:rPr>
          <w:t>三、遮光剂项目环境保护分析</w:t>
        </w:r>
        <w:r>
          <w:tab/>
        </w:r>
        <w:r>
          <w:fldChar w:fldCharType="begin"/>
        </w:r>
        <w:r>
          <w:instrText xml:space="preserve"> PAGEREF _Toc14678 \h </w:instrText>
        </w:r>
        <w:r>
          <w:fldChar w:fldCharType="separate"/>
        </w:r>
        <w:r>
          <w:t>10</w:t>
        </w:r>
        <w:r>
          <w:fldChar w:fldCharType="end"/>
        </w:r>
      </w:hyperlink>
    </w:p>
    <w:p>
      <w:pPr>
        <w:pStyle w:val="TOC2"/>
        <w:tabs>
          <w:tab w:val="right" w:leader="dot" w:pos="8306"/>
        </w:tabs>
      </w:pPr>
      <w:hyperlink w:anchor="_Toc26139" w:history="1">
        <w:r>
          <w:rPr>
            <w:rFonts w:ascii="仿宋" w:eastAsia="仿宋" w:hAnsi="仿宋" w:cs="仿宋" w:hint="eastAsia"/>
            <w:lang w:eastAsia="zh-CN"/>
          </w:rPr>
          <w:t>(一)、建设区域环境质量现状</w:t>
        </w:r>
        <w:r>
          <w:tab/>
        </w:r>
        <w:r>
          <w:fldChar w:fldCharType="begin"/>
        </w:r>
        <w:r>
          <w:instrText xml:space="preserve"> PAGEREF _Toc26139 \h </w:instrText>
        </w:r>
        <w:r>
          <w:fldChar w:fldCharType="separate"/>
        </w:r>
        <w:r>
          <w:t>10</w:t>
        </w:r>
        <w:r>
          <w:fldChar w:fldCharType="end"/>
        </w:r>
      </w:hyperlink>
    </w:p>
    <w:p>
      <w:pPr>
        <w:pStyle w:val="TOC2"/>
        <w:tabs>
          <w:tab w:val="right" w:leader="dot" w:pos="8306"/>
        </w:tabs>
      </w:pPr>
      <w:hyperlink w:anchor="_Toc29137" w:history="1">
        <w:r>
          <w:rPr>
            <w:rFonts w:ascii="仿宋" w:eastAsia="仿宋" w:hAnsi="仿宋" w:cs="仿宋" w:hint="eastAsia"/>
            <w:lang w:eastAsia="zh-CN"/>
          </w:rPr>
          <w:t>(二)、建设期环境保护</w:t>
        </w:r>
        <w:r>
          <w:tab/>
        </w:r>
        <w:r>
          <w:fldChar w:fldCharType="begin"/>
        </w:r>
        <w:r>
          <w:instrText xml:space="preserve"> PAGEREF _Toc29137 \h </w:instrText>
        </w:r>
        <w:r>
          <w:fldChar w:fldCharType="separate"/>
        </w:r>
        <w:r>
          <w:t>11</w:t>
        </w:r>
        <w:r>
          <w:fldChar w:fldCharType="end"/>
        </w:r>
      </w:hyperlink>
    </w:p>
    <w:p>
      <w:pPr>
        <w:pStyle w:val="TOC2"/>
        <w:tabs>
          <w:tab w:val="right" w:leader="dot" w:pos="8306"/>
        </w:tabs>
      </w:pPr>
      <w:hyperlink w:anchor="_Toc21777" w:history="1">
        <w:r>
          <w:rPr>
            <w:rFonts w:ascii="仿宋" w:eastAsia="仿宋" w:hAnsi="仿宋" w:cs="仿宋" w:hint="eastAsia"/>
            <w:lang w:eastAsia="zh-CN"/>
          </w:rPr>
          <w:t>(三)、运营期环境保护</w:t>
        </w:r>
        <w:r>
          <w:tab/>
        </w:r>
        <w:r>
          <w:fldChar w:fldCharType="begin"/>
        </w:r>
        <w:r>
          <w:instrText xml:space="preserve"> PAGEREF _Toc21777 \h </w:instrText>
        </w:r>
        <w:r>
          <w:fldChar w:fldCharType="separate"/>
        </w:r>
        <w:r>
          <w:t>12</w:t>
        </w:r>
        <w:r>
          <w:fldChar w:fldCharType="end"/>
        </w:r>
      </w:hyperlink>
    </w:p>
    <w:p>
      <w:pPr>
        <w:pStyle w:val="TOC2"/>
        <w:tabs>
          <w:tab w:val="right" w:leader="dot" w:pos="8306"/>
        </w:tabs>
      </w:pPr>
      <w:hyperlink w:anchor="_Toc8922" w:history="1">
        <w:r>
          <w:rPr>
            <w:rFonts w:ascii="仿宋" w:eastAsia="仿宋" w:hAnsi="仿宋" w:cs="仿宋" w:hint="eastAsia"/>
            <w:lang w:eastAsia="zh-CN"/>
          </w:rPr>
          <w:t>(四)、遮光剂项目建设对区域经济的影响</w:t>
        </w:r>
        <w:r>
          <w:tab/>
        </w:r>
        <w:r>
          <w:fldChar w:fldCharType="begin"/>
        </w:r>
        <w:r>
          <w:instrText xml:space="preserve"> PAGEREF _Toc8922 \h </w:instrText>
        </w:r>
        <w:r>
          <w:fldChar w:fldCharType="separate"/>
        </w:r>
        <w:r>
          <w:t>13</w:t>
        </w:r>
        <w:r>
          <w:fldChar w:fldCharType="end"/>
        </w:r>
      </w:hyperlink>
    </w:p>
    <w:p>
      <w:pPr>
        <w:pStyle w:val="TOC2"/>
        <w:tabs>
          <w:tab w:val="right" w:leader="dot" w:pos="8306"/>
        </w:tabs>
      </w:pPr>
      <w:hyperlink w:anchor="_Toc29401" w:history="1">
        <w:r>
          <w:rPr>
            <w:rFonts w:ascii="仿宋" w:eastAsia="仿宋" w:hAnsi="仿宋" w:cs="仿宋" w:hint="eastAsia"/>
            <w:lang w:eastAsia="zh-CN"/>
          </w:rPr>
          <w:t>(五)、废弃物处理</w:t>
        </w:r>
        <w:r>
          <w:tab/>
        </w:r>
        <w:r>
          <w:fldChar w:fldCharType="begin"/>
        </w:r>
        <w:r>
          <w:instrText xml:space="preserve"> PAGEREF _Toc29401 \h </w:instrText>
        </w:r>
        <w:r>
          <w:fldChar w:fldCharType="separate"/>
        </w:r>
        <w:r>
          <w:t>15</w:t>
        </w:r>
        <w:r>
          <w:fldChar w:fldCharType="end"/>
        </w:r>
      </w:hyperlink>
    </w:p>
    <w:p>
      <w:pPr>
        <w:pStyle w:val="TOC2"/>
        <w:tabs>
          <w:tab w:val="right" w:leader="dot" w:pos="8306"/>
        </w:tabs>
      </w:pPr>
      <w:hyperlink w:anchor="_Toc14077" w:history="1">
        <w:r>
          <w:rPr>
            <w:rFonts w:ascii="仿宋" w:eastAsia="仿宋" w:hAnsi="仿宋" w:cs="仿宋" w:hint="eastAsia"/>
            <w:lang w:eastAsia="zh-CN"/>
          </w:rPr>
          <w:t>(六)、特殊环境影响分析</w:t>
        </w:r>
        <w:r>
          <w:tab/>
        </w:r>
        <w:r>
          <w:fldChar w:fldCharType="begin"/>
        </w:r>
        <w:r>
          <w:instrText xml:space="preserve"> PAGEREF _Toc14077 \h </w:instrText>
        </w:r>
        <w:r>
          <w:fldChar w:fldCharType="separate"/>
        </w:r>
        <w:r>
          <w:t>16</w:t>
        </w:r>
        <w:r>
          <w:fldChar w:fldCharType="end"/>
        </w:r>
      </w:hyperlink>
    </w:p>
    <w:p>
      <w:pPr>
        <w:pStyle w:val="TOC2"/>
        <w:tabs>
          <w:tab w:val="right" w:leader="dot" w:pos="8306"/>
        </w:tabs>
      </w:pPr>
      <w:hyperlink w:anchor="_Toc28061" w:history="1">
        <w:r>
          <w:rPr>
            <w:rFonts w:ascii="仿宋" w:eastAsia="仿宋" w:hAnsi="仿宋" w:cs="仿宋" w:hint="eastAsia"/>
            <w:lang w:eastAsia="zh-CN"/>
          </w:rPr>
          <w:t>(七)、清洁生产</w:t>
        </w:r>
        <w:r>
          <w:tab/>
        </w:r>
        <w:r>
          <w:fldChar w:fldCharType="begin"/>
        </w:r>
        <w:r>
          <w:instrText xml:space="preserve"> PAGEREF _Toc28061 \h </w:instrText>
        </w:r>
        <w:r>
          <w:fldChar w:fldCharType="separate"/>
        </w:r>
        <w:r>
          <w:t>18</w:t>
        </w:r>
        <w:r>
          <w:fldChar w:fldCharType="end"/>
        </w:r>
      </w:hyperlink>
    </w:p>
    <w:p>
      <w:pPr>
        <w:pStyle w:val="TOC2"/>
        <w:tabs>
          <w:tab w:val="right" w:leader="dot" w:pos="8306"/>
        </w:tabs>
      </w:pPr>
      <w:hyperlink w:anchor="_Toc8774" w:history="1">
        <w:r>
          <w:rPr>
            <w:rFonts w:ascii="仿宋" w:eastAsia="仿宋" w:hAnsi="仿宋" w:cs="仿宋" w:hint="eastAsia"/>
            <w:lang w:eastAsia="zh-CN"/>
          </w:rPr>
          <w:t>(八)、环境保护综合评价</w:t>
        </w:r>
        <w:r>
          <w:tab/>
        </w:r>
        <w:r>
          <w:fldChar w:fldCharType="begin"/>
        </w:r>
        <w:r>
          <w:instrText xml:space="preserve"> PAGEREF _Toc8774 \h </w:instrText>
        </w:r>
        <w:r>
          <w:fldChar w:fldCharType="separate"/>
        </w:r>
        <w:r>
          <w:t>19</w:t>
        </w:r>
        <w:r>
          <w:fldChar w:fldCharType="end"/>
        </w:r>
      </w:hyperlink>
    </w:p>
    <w:p>
      <w:pPr>
        <w:pStyle w:val="TOC1"/>
        <w:tabs>
          <w:tab w:val="right" w:leader="dot" w:pos="8306"/>
        </w:tabs>
      </w:pPr>
      <w:hyperlink w:anchor="_Toc5533" w:history="1">
        <w:r>
          <w:rPr>
            <w:rFonts w:ascii="仿宋" w:eastAsia="仿宋" w:hAnsi="仿宋" w:cs="仿宋" w:hint="eastAsia"/>
            <w:lang w:eastAsia="zh-CN"/>
          </w:rPr>
          <w:t>四、土建工程设计</w:t>
        </w:r>
        <w:r>
          <w:tab/>
        </w:r>
        <w:r>
          <w:fldChar w:fldCharType="begin"/>
        </w:r>
        <w:r>
          <w:instrText xml:space="preserve"> PAGEREF _Toc5533 \h </w:instrText>
        </w:r>
        <w:r>
          <w:fldChar w:fldCharType="separate"/>
        </w:r>
        <w:r>
          <w:t>21</w:t>
        </w:r>
        <w:r>
          <w:fldChar w:fldCharType="end"/>
        </w:r>
      </w:hyperlink>
    </w:p>
    <w:p>
      <w:pPr>
        <w:pStyle w:val="TOC2"/>
        <w:tabs>
          <w:tab w:val="right" w:leader="dot" w:pos="8306"/>
        </w:tabs>
      </w:pPr>
      <w:hyperlink w:anchor="_Toc30419" w:history="1">
        <w:r>
          <w:rPr>
            <w:rFonts w:ascii="仿宋" w:eastAsia="仿宋" w:hAnsi="仿宋" w:cs="仿宋" w:hint="eastAsia"/>
            <w:lang w:eastAsia="zh-CN"/>
          </w:rPr>
          <w:t>(一)、建筑工程设计原则</w:t>
        </w:r>
        <w:r>
          <w:tab/>
        </w:r>
        <w:r>
          <w:fldChar w:fldCharType="begin"/>
        </w:r>
        <w:r>
          <w:instrText xml:space="preserve"> PAGEREF _Toc30419 \h </w:instrText>
        </w:r>
        <w:r>
          <w:fldChar w:fldCharType="separate"/>
        </w:r>
        <w:r>
          <w:t>21</w:t>
        </w:r>
        <w:r>
          <w:fldChar w:fldCharType="end"/>
        </w:r>
      </w:hyperlink>
    </w:p>
    <w:p>
      <w:pPr>
        <w:pStyle w:val="TOC2"/>
        <w:tabs>
          <w:tab w:val="right" w:leader="dot" w:pos="8306"/>
        </w:tabs>
      </w:pPr>
      <w:hyperlink w:anchor="_Toc5106" w:history="1">
        <w:r>
          <w:rPr>
            <w:rFonts w:ascii="仿宋" w:eastAsia="仿宋" w:hAnsi="仿宋" w:cs="仿宋" w:hint="eastAsia"/>
            <w:lang w:eastAsia="zh-CN"/>
          </w:rPr>
          <w:t>(二)、土建工程设计年限及安全等级</w:t>
        </w:r>
        <w:r>
          <w:tab/>
        </w:r>
        <w:r>
          <w:fldChar w:fldCharType="begin"/>
        </w:r>
        <w:r>
          <w:instrText xml:space="preserve"> PAGEREF _Toc5106 \h </w:instrText>
        </w:r>
        <w:r>
          <w:fldChar w:fldCharType="separate"/>
        </w:r>
        <w:r>
          <w:t>22</w:t>
        </w:r>
        <w:r>
          <w:fldChar w:fldCharType="end"/>
        </w:r>
      </w:hyperlink>
    </w:p>
    <w:p>
      <w:pPr>
        <w:pStyle w:val="TOC2"/>
        <w:tabs>
          <w:tab w:val="right" w:leader="dot" w:pos="8306"/>
        </w:tabs>
      </w:pPr>
      <w:hyperlink w:anchor="_Toc25343" w:history="1">
        <w:r>
          <w:rPr>
            <w:rFonts w:ascii="仿宋" w:eastAsia="仿宋" w:hAnsi="仿宋" w:cs="仿宋" w:hint="eastAsia"/>
            <w:lang w:eastAsia="zh-CN"/>
          </w:rPr>
          <w:t>(三)、建筑工程设计总体要求</w:t>
        </w:r>
        <w:r>
          <w:tab/>
        </w:r>
        <w:r>
          <w:fldChar w:fldCharType="begin"/>
        </w:r>
        <w:r>
          <w:instrText xml:space="preserve"> PAGEREF _Toc25343 \h </w:instrText>
        </w:r>
        <w:r>
          <w:fldChar w:fldCharType="separate"/>
        </w:r>
        <w:r>
          <w:t>24</w:t>
        </w:r>
        <w:r>
          <w:fldChar w:fldCharType="end"/>
        </w:r>
      </w:hyperlink>
    </w:p>
    <w:p>
      <w:pPr>
        <w:pStyle w:val="TOC2"/>
        <w:tabs>
          <w:tab w:val="right" w:leader="dot" w:pos="8306"/>
        </w:tabs>
      </w:pPr>
      <w:hyperlink w:anchor="_Toc2190" w:history="1">
        <w:r>
          <w:rPr>
            <w:rFonts w:ascii="仿宋" w:eastAsia="仿宋" w:hAnsi="仿宋" w:cs="仿宋" w:hint="eastAsia"/>
            <w:lang w:eastAsia="zh-CN"/>
          </w:rPr>
          <w:t>(四)、土建工程建设指标</w:t>
        </w:r>
        <w:r>
          <w:tab/>
        </w:r>
        <w:r>
          <w:fldChar w:fldCharType="begin"/>
        </w:r>
        <w:r>
          <w:instrText xml:space="preserve"> PAGEREF _Toc2190 \h </w:instrText>
        </w:r>
        <w:r>
          <w:fldChar w:fldCharType="separate"/>
        </w:r>
        <w:r>
          <w:t>25</w:t>
        </w:r>
        <w:r>
          <w:fldChar w:fldCharType="end"/>
        </w:r>
      </w:hyperlink>
    </w:p>
    <w:p>
      <w:pPr>
        <w:pStyle w:val="TOC1"/>
        <w:tabs>
          <w:tab w:val="right" w:leader="dot" w:pos="8306"/>
        </w:tabs>
      </w:pPr>
      <w:hyperlink w:anchor="_Toc3566" w:history="1">
        <w:r>
          <w:rPr>
            <w:rFonts w:ascii="仿宋" w:eastAsia="仿宋" w:hAnsi="仿宋" w:cs="仿宋" w:hint="eastAsia"/>
            <w:lang w:eastAsia="zh-CN"/>
          </w:rPr>
          <w:t>五、员工福利与企业文化</w:t>
        </w:r>
        <w:r>
          <w:tab/>
        </w:r>
        <w:r>
          <w:fldChar w:fldCharType="begin"/>
        </w:r>
        <w:r>
          <w:instrText xml:space="preserve"> PAGEREF _Toc3566 \h </w:instrText>
        </w:r>
        <w:r>
          <w:fldChar w:fldCharType="separate"/>
        </w:r>
        <w:r>
          <w:t>28</w:t>
        </w:r>
        <w:r>
          <w:fldChar w:fldCharType="end"/>
        </w:r>
      </w:hyperlink>
    </w:p>
    <w:p>
      <w:pPr>
        <w:pStyle w:val="TOC2"/>
        <w:tabs>
          <w:tab w:val="right" w:leader="dot" w:pos="8306"/>
        </w:tabs>
      </w:pPr>
      <w:hyperlink w:anchor="_Toc20755" w:history="1">
        <w:r>
          <w:rPr>
            <w:rFonts w:ascii="仿宋" w:eastAsia="仿宋" w:hAnsi="仿宋" w:cs="仿宋" w:hint="eastAsia"/>
            <w:lang w:eastAsia="zh-CN"/>
          </w:rPr>
          <w:t>(一)、员工福利政策</w:t>
        </w:r>
        <w:r>
          <w:tab/>
        </w:r>
        <w:r>
          <w:fldChar w:fldCharType="begin"/>
        </w:r>
        <w:r>
          <w:instrText xml:space="preserve"> PAGEREF _Toc20755 \h </w:instrText>
        </w:r>
        <w:r>
          <w:fldChar w:fldCharType="separate"/>
        </w:r>
        <w:r>
          <w:t>28</w:t>
        </w:r>
        <w:r>
          <w:fldChar w:fldCharType="end"/>
        </w:r>
      </w:hyperlink>
    </w:p>
    <w:p>
      <w:pPr>
        <w:pStyle w:val="TOC2"/>
        <w:tabs>
          <w:tab w:val="right" w:leader="dot" w:pos="8306"/>
        </w:tabs>
      </w:pPr>
      <w:hyperlink w:anchor="_Toc11656" w:history="1">
        <w:r>
          <w:rPr>
            <w:rFonts w:ascii="仿宋" w:eastAsia="仿宋" w:hAnsi="仿宋" w:cs="仿宋" w:hint="eastAsia"/>
            <w:lang w:eastAsia="zh-CN"/>
          </w:rPr>
          <w:t>(二)、团队建设与员工培训</w:t>
        </w:r>
        <w:r>
          <w:tab/>
        </w:r>
        <w:r>
          <w:fldChar w:fldCharType="begin"/>
        </w:r>
        <w:r>
          <w:instrText xml:space="preserve"> PAGEREF _Toc11656 \h </w:instrText>
        </w:r>
        <w:r>
          <w:fldChar w:fldCharType="separate"/>
        </w:r>
        <w:r>
          <w:t>29</w:t>
        </w:r>
        <w:r>
          <w:fldChar w:fldCharType="end"/>
        </w:r>
      </w:hyperlink>
    </w:p>
    <w:p>
      <w:pPr>
        <w:pStyle w:val="TOC2"/>
        <w:tabs>
          <w:tab w:val="right" w:leader="dot" w:pos="8306"/>
        </w:tabs>
      </w:pPr>
      <w:hyperlink w:anchor="_Toc1902" w:history="1">
        <w:r>
          <w:rPr>
            <w:rFonts w:ascii="仿宋" w:eastAsia="仿宋" w:hAnsi="仿宋" w:cs="仿宋" w:hint="eastAsia"/>
            <w:lang w:eastAsia="zh-CN"/>
          </w:rPr>
          <w:t>(三)、企业文化建设</w:t>
        </w:r>
        <w:r>
          <w:tab/>
        </w:r>
        <w:r>
          <w:fldChar w:fldCharType="begin"/>
        </w:r>
        <w:r>
          <w:instrText xml:space="preserve"> PAGEREF _Toc1902 \h </w:instrText>
        </w:r>
        <w:r>
          <w:fldChar w:fldCharType="separate"/>
        </w:r>
        <w:r>
          <w:t>31</w:t>
        </w:r>
        <w:r>
          <w:fldChar w:fldCharType="end"/>
        </w:r>
      </w:hyperlink>
    </w:p>
    <w:p>
      <w:pPr>
        <w:pStyle w:val="TOC2"/>
        <w:tabs>
          <w:tab w:val="right" w:leader="dot" w:pos="8306"/>
        </w:tabs>
      </w:pPr>
      <w:hyperlink w:anchor="_Toc18715" w:history="1">
        <w:r>
          <w:rPr>
            <w:rFonts w:ascii="仿宋" w:eastAsia="仿宋" w:hAnsi="仿宋" w:cs="仿宋" w:hint="eastAsia"/>
            <w:lang w:eastAsia="zh-CN"/>
          </w:rPr>
          <w:t>(四)、员工健康与工作平衡</w:t>
        </w:r>
        <w:r>
          <w:tab/>
        </w:r>
        <w:r>
          <w:fldChar w:fldCharType="begin"/>
        </w:r>
        <w:r>
          <w:instrText xml:space="preserve"> PAGEREF _Toc18715 \h </w:instrText>
        </w:r>
        <w:r>
          <w:fldChar w:fldCharType="separate"/>
        </w:r>
        <w:r>
          <w:t>33</w:t>
        </w:r>
        <w:r>
          <w:fldChar w:fldCharType="end"/>
        </w:r>
      </w:hyperlink>
    </w:p>
    <w:p>
      <w:pPr>
        <w:pStyle w:val="TOC1"/>
        <w:tabs>
          <w:tab w:val="right" w:leader="dot" w:pos="8306"/>
        </w:tabs>
      </w:pPr>
      <w:hyperlink w:anchor="_Toc32359" w:history="1">
        <w:r>
          <w:rPr>
            <w:rFonts w:ascii="仿宋" w:eastAsia="仿宋" w:hAnsi="仿宋" w:cs="仿宋" w:hint="eastAsia"/>
            <w:lang w:eastAsia="zh-CN"/>
          </w:rPr>
          <w:t>六、遮光剂项目实施进度计划</w:t>
        </w:r>
        <w:r>
          <w:tab/>
        </w:r>
        <w:r>
          <w:fldChar w:fldCharType="begin"/>
        </w:r>
        <w:r>
          <w:instrText xml:space="preserve"> PAGEREF _Toc32359 \h </w:instrText>
        </w:r>
        <w:r>
          <w:fldChar w:fldCharType="separate"/>
        </w:r>
        <w:r>
          <w:t>34</w:t>
        </w:r>
        <w:r>
          <w:fldChar w:fldCharType="end"/>
        </w:r>
      </w:hyperlink>
    </w:p>
    <w:p>
      <w:pPr>
        <w:pStyle w:val="TOC2"/>
        <w:tabs>
          <w:tab w:val="right" w:leader="dot" w:pos="8306"/>
        </w:tabs>
      </w:pPr>
      <w:hyperlink w:anchor="_Toc30269" w:history="1">
        <w:r>
          <w:rPr>
            <w:rFonts w:ascii="仿宋" w:eastAsia="仿宋" w:hAnsi="仿宋" w:cs="仿宋" w:hint="eastAsia"/>
            <w:lang w:eastAsia="zh-CN"/>
          </w:rPr>
          <w:t>(一)、建设周期</w:t>
        </w:r>
        <w:r>
          <w:tab/>
        </w:r>
        <w:r>
          <w:fldChar w:fldCharType="begin"/>
        </w:r>
        <w:r>
          <w:instrText xml:space="preserve"> PAGEREF _Toc30269 \h </w:instrText>
        </w:r>
        <w:r>
          <w:fldChar w:fldCharType="separate"/>
        </w:r>
        <w:r>
          <w:t>34</w:t>
        </w:r>
        <w:r>
          <w:fldChar w:fldCharType="end"/>
        </w:r>
      </w:hyperlink>
    </w:p>
    <w:p>
      <w:pPr>
        <w:pStyle w:val="TOC2"/>
        <w:tabs>
          <w:tab w:val="right" w:leader="dot" w:pos="8306"/>
        </w:tabs>
      </w:pPr>
      <w:hyperlink w:anchor="_Toc29562" w:history="1">
        <w:r>
          <w:rPr>
            <w:rFonts w:ascii="仿宋" w:eastAsia="仿宋" w:hAnsi="仿宋" w:cs="仿宋" w:hint="eastAsia"/>
            <w:lang w:eastAsia="zh-CN"/>
          </w:rPr>
          <w:t>(二)、建设进度</w:t>
        </w:r>
        <w:r>
          <w:tab/>
        </w:r>
        <w:r>
          <w:fldChar w:fldCharType="begin"/>
        </w:r>
        <w:r>
          <w:instrText xml:space="preserve"> PAGEREF _Toc29562 \h </w:instrText>
        </w:r>
        <w:r>
          <w:fldChar w:fldCharType="separate"/>
        </w:r>
        <w:r>
          <w:t>36</w:t>
        </w:r>
        <w:r>
          <w:fldChar w:fldCharType="end"/>
        </w:r>
      </w:hyperlink>
    </w:p>
    <w:p>
      <w:pPr>
        <w:pStyle w:val="TOC2"/>
        <w:tabs>
          <w:tab w:val="right" w:leader="dot" w:pos="8306"/>
        </w:tabs>
      </w:pPr>
      <w:hyperlink w:anchor="_Toc2480" w:history="1">
        <w:r>
          <w:rPr>
            <w:rFonts w:ascii="仿宋" w:eastAsia="仿宋" w:hAnsi="仿宋" w:cs="仿宋" w:hint="eastAsia"/>
            <w:lang w:eastAsia="zh-CN"/>
          </w:rPr>
          <w:t>(三)、进度安排注意事项</w:t>
        </w:r>
        <w:r>
          <w:tab/>
        </w:r>
        <w:r>
          <w:fldChar w:fldCharType="begin"/>
        </w:r>
        <w:r>
          <w:instrText xml:space="preserve"> PAGEREF _Toc2480 \h </w:instrText>
        </w:r>
        <w:r>
          <w:fldChar w:fldCharType="separate"/>
        </w:r>
        <w:r>
          <w:t>37</w:t>
        </w:r>
        <w:r>
          <w:fldChar w:fldCharType="end"/>
        </w:r>
      </w:hyperlink>
    </w:p>
    <w:p>
      <w:pPr>
        <w:pStyle w:val="TOC2"/>
        <w:tabs>
          <w:tab w:val="right" w:leader="dot" w:pos="8306"/>
        </w:tabs>
      </w:pPr>
      <w:hyperlink w:anchor="_Toc10428" w:history="1">
        <w:r>
          <w:rPr>
            <w:rFonts w:ascii="仿宋" w:eastAsia="仿宋" w:hAnsi="仿宋" w:cs="仿宋" w:hint="eastAsia"/>
            <w:lang w:eastAsia="zh-CN"/>
          </w:rPr>
          <w:t>(四)、人力资源配置</w:t>
        </w:r>
        <w:r>
          <w:tab/>
        </w:r>
        <w:r>
          <w:fldChar w:fldCharType="begin"/>
        </w:r>
        <w:r>
          <w:instrText xml:space="preserve"> PAGEREF _Toc10428 \h </w:instrText>
        </w:r>
        <w:r>
          <w:fldChar w:fldCharType="separate"/>
        </w:r>
        <w:r>
          <w:t>39</w:t>
        </w:r>
        <w:r>
          <w:fldChar w:fldCharType="end"/>
        </w:r>
      </w:hyperlink>
    </w:p>
    <w:p>
      <w:pPr>
        <w:pStyle w:val="TOC2"/>
        <w:tabs>
          <w:tab w:val="right" w:leader="dot" w:pos="8306"/>
        </w:tabs>
      </w:pPr>
      <w:hyperlink w:anchor="_Toc17477" w:history="1">
        <w:r>
          <w:rPr>
            <w:rFonts w:ascii="仿宋" w:eastAsia="仿宋" w:hAnsi="仿宋" w:cs="仿宋" w:hint="eastAsia"/>
            <w:lang w:eastAsia="zh-CN"/>
          </w:rPr>
          <w:t>(五)、员工培训</w:t>
        </w:r>
        <w:r>
          <w:tab/>
        </w:r>
        <w:r>
          <w:fldChar w:fldCharType="begin"/>
        </w:r>
        <w:r>
          <w:instrText xml:space="preserve"> PAGEREF _Toc17477 \h </w:instrText>
        </w:r>
        <w:r>
          <w:fldChar w:fldCharType="separate"/>
        </w:r>
        <w:r>
          <w:t>40</w:t>
        </w:r>
        <w:r>
          <w:fldChar w:fldCharType="end"/>
        </w:r>
      </w:hyperlink>
    </w:p>
    <w:p>
      <w:pPr>
        <w:pStyle w:val="TOC2"/>
        <w:tabs>
          <w:tab w:val="right" w:leader="dot" w:pos="8306"/>
        </w:tabs>
      </w:pPr>
      <w:hyperlink w:anchor="_Toc28306" w:history="1">
        <w:r>
          <w:rPr>
            <w:rFonts w:ascii="仿宋" w:eastAsia="仿宋" w:hAnsi="仿宋" w:cs="仿宋" w:hint="eastAsia"/>
            <w:lang w:eastAsia="zh-CN"/>
          </w:rPr>
          <w:t>(六)、遮光剂项目实施保障</w:t>
        </w:r>
        <w:r>
          <w:tab/>
        </w:r>
        <w:r>
          <w:fldChar w:fldCharType="begin"/>
        </w:r>
        <w:r>
          <w:instrText xml:space="preserve"> PAGEREF _Toc28306 \h </w:instrText>
        </w:r>
        <w:r>
          <w:fldChar w:fldCharType="separate"/>
        </w:r>
        <w:r>
          <w:t>41</w:t>
        </w:r>
        <w:r>
          <w:fldChar w:fldCharType="end"/>
        </w:r>
      </w:hyperlink>
    </w:p>
    <w:p>
      <w:pPr>
        <w:pStyle w:val="TOC1"/>
        <w:tabs>
          <w:tab w:val="right" w:leader="dot" w:pos="8306"/>
        </w:tabs>
      </w:pPr>
      <w:hyperlink w:anchor="_Toc1055" w:history="1">
        <w:r>
          <w:rPr>
            <w:rFonts w:ascii="仿宋" w:eastAsia="仿宋" w:hAnsi="仿宋" w:cs="仿宋" w:hint="eastAsia"/>
            <w:lang w:eastAsia="zh-CN"/>
          </w:rPr>
          <w:t>七、知识管理与技术创新</w:t>
        </w:r>
        <w:r>
          <w:tab/>
        </w:r>
        <w:r>
          <w:fldChar w:fldCharType="begin"/>
        </w:r>
        <w:r>
          <w:instrText xml:space="preserve"> PAGEREF _Toc1055 \h </w:instrText>
        </w:r>
        <w:r>
          <w:fldChar w:fldCharType="separate"/>
        </w:r>
        <w:r>
          <w:t>43</w:t>
        </w:r>
        <w:r>
          <w:fldChar w:fldCharType="end"/>
        </w:r>
      </w:hyperlink>
    </w:p>
    <w:p>
      <w:pPr>
        <w:pStyle w:val="TOC2"/>
        <w:tabs>
          <w:tab w:val="right" w:leader="dot" w:pos="8306"/>
        </w:tabs>
      </w:pPr>
      <w:hyperlink w:anchor="_Toc9355" w:history="1">
        <w:r>
          <w:rPr>
            <w:rFonts w:ascii="仿宋" w:eastAsia="仿宋" w:hAnsi="仿宋" w:cs="仿宋" w:hint="eastAsia"/>
            <w:lang w:eastAsia="zh-CN"/>
          </w:rPr>
          <w:t>(一)、知识管理体系建设</w:t>
        </w:r>
        <w:r>
          <w:tab/>
        </w:r>
        <w:r>
          <w:fldChar w:fldCharType="begin"/>
        </w:r>
        <w:r>
          <w:instrText xml:space="preserve"> PAGEREF _Toc9355 \h </w:instrText>
        </w:r>
        <w:r>
          <w:fldChar w:fldCharType="separate"/>
        </w:r>
        <w:r>
          <w:t>43</w:t>
        </w:r>
        <w:r>
          <w:fldChar w:fldCharType="end"/>
        </w:r>
      </w:hyperlink>
    </w:p>
    <w:p>
      <w:pPr>
        <w:pStyle w:val="TOC2"/>
        <w:tabs>
          <w:tab w:val="right" w:leader="dot" w:pos="8306"/>
        </w:tabs>
      </w:pPr>
      <w:hyperlink w:anchor="_Toc1218" w:history="1">
        <w:r>
          <w:rPr>
            <w:rFonts w:ascii="仿宋" w:eastAsia="仿宋" w:hAnsi="仿宋" w:cs="仿宋" w:hint="eastAsia"/>
            <w:lang w:eastAsia="zh-CN"/>
          </w:rPr>
          <w:t>(二)、技术创新与研发投入</w:t>
        </w:r>
        <w:r>
          <w:tab/>
        </w:r>
        <w:r>
          <w:fldChar w:fldCharType="begin"/>
        </w:r>
        <w:r>
          <w:instrText xml:space="preserve"> PAGEREF _Toc1218 \h </w:instrText>
        </w:r>
        <w:r>
          <w:fldChar w:fldCharType="separate"/>
        </w:r>
        <w:r>
          <w:t>45</w:t>
        </w:r>
        <w:r>
          <w:fldChar w:fldCharType="end"/>
        </w:r>
      </w:hyperlink>
    </w:p>
    <w:p>
      <w:pPr>
        <w:pStyle w:val="TOC2"/>
        <w:tabs>
          <w:tab w:val="right" w:leader="dot" w:pos="8306"/>
        </w:tabs>
      </w:pPr>
      <w:hyperlink w:anchor="_Toc12698" w:history="1">
        <w:r>
          <w:rPr>
            <w:rFonts w:ascii="仿宋" w:eastAsia="仿宋" w:hAnsi="仿宋" w:cs="仿宋" w:hint="eastAsia"/>
            <w:lang w:eastAsia="zh-CN"/>
          </w:rPr>
          <w:t>(三)、专利申请与技术保护</w:t>
        </w:r>
        <w:r>
          <w:tab/>
        </w:r>
        <w:r>
          <w:fldChar w:fldCharType="begin"/>
        </w:r>
        <w:r>
          <w:instrText xml:space="preserve"> PAGEREF _Toc12698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58" w:history="1">
        <w:r>
          <w:rPr>
            <w:rFonts w:ascii="仿宋" w:eastAsia="仿宋" w:hAnsi="仿宋" w:cs="仿宋" w:hint="eastAsia"/>
            <w:lang w:eastAsia="zh-CN"/>
          </w:rPr>
          <w:t>(四)、人才培养与团队建设</w:t>
        </w:r>
        <w:r>
          <w:tab/>
        </w:r>
        <w:r>
          <w:fldChar w:fldCharType="begin"/>
        </w:r>
        <w:r>
          <w:instrText xml:space="preserve"> PAGEREF _Toc19658 \h </w:instrText>
        </w:r>
        <w:r>
          <w:fldChar w:fldCharType="separate"/>
        </w:r>
        <w:r>
          <w:t>49</w:t>
        </w:r>
        <w:r>
          <w:fldChar w:fldCharType="end"/>
        </w:r>
      </w:hyperlink>
    </w:p>
    <w:p>
      <w:pPr>
        <w:pStyle w:val="TOC1"/>
        <w:tabs>
          <w:tab w:val="right" w:leader="dot" w:pos="8306"/>
        </w:tabs>
      </w:pPr>
      <w:hyperlink w:anchor="_Toc14205" w:history="1">
        <w:r>
          <w:rPr>
            <w:rFonts w:ascii="仿宋" w:eastAsia="仿宋" w:hAnsi="仿宋" w:cs="仿宋" w:hint="eastAsia"/>
            <w:lang w:eastAsia="zh-CN"/>
          </w:rPr>
          <w:t>八、遮光剂项目投资可行性分析</w:t>
        </w:r>
        <w:r>
          <w:tab/>
        </w:r>
        <w:r>
          <w:fldChar w:fldCharType="begin"/>
        </w:r>
        <w:r>
          <w:instrText xml:space="preserve"> PAGEREF _Toc14205 \h </w:instrText>
        </w:r>
        <w:r>
          <w:fldChar w:fldCharType="separate"/>
        </w:r>
        <w:r>
          <w:t>51</w:t>
        </w:r>
        <w:r>
          <w:fldChar w:fldCharType="end"/>
        </w:r>
      </w:hyperlink>
    </w:p>
    <w:p>
      <w:pPr>
        <w:pStyle w:val="TOC2"/>
        <w:tabs>
          <w:tab w:val="right" w:leader="dot" w:pos="8306"/>
        </w:tabs>
      </w:pPr>
      <w:hyperlink w:anchor="_Toc7754" w:history="1">
        <w:r>
          <w:rPr>
            <w:rFonts w:ascii="仿宋" w:eastAsia="仿宋" w:hAnsi="仿宋" w:cs="仿宋" w:hint="eastAsia"/>
            <w:lang w:eastAsia="zh-CN"/>
          </w:rPr>
          <w:t>(一)、遮光剂项目估算说明</w:t>
        </w:r>
        <w:r>
          <w:tab/>
        </w:r>
        <w:r>
          <w:fldChar w:fldCharType="begin"/>
        </w:r>
        <w:r>
          <w:instrText xml:space="preserve"> PAGEREF _Toc7754 \h </w:instrText>
        </w:r>
        <w:r>
          <w:fldChar w:fldCharType="separate"/>
        </w:r>
        <w:r>
          <w:t>51</w:t>
        </w:r>
        <w:r>
          <w:fldChar w:fldCharType="end"/>
        </w:r>
      </w:hyperlink>
    </w:p>
    <w:p>
      <w:pPr>
        <w:pStyle w:val="TOC2"/>
        <w:tabs>
          <w:tab w:val="right" w:leader="dot" w:pos="8306"/>
        </w:tabs>
      </w:pPr>
      <w:hyperlink w:anchor="_Toc8736" w:history="1">
        <w:r>
          <w:rPr>
            <w:rFonts w:ascii="仿宋" w:eastAsia="仿宋" w:hAnsi="仿宋" w:cs="仿宋" w:hint="eastAsia"/>
            <w:lang w:eastAsia="zh-CN"/>
          </w:rPr>
          <w:t>(二)、遮光剂项目总投资估算</w:t>
        </w:r>
        <w:r>
          <w:tab/>
        </w:r>
        <w:r>
          <w:fldChar w:fldCharType="begin"/>
        </w:r>
        <w:r>
          <w:instrText xml:space="preserve"> PAGEREF _Toc8736 \h </w:instrText>
        </w:r>
        <w:r>
          <w:fldChar w:fldCharType="separate"/>
        </w:r>
        <w:r>
          <w:t>53</w:t>
        </w:r>
        <w:r>
          <w:fldChar w:fldCharType="end"/>
        </w:r>
      </w:hyperlink>
    </w:p>
    <w:p>
      <w:pPr>
        <w:pStyle w:val="TOC2"/>
        <w:tabs>
          <w:tab w:val="right" w:leader="dot" w:pos="8306"/>
        </w:tabs>
      </w:pPr>
      <w:hyperlink w:anchor="_Toc10009" w:history="1">
        <w:r>
          <w:rPr>
            <w:rFonts w:ascii="仿宋" w:eastAsia="仿宋" w:hAnsi="仿宋" w:cs="仿宋" w:hint="eastAsia"/>
            <w:lang w:eastAsia="zh-CN"/>
          </w:rPr>
          <w:t>(三)、资金筹措</w:t>
        </w:r>
        <w:r>
          <w:tab/>
        </w:r>
        <w:r>
          <w:fldChar w:fldCharType="begin"/>
        </w:r>
        <w:r>
          <w:instrText xml:space="preserve"> PAGEREF _Toc10009 \h </w:instrText>
        </w:r>
        <w:r>
          <w:fldChar w:fldCharType="separate"/>
        </w:r>
        <w:r>
          <w:t>54</w:t>
        </w:r>
        <w:r>
          <w:fldChar w:fldCharType="end"/>
        </w:r>
      </w:hyperlink>
    </w:p>
    <w:p>
      <w:pPr>
        <w:pStyle w:val="TOC1"/>
        <w:tabs>
          <w:tab w:val="right" w:leader="dot" w:pos="8306"/>
        </w:tabs>
      </w:pPr>
      <w:hyperlink w:anchor="_Toc31535" w:history="1">
        <w:r>
          <w:rPr>
            <w:rFonts w:ascii="仿宋" w:eastAsia="仿宋" w:hAnsi="仿宋" w:cs="仿宋" w:hint="eastAsia"/>
            <w:lang w:eastAsia="zh-CN"/>
          </w:rPr>
          <w:t>九、法律与合规性</w:t>
        </w:r>
        <w:r>
          <w:tab/>
        </w:r>
        <w:r>
          <w:fldChar w:fldCharType="begin"/>
        </w:r>
        <w:r>
          <w:instrText xml:space="preserve"> PAGEREF _Toc31535 \h </w:instrText>
        </w:r>
        <w:r>
          <w:fldChar w:fldCharType="separate"/>
        </w:r>
        <w:r>
          <w:t>56</w:t>
        </w:r>
        <w:r>
          <w:fldChar w:fldCharType="end"/>
        </w:r>
      </w:hyperlink>
    </w:p>
    <w:p>
      <w:pPr>
        <w:pStyle w:val="TOC2"/>
        <w:tabs>
          <w:tab w:val="right" w:leader="dot" w:pos="8306"/>
        </w:tabs>
      </w:pPr>
      <w:hyperlink w:anchor="_Toc22683" w:history="1">
        <w:r>
          <w:rPr>
            <w:rFonts w:ascii="仿宋" w:eastAsia="仿宋" w:hAnsi="仿宋" w:cs="仿宋" w:hint="eastAsia"/>
            <w:lang w:eastAsia="zh-CN"/>
          </w:rPr>
          <w:t>(一)、相关法律法规概述</w:t>
        </w:r>
        <w:r>
          <w:tab/>
        </w:r>
        <w:r>
          <w:fldChar w:fldCharType="begin"/>
        </w:r>
        <w:r>
          <w:instrText xml:space="preserve"> PAGEREF _Toc22683 \h </w:instrText>
        </w:r>
        <w:r>
          <w:fldChar w:fldCharType="separate"/>
        </w:r>
        <w:r>
          <w:t>56</w:t>
        </w:r>
        <w:r>
          <w:fldChar w:fldCharType="end"/>
        </w:r>
      </w:hyperlink>
    </w:p>
    <w:p>
      <w:pPr>
        <w:pStyle w:val="TOC2"/>
        <w:tabs>
          <w:tab w:val="right" w:leader="dot" w:pos="8306"/>
        </w:tabs>
      </w:pPr>
      <w:hyperlink w:anchor="_Toc27455" w:history="1">
        <w:r>
          <w:rPr>
            <w:rFonts w:ascii="仿宋" w:eastAsia="仿宋" w:hAnsi="仿宋" w:cs="仿宋" w:hint="eastAsia"/>
            <w:lang w:eastAsia="zh-CN"/>
          </w:rPr>
          <w:t>(二)、遮光剂项目合同管理</w:t>
        </w:r>
        <w:r>
          <w:tab/>
        </w:r>
        <w:r>
          <w:fldChar w:fldCharType="begin"/>
        </w:r>
        <w:r>
          <w:instrText xml:space="preserve"> PAGEREF _Toc27455 \h </w:instrText>
        </w:r>
        <w:r>
          <w:fldChar w:fldCharType="separate"/>
        </w:r>
        <w:r>
          <w:t>58</w:t>
        </w:r>
        <w:r>
          <w:fldChar w:fldCharType="end"/>
        </w:r>
      </w:hyperlink>
    </w:p>
    <w:p>
      <w:pPr>
        <w:pStyle w:val="TOC2"/>
        <w:tabs>
          <w:tab w:val="right" w:leader="dot" w:pos="8306"/>
        </w:tabs>
      </w:pPr>
      <w:hyperlink w:anchor="_Toc19146" w:history="1">
        <w:r>
          <w:rPr>
            <w:rFonts w:ascii="仿宋" w:eastAsia="仿宋" w:hAnsi="仿宋" w:cs="仿宋" w:hint="eastAsia"/>
            <w:lang w:eastAsia="zh-CN"/>
          </w:rPr>
          <w:t>(三)、知识产权保护</w:t>
        </w:r>
        <w:r>
          <w:tab/>
        </w:r>
        <w:r>
          <w:fldChar w:fldCharType="begin"/>
        </w:r>
        <w:r>
          <w:instrText xml:space="preserve"> PAGEREF _Toc19146 \h </w:instrText>
        </w:r>
        <w:r>
          <w:fldChar w:fldCharType="separate"/>
        </w:r>
        <w:r>
          <w:t>59</w:t>
        </w:r>
        <w:r>
          <w:fldChar w:fldCharType="end"/>
        </w:r>
      </w:hyperlink>
    </w:p>
    <w:p>
      <w:pPr>
        <w:pStyle w:val="TOC2"/>
        <w:tabs>
          <w:tab w:val="right" w:leader="dot" w:pos="8306"/>
        </w:tabs>
      </w:pPr>
      <w:hyperlink w:anchor="_Toc23858" w:history="1">
        <w:r>
          <w:rPr>
            <w:rFonts w:ascii="仿宋" w:eastAsia="仿宋" w:hAnsi="仿宋" w:cs="仿宋" w:hint="eastAsia"/>
            <w:lang w:eastAsia="zh-CN"/>
          </w:rPr>
          <w:t>(四)、劳动法规与员工权益</w:t>
        </w:r>
        <w:r>
          <w:tab/>
        </w:r>
        <w:r>
          <w:fldChar w:fldCharType="begin"/>
        </w:r>
        <w:r>
          <w:instrText xml:space="preserve"> PAGEREF _Toc23858 \h </w:instrText>
        </w:r>
        <w:r>
          <w:fldChar w:fldCharType="separate"/>
        </w:r>
        <w:r>
          <w:t>61</w:t>
        </w:r>
        <w:r>
          <w:fldChar w:fldCharType="end"/>
        </w:r>
      </w:hyperlink>
    </w:p>
    <w:p>
      <w:pPr>
        <w:pStyle w:val="TOC2"/>
        <w:tabs>
          <w:tab w:val="right" w:leader="dot" w:pos="8306"/>
        </w:tabs>
      </w:pPr>
      <w:hyperlink w:anchor="_Toc27786" w:history="1">
        <w:r>
          <w:rPr>
            <w:rFonts w:ascii="仿宋" w:eastAsia="仿宋" w:hAnsi="仿宋" w:cs="仿宋" w:hint="eastAsia"/>
            <w:lang w:eastAsia="zh-CN"/>
          </w:rPr>
          <w:t>(五)、环境保护法规遵循</w:t>
        </w:r>
        <w:r>
          <w:tab/>
        </w:r>
        <w:r>
          <w:fldChar w:fldCharType="begin"/>
        </w:r>
        <w:r>
          <w:instrText xml:space="preserve"> PAGEREF _Toc27786 \h </w:instrText>
        </w:r>
        <w:r>
          <w:fldChar w:fldCharType="separate"/>
        </w:r>
        <w:r>
          <w:t>62</w:t>
        </w:r>
        <w:r>
          <w:fldChar w:fldCharType="end"/>
        </w:r>
      </w:hyperlink>
    </w:p>
    <w:p>
      <w:pPr>
        <w:pStyle w:val="TOC1"/>
        <w:tabs>
          <w:tab w:val="right" w:leader="dot" w:pos="8306"/>
        </w:tabs>
      </w:pPr>
      <w:hyperlink w:anchor="_Toc7619" w:history="1">
        <w:r>
          <w:rPr>
            <w:rFonts w:ascii="仿宋" w:eastAsia="仿宋" w:hAnsi="仿宋" w:cs="仿宋" w:hint="eastAsia"/>
            <w:lang w:eastAsia="zh-CN"/>
          </w:rPr>
          <w:t>十、未来发展战略</w:t>
        </w:r>
        <w:r>
          <w:tab/>
        </w:r>
        <w:r>
          <w:fldChar w:fldCharType="begin"/>
        </w:r>
        <w:r>
          <w:instrText xml:space="preserve"> PAGEREF _Toc7619 \h </w:instrText>
        </w:r>
        <w:r>
          <w:fldChar w:fldCharType="separate"/>
        </w:r>
        <w:r>
          <w:t>64</w:t>
        </w:r>
        <w:r>
          <w:fldChar w:fldCharType="end"/>
        </w:r>
      </w:hyperlink>
    </w:p>
    <w:p>
      <w:pPr>
        <w:pStyle w:val="TOC2"/>
        <w:tabs>
          <w:tab w:val="right" w:leader="dot" w:pos="8306"/>
        </w:tabs>
      </w:pPr>
      <w:hyperlink w:anchor="_Toc5001" w:history="1">
        <w:r>
          <w:rPr>
            <w:rFonts w:ascii="仿宋" w:eastAsia="仿宋" w:hAnsi="仿宋" w:cs="仿宋" w:hint="eastAsia"/>
            <w:lang w:eastAsia="zh-CN"/>
          </w:rPr>
          <w:t>(一)、未来市场定位与业务拓展</w:t>
        </w:r>
        <w:r>
          <w:tab/>
        </w:r>
        <w:r>
          <w:fldChar w:fldCharType="begin"/>
        </w:r>
        <w:r>
          <w:instrText xml:space="preserve"> PAGEREF _Toc5001 \h </w:instrText>
        </w:r>
        <w:r>
          <w:fldChar w:fldCharType="separate"/>
        </w:r>
        <w:r>
          <w:t>64</w:t>
        </w:r>
        <w:r>
          <w:fldChar w:fldCharType="end"/>
        </w:r>
      </w:hyperlink>
    </w:p>
    <w:p>
      <w:pPr>
        <w:pStyle w:val="TOC2"/>
        <w:tabs>
          <w:tab w:val="right" w:leader="dot" w:pos="8306"/>
        </w:tabs>
      </w:pPr>
      <w:hyperlink w:anchor="_Toc24663" w:history="1">
        <w:r>
          <w:rPr>
            <w:rFonts w:ascii="仿宋" w:eastAsia="仿宋" w:hAnsi="仿宋" w:cs="仿宋" w:hint="eastAsia"/>
            <w:lang w:eastAsia="zh-CN"/>
          </w:rPr>
          <w:t>(二)、技术创新与研发方向</w:t>
        </w:r>
        <w:r>
          <w:tab/>
        </w:r>
        <w:r>
          <w:fldChar w:fldCharType="begin"/>
        </w:r>
        <w:r>
          <w:instrText xml:space="preserve"> PAGEREF _Toc24663 \h </w:instrText>
        </w:r>
        <w:r>
          <w:fldChar w:fldCharType="separate"/>
        </w:r>
        <w:r>
          <w:t>66</w:t>
        </w:r>
        <w:r>
          <w:fldChar w:fldCharType="end"/>
        </w:r>
      </w:hyperlink>
    </w:p>
    <w:p>
      <w:pPr>
        <w:pStyle w:val="TOC2"/>
        <w:tabs>
          <w:tab w:val="right" w:leader="dot" w:pos="8306"/>
        </w:tabs>
      </w:pPr>
      <w:hyperlink w:anchor="_Toc20541" w:history="1">
        <w:r>
          <w:rPr>
            <w:rFonts w:ascii="仿宋" w:eastAsia="仿宋" w:hAnsi="仿宋" w:cs="仿宋" w:hint="eastAsia"/>
            <w:lang w:eastAsia="zh-CN"/>
          </w:rPr>
          <w:t>(三)、国际化战略与全球市场</w:t>
        </w:r>
        <w:r>
          <w:tab/>
        </w:r>
        <w:r>
          <w:fldChar w:fldCharType="begin"/>
        </w:r>
        <w:r>
          <w:instrText xml:space="preserve"> PAGEREF _Toc20541 \h </w:instrText>
        </w:r>
        <w:r>
          <w:fldChar w:fldCharType="separate"/>
        </w:r>
        <w:r>
          <w:t>67</w:t>
        </w:r>
        <w:r>
          <w:fldChar w:fldCharType="end"/>
        </w:r>
      </w:hyperlink>
    </w:p>
    <w:p>
      <w:pPr>
        <w:pStyle w:val="TOC2"/>
        <w:tabs>
          <w:tab w:val="right" w:leader="dot" w:pos="8306"/>
        </w:tabs>
      </w:pPr>
      <w:hyperlink w:anchor="_Toc7053" w:history="1">
        <w:r>
          <w:rPr>
            <w:rFonts w:ascii="仿宋" w:eastAsia="仿宋" w:hAnsi="仿宋" w:cs="仿宋" w:hint="eastAsia"/>
            <w:lang w:eastAsia="zh-CN"/>
          </w:rPr>
          <w:t>(四)、可持续发展战略</w:t>
        </w:r>
        <w:r>
          <w:tab/>
        </w:r>
        <w:r>
          <w:fldChar w:fldCharType="begin"/>
        </w:r>
        <w:r>
          <w:instrText xml:space="preserve"> PAGEREF _Toc7053 \h </w:instrText>
        </w:r>
        <w:r>
          <w:fldChar w:fldCharType="separate"/>
        </w:r>
        <w:r>
          <w:t>69</w:t>
        </w:r>
        <w:r>
          <w:fldChar w:fldCharType="end"/>
        </w:r>
      </w:hyperlink>
    </w:p>
    <w:p>
      <w:pPr>
        <w:pStyle w:val="TOC1"/>
        <w:tabs>
          <w:tab w:val="right" w:leader="dot" w:pos="8306"/>
        </w:tabs>
      </w:pPr>
      <w:hyperlink w:anchor="_Toc20161" w:history="1">
        <w:r>
          <w:rPr>
            <w:rFonts w:ascii="仿宋" w:eastAsia="仿宋" w:hAnsi="仿宋" w:cs="仿宋" w:hint="eastAsia"/>
            <w:lang w:eastAsia="zh-CN"/>
          </w:rPr>
          <w:t>十一、供应链管理与物流优化</w:t>
        </w:r>
        <w:r>
          <w:tab/>
        </w:r>
        <w:r>
          <w:fldChar w:fldCharType="begin"/>
        </w:r>
        <w:r>
          <w:instrText xml:space="preserve"> PAGEREF _Toc20161 \h </w:instrText>
        </w:r>
        <w:r>
          <w:fldChar w:fldCharType="separate"/>
        </w:r>
        <w:r>
          <w:t>71</w:t>
        </w:r>
        <w:r>
          <w:fldChar w:fldCharType="end"/>
        </w:r>
      </w:hyperlink>
    </w:p>
    <w:p>
      <w:pPr>
        <w:pStyle w:val="TOC2"/>
        <w:tabs>
          <w:tab w:val="right" w:leader="dot" w:pos="8306"/>
        </w:tabs>
      </w:pPr>
      <w:hyperlink w:anchor="_Toc809" w:history="1">
        <w:r>
          <w:rPr>
            <w:rFonts w:ascii="仿宋" w:eastAsia="仿宋" w:hAnsi="仿宋" w:cs="仿宋" w:hint="eastAsia"/>
            <w:lang w:eastAsia="zh-CN"/>
          </w:rPr>
          <w:t>(一)、供应链规划与优化</w:t>
        </w:r>
        <w:r>
          <w:tab/>
        </w:r>
        <w:r>
          <w:fldChar w:fldCharType="begin"/>
        </w:r>
        <w:r>
          <w:instrText xml:space="preserve"> PAGEREF _Toc809 \h </w:instrText>
        </w:r>
        <w:r>
          <w:fldChar w:fldCharType="separate"/>
        </w:r>
        <w:r>
          <w:t>71</w:t>
        </w:r>
        <w:r>
          <w:fldChar w:fldCharType="end"/>
        </w:r>
      </w:hyperlink>
    </w:p>
    <w:p>
      <w:pPr>
        <w:pStyle w:val="TOC2"/>
        <w:tabs>
          <w:tab w:val="right" w:leader="dot" w:pos="8306"/>
        </w:tabs>
      </w:pPr>
      <w:hyperlink w:anchor="_Toc5018" w:history="1">
        <w:r>
          <w:rPr>
            <w:rFonts w:ascii="仿宋" w:eastAsia="仿宋" w:hAnsi="仿宋" w:cs="仿宋" w:hint="eastAsia"/>
            <w:lang w:eastAsia="zh-CN"/>
          </w:rPr>
          <w:t>(二)、供应商选择与评估</w:t>
        </w:r>
        <w:r>
          <w:tab/>
        </w:r>
        <w:r>
          <w:fldChar w:fldCharType="begin"/>
        </w:r>
        <w:r>
          <w:instrText xml:space="preserve"> PAGEREF _Toc5018 \h </w:instrText>
        </w:r>
        <w:r>
          <w:fldChar w:fldCharType="separate"/>
        </w:r>
        <w:r>
          <w:t>73</w:t>
        </w:r>
        <w:r>
          <w:fldChar w:fldCharType="end"/>
        </w:r>
      </w:hyperlink>
    </w:p>
    <w:p>
      <w:pPr>
        <w:pStyle w:val="TOC2"/>
        <w:tabs>
          <w:tab w:val="right" w:leader="dot" w:pos="8306"/>
        </w:tabs>
      </w:pPr>
      <w:hyperlink w:anchor="_Toc21050" w:history="1">
        <w:r>
          <w:rPr>
            <w:rFonts w:ascii="仿宋" w:eastAsia="仿宋" w:hAnsi="仿宋" w:cs="仿宋" w:hint="eastAsia"/>
            <w:lang w:eastAsia="zh-CN"/>
          </w:rPr>
          <w:t>(三)、物流网络设计与管理</w:t>
        </w:r>
        <w:r>
          <w:tab/>
        </w:r>
        <w:r>
          <w:fldChar w:fldCharType="begin"/>
        </w:r>
        <w:r>
          <w:instrText xml:space="preserve"> PAGEREF _Toc21050 \h </w:instrText>
        </w:r>
        <w:r>
          <w:fldChar w:fldCharType="separate"/>
        </w:r>
        <w:r>
          <w:t>75</w:t>
        </w:r>
        <w:r>
          <w:fldChar w:fldCharType="end"/>
        </w:r>
      </w:hyperlink>
    </w:p>
    <w:p>
      <w:pPr>
        <w:pStyle w:val="TOC2"/>
        <w:tabs>
          <w:tab w:val="right" w:leader="dot" w:pos="8306"/>
        </w:tabs>
      </w:pPr>
      <w:hyperlink w:anchor="_Toc7089" w:history="1">
        <w:r>
          <w:rPr>
            <w:rFonts w:ascii="仿宋" w:eastAsia="仿宋" w:hAnsi="仿宋" w:cs="仿宋" w:hint="eastAsia"/>
            <w:lang w:eastAsia="zh-CN"/>
          </w:rPr>
          <w:t>(四)、库存控制与仓储管理</w:t>
        </w:r>
        <w:r>
          <w:tab/>
        </w:r>
        <w:r>
          <w:fldChar w:fldCharType="begin"/>
        </w:r>
        <w:r>
          <w:instrText xml:space="preserve"> PAGEREF _Toc7089 \h </w:instrText>
        </w:r>
        <w:r>
          <w:fldChar w:fldCharType="separate"/>
        </w:r>
        <w:r>
          <w:t>78</w:t>
        </w:r>
        <w:r>
          <w:fldChar w:fldCharType="end"/>
        </w:r>
      </w:hyperlink>
    </w:p>
    <w:p>
      <w:pPr>
        <w:pStyle w:val="TOC1"/>
        <w:tabs>
          <w:tab w:val="right" w:leader="dot" w:pos="8306"/>
        </w:tabs>
      </w:pPr>
      <w:hyperlink w:anchor="_Toc28602" w:history="1">
        <w:r>
          <w:rPr>
            <w:rFonts w:ascii="仿宋" w:eastAsia="仿宋" w:hAnsi="仿宋" w:cs="仿宋" w:hint="eastAsia"/>
            <w:lang w:eastAsia="zh-CN"/>
          </w:rPr>
          <w:t>十二、遮光剂项目环境保护</w:t>
        </w:r>
        <w:r>
          <w:tab/>
        </w:r>
        <w:r>
          <w:fldChar w:fldCharType="begin"/>
        </w:r>
        <w:r>
          <w:instrText xml:space="preserve"> PAGEREF _Toc28602 \h </w:instrText>
        </w:r>
        <w:r>
          <w:fldChar w:fldCharType="separate"/>
        </w:r>
        <w:r>
          <w:t>79</w:t>
        </w:r>
        <w:r>
          <w:fldChar w:fldCharType="end"/>
        </w:r>
      </w:hyperlink>
    </w:p>
    <w:p>
      <w:pPr>
        <w:pStyle w:val="TOC2"/>
        <w:tabs>
          <w:tab w:val="right" w:leader="dot" w:pos="8306"/>
        </w:tabs>
      </w:pPr>
      <w:hyperlink w:anchor="_Toc24831" w:history="1">
        <w:r>
          <w:rPr>
            <w:rFonts w:ascii="仿宋" w:eastAsia="仿宋" w:hAnsi="仿宋" w:cs="仿宋" w:hint="eastAsia"/>
            <w:lang w:eastAsia="zh-CN"/>
          </w:rPr>
          <w:t>(一)、遮光剂项目环境影响评估</w:t>
        </w:r>
        <w:r>
          <w:tab/>
        </w:r>
        <w:r>
          <w:fldChar w:fldCharType="begin"/>
        </w:r>
        <w:r>
          <w:instrText xml:space="preserve"> PAGEREF _Toc24831 \h </w:instrText>
        </w:r>
        <w:r>
          <w:fldChar w:fldCharType="separate"/>
        </w:r>
        <w:r>
          <w:t>79</w:t>
        </w:r>
        <w:r>
          <w:fldChar w:fldCharType="end"/>
        </w:r>
      </w:hyperlink>
    </w:p>
    <w:p>
      <w:pPr>
        <w:pStyle w:val="TOC2"/>
        <w:tabs>
          <w:tab w:val="right" w:leader="dot" w:pos="8306"/>
        </w:tabs>
      </w:pPr>
      <w:hyperlink w:anchor="_Toc2303" w:history="1">
        <w:r>
          <w:rPr>
            <w:rFonts w:ascii="仿宋" w:eastAsia="仿宋" w:hAnsi="仿宋" w:cs="仿宋" w:hint="eastAsia"/>
            <w:lang w:eastAsia="zh-CN"/>
          </w:rPr>
          <w:t>(二)、环境保护措施与方案</w:t>
        </w:r>
        <w:r>
          <w:tab/>
        </w:r>
        <w:r>
          <w:fldChar w:fldCharType="begin"/>
        </w:r>
        <w:r>
          <w:instrText xml:space="preserve"> PAGEREF _Toc2303 \h </w:instrText>
        </w:r>
        <w:r>
          <w:fldChar w:fldCharType="separate"/>
        </w:r>
        <w:r>
          <w:t>81</w:t>
        </w:r>
        <w:r>
          <w:fldChar w:fldCharType="end"/>
        </w:r>
      </w:hyperlink>
    </w:p>
    <w:p>
      <w:pPr>
        <w:pStyle w:val="TOC2"/>
        <w:tabs>
          <w:tab w:val="right" w:leader="dot" w:pos="8306"/>
        </w:tabs>
      </w:pPr>
      <w:hyperlink w:anchor="_Toc4546" w:history="1">
        <w:r>
          <w:rPr>
            <w:rFonts w:ascii="仿宋" w:eastAsia="仿宋" w:hAnsi="仿宋" w:cs="仿宋" w:hint="eastAsia"/>
            <w:lang w:eastAsia="zh-CN"/>
          </w:rPr>
          <w:t>(三)、生态恢复与补偿措施</w:t>
        </w:r>
        <w:r>
          <w:tab/>
        </w:r>
        <w:r>
          <w:fldChar w:fldCharType="begin"/>
        </w:r>
        <w:r>
          <w:instrText xml:space="preserve"> PAGEREF _Toc4546 \h </w:instrText>
        </w:r>
        <w:r>
          <w:fldChar w:fldCharType="separate"/>
        </w:r>
        <w:r>
          <w:t>82</w:t>
        </w:r>
        <w:r>
          <w:fldChar w:fldCharType="end"/>
        </w:r>
      </w:hyperlink>
    </w:p>
    <w:p>
      <w:pPr>
        <w:pStyle w:val="TOC2"/>
        <w:tabs>
          <w:tab w:val="right" w:leader="dot" w:pos="8306"/>
        </w:tabs>
      </w:pPr>
      <w:hyperlink w:anchor="_Toc22691" w:history="1">
        <w:r>
          <w:rPr>
            <w:rFonts w:ascii="仿宋" w:eastAsia="仿宋" w:hAnsi="仿宋" w:cs="仿宋" w:hint="eastAsia"/>
            <w:lang w:eastAsia="zh-CN"/>
          </w:rPr>
          <w:t>(四)、环境保护监测与评估</w:t>
        </w:r>
        <w:r>
          <w:tab/>
        </w:r>
        <w:r>
          <w:fldChar w:fldCharType="begin"/>
        </w:r>
        <w:r>
          <w:instrText xml:space="preserve"> PAGEREF _Toc22691 \h </w:instrText>
        </w:r>
        <w:r>
          <w:fldChar w:fldCharType="separate"/>
        </w:r>
        <w:r>
          <w:t>85</w:t>
        </w:r>
        <w:r>
          <w:fldChar w:fldCharType="end"/>
        </w:r>
      </w:hyperlink>
    </w:p>
    <w:p>
      <w:pPr>
        <w:pStyle w:val="TOC1"/>
        <w:tabs>
          <w:tab w:val="right" w:leader="dot" w:pos="8306"/>
        </w:tabs>
      </w:pPr>
      <w:hyperlink w:anchor="_Toc30260" w:history="1">
        <w:r>
          <w:rPr>
            <w:rFonts w:ascii="仿宋" w:eastAsia="仿宋" w:hAnsi="仿宋" w:cs="仿宋" w:hint="eastAsia"/>
            <w:lang w:eastAsia="zh-CN"/>
          </w:rPr>
          <w:t>十三、市场趋势与竞争分析</w:t>
        </w:r>
        <w:r>
          <w:tab/>
        </w:r>
        <w:r>
          <w:fldChar w:fldCharType="begin"/>
        </w:r>
        <w:r>
          <w:instrText xml:space="preserve"> PAGEREF _Toc30260 \h </w:instrText>
        </w:r>
        <w:r>
          <w:fldChar w:fldCharType="separate"/>
        </w:r>
        <w:r>
          <w:t>87</w:t>
        </w:r>
        <w:r>
          <w:fldChar w:fldCharType="end"/>
        </w:r>
      </w:hyperlink>
    </w:p>
    <w:p>
      <w:pPr>
        <w:pStyle w:val="TOC2"/>
        <w:tabs>
          <w:tab w:val="right" w:leader="dot" w:pos="8306"/>
        </w:tabs>
      </w:pPr>
      <w:hyperlink w:anchor="_Toc17879" w:history="1">
        <w:r>
          <w:rPr>
            <w:rFonts w:ascii="仿宋" w:eastAsia="仿宋" w:hAnsi="仿宋" w:cs="仿宋" w:hint="eastAsia"/>
            <w:lang w:eastAsia="zh-CN"/>
          </w:rPr>
          <w:t>(一)、行业市场趋势分析</w:t>
        </w:r>
        <w:r>
          <w:tab/>
        </w:r>
        <w:r>
          <w:fldChar w:fldCharType="begin"/>
        </w:r>
        <w:r>
          <w:instrText xml:space="preserve"> PAGEREF _Toc17879 \h </w:instrText>
        </w:r>
        <w:r>
          <w:fldChar w:fldCharType="separate"/>
        </w:r>
        <w:r>
          <w:t>87</w:t>
        </w:r>
        <w:r>
          <w:fldChar w:fldCharType="end"/>
        </w:r>
      </w:hyperlink>
    </w:p>
    <w:p>
      <w:pPr>
        <w:pStyle w:val="TOC2"/>
        <w:tabs>
          <w:tab w:val="right" w:leader="dot" w:pos="8306"/>
        </w:tabs>
      </w:pPr>
      <w:hyperlink w:anchor="_Toc8472" w:history="1">
        <w:r>
          <w:rPr>
            <w:rFonts w:ascii="仿宋" w:eastAsia="仿宋" w:hAnsi="仿宋" w:cs="仿宋" w:hint="eastAsia"/>
            <w:lang w:eastAsia="zh-CN"/>
          </w:rPr>
          <w:t>(二)、竞争对手动态监测</w:t>
        </w:r>
        <w:r>
          <w:tab/>
        </w:r>
        <w:r>
          <w:fldChar w:fldCharType="begin"/>
        </w:r>
        <w:r>
          <w:instrText xml:space="preserve"> PAGEREF _Toc8472 \h </w:instrText>
        </w:r>
        <w:r>
          <w:fldChar w:fldCharType="separate"/>
        </w:r>
        <w:r>
          <w:t>89</w:t>
        </w:r>
        <w:r>
          <w:fldChar w:fldCharType="end"/>
        </w:r>
      </w:hyperlink>
    </w:p>
    <w:p>
      <w:pPr>
        <w:pStyle w:val="TOC2"/>
        <w:tabs>
          <w:tab w:val="right" w:leader="dot" w:pos="8306"/>
        </w:tabs>
      </w:pPr>
      <w:hyperlink w:anchor="_Toc10054" w:history="1">
        <w:r>
          <w:rPr>
            <w:rFonts w:ascii="仿宋" w:eastAsia="仿宋" w:hAnsi="仿宋" w:cs="仿宋" w:hint="eastAsia"/>
            <w:lang w:eastAsia="zh-CN"/>
          </w:rPr>
          <w:t>(三)、新兴技术与创新趋势</w:t>
        </w:r>
        <w:r>
          <w:tab/>
        </w:r>
        <w:r>
          <w:fldChar w:fldCharType="begin"/>
        </w:r>
        <w:r>
          <w:instrText xml:space="preserve"> PAGEREF _Toc10054 \h </w:instrText>
        </w:r>
        <w:r>
          <w:fldChar w:fldCharType="separate"/>
        </w:r>
        <w:r>
          <w:t>91</w:t>
        </w:r>
        <w:r>
          <w:fldChar w:fldCharType="end"/>
        </w:r>
      </w:hyperlink>
    </w:p>
    <w:p>
      <w:pPr>
        <w:pStyle w:val="TOC2"/>
        <w:tabs>
          <w:tab w:val="right" w:leader="dot" w:pos="8306"/>
        </w:tabs>
      </w:pPr>
      <w:hyperlink w:anchor="_Toc10654" w:history="1">
        <w:r>
          <w:rPr>
            <w:rFonts w:ascii="仿宋" w:eastAsia="仿宋" w:hAnsi="仿宋" w:cs="仿宋" w:hint="eastAsia"/>
            <w:lang w:eastAsia="zh-CN"/>
          </w:rPr>
          <w:t>(四)、市场机会与威胁评估</w:t>
        </w:r>
        <w:r>
          <w:tab/>
        </w:r>
        <w:r>
          <w:fldChar w:fldCharType="begin"/>
        </w:r>
        <w:r>
          <w:instrText xml:space="preserve"> PAGEREF _Toc10654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遮光剂项目复杂性日益增加，全面而科学的遮光剂项目管理方法论对于确保遮光剂项目成功至关重要。本遮光剂项目报告系统阐述了遮光剂项目启动、规划、执行、监控与收尾的全过程，强调在动态环境中对策略的灵活调整与优化。报告旨在提供一套适应性强、实用性高的遮光剂项目管理框架，便于读者掌握和应用于实际工作中。在此，我们明确指出报告内容仅限于学习交流之目的，严禁用于任何商业用途，力求促进遮光剂项目管理知识的普及与提升。</w:t>
      </w:r>
    </w:p>
    <w:p>
      <w:pPr>
        <w:pStyle w:val="Heading1"/>
        <w:ind w:firstLine="560" w:firstLineChars="200"/>
        <w:rPr>
          <w:rFonts w:ascii="仿宋" w:eastAsia="仿宋" w:hAnsi="仿宋" w:cs="仿宋" w:hint="eastAsia"/>
          <w:sz w:val="28"/>
          <w:lang w:eastAsia="zh-CN"/>
        </w:rPr>
      </w:pPr>
      <w:bookmarkStart w:id="2" w:name="_Toc19325"/>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1163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遮光剂项目中显现出多层面的复杂性和有机性。其系统性突显在对广泛技术领域的全面规划和整合，要求各技术要素相互协调，以确保遮光剂项目整体协同。这种系统性要求技术管理者在遮光剂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遮光剂项目进步的引擎。这种创新力使技术管理不仅仅是问题应对，更是遮光剂项目发展的推动力，促使团队在技术层面保持竞争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另一方面，技术管理体现出综合性。它要求在不同领域中进行全面考虑，将各种技术要素有机融合，以实现更高水平和更大范围的效果。技术管理者需要跨领域协调，确保遮光剂项目技术方案的综合有效性。</w:t>
      </w:r>
    </w:p>
    <w:p>
      <w:pPr>
        <w:pStyle w:val="Heading2"/>
        <w:ind w:firstLine="560" w:firstLineChars="200"/>
        <w:rPr>
          <w:rFonts w:ascii="仿宋" w:eastAsia="仿宋" w:hAnsi="仿宋" w:cs="仿宋" w:hint="eastAsia"/>
          <w:sz w:val="28"/>
          <w:lang w:eastAsia="zh-CN"/>
        </w:rPr>
      </w:pPr>
      <w:bookmarkStart w:id="4" w:name="_Toc15794"/>
      <w:r>
        <w:rPr>
          <w:rFonts w:ascii="仿宋" w:eastAsia="仿宋" w:hAnsi="仿宋" w:cs="仿宋" w:hint="eastAsia"/>
          <w:sz w:val="28"/>
          <w:lang w:eastAsia="zh-CN"/>
        </w:rPr>
        <w:t>(二)、遮光剂项目工艺技术设计方案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遮光剂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在选择工艺设备时，需要考虑其性能、稳定性和可维护性。设备应符合遮光剂项目的实际需求，并与整个生产流程协同工作，确保设备的使用不成为遮光剂项目的瓶颈。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5" w:name="_Toc1471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遮光剂项目投资风险，最大限度地减少总体遮光剂项目成本。在投资遮光剂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遮光剂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遮光剂项目的生产设备具备最佳性能和效益，以满足遮光剂项目长期的发展需求。</w:t>
      </w:r>
    </w:p>
    <w:p>
      <w:pPr>
        <w:pStyle w:val="Heading1"/>
        <w:ind w:firstLine="560" w:firstLineChars="200"/>
        <w:rPr>
          <w:rFonts w:ascii="仿宋" w:eastAsia="仿宋" w:hAnsi="仿宋" w:cs="仿宋" w:hint="eastAsia"/>
          <w:sz w:val="28"/>
          <w:lang w:eastAsia="zh-CN"/>
        </w:rPr>
      </w:pPr>
      <w:bookmarkStart w:id="6" w:name="_Toc5090"/>
      <w:r>
        <w:rPr>
          <w:rFonts w:ascii="仿宋" w:eastAsia="仿宋" w:hAnsi="仿宋" w:cs="仿宋" w:hint="eastAsia"/>
          <w:sz w:val="28"/>
          <w:lang w:eastAsia="zh-CN"/>
        </w:rPr>
        <w:t>二、遮光剂项目选址说明</w:t>
      </w:r>
      <w:bookmarkEnd w:id="6"/>
    </w:p>
    <w:p>
      <w:pPr>
        <w:pStyle w:val="Heading2"/>
        <w:rPr>
          <w:rFonts w:ascii="仿宋" w:eastAsia="仿宋" w:hAnsi="仿宋" w:cs="仿宋" w:hint="eastAsia"/>
          <w:lang w:eastAsia="zh-CN"/>
        </w:rPr>
      </w:pPr>
      <w:bookmarkStart w:id="7" w:name="_Toc25050"/>
      <w:r>
        <w:rPr>
          <w:rFonts w:ascii="仿宋" w:eastAsia="仿宋" w:hAnsi="仿宋" w:cs="仿宋" w:hint="eastAsia"/>
          <w:lang w:eastAsia="zh-CN"/>
        </w:rPr>
        <w:t>(一)、遮光剂项目选址</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选址位于XXXX市XXXX区XXXX街道XXXX路，地理位置优越，地势平坦，交通便利。附近有多条主要道路交汇，便于原材料的运输和成品的配送。地理位置的优越性将为遮光剂项目提供便捷的市场接触和良好的物流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遮光剂项目用地的合规性。经过详细的规划和评估，选址地区的用地性质、容积率、绿化率等指标将被科学确定，以满足遮光剂项目的发展需求并符合相关法规和环保要求。</w:t>
      </w:r>
    </w:p>
    <w:p>
      <w:pPr>
        <w:pStyle w:val="Heading2"/>
        <w:ind w:firstLine="560" w:firstLineChars="200"/>
        <w:rPr>
          <w:rFonts w:ascii="仿宋" w:eastAsia="仿宋" w:hAnsi="仿宋" w:cs="仿宋" w:hint="eastAsia"/>
          <w:sz w:val="28"/>
          <w:lang w:eastAsia="zh-CN"/>
        </w:rPr>
      </w:pPr>
      <w:bookmarkStart w:id="8" w:name="_Toc1971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选址地区的用地性质被确定为工业用地，以支持遮光剂项目的生产和运营。确保用地性质符合地方规划，并满足遮光剂项目的实际需求。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根据地区规划和建设标准，设定合理的容积率。容积率的设定要考虑遮光剂项目的建筑需求，确保建筑的布局紧凑，用地高效利用。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确保遮光剂项目选址地区的绿化率符合环保法规的要求。通过科学的绿化设计，提高绿化率，改善周边环境，为员工提供良好的工作生活环境。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9" w:name="_Toc158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针对遮光剂项目的实际需求，考虑采用垂直建筑设计，提高建筑的层数，减小占地面积。这将有助于在有限的用地内实现更大的建筑容积。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10" w:name="_Toc1557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遮光剂项目的原材料运输和成品配送提供了便捷的通道。地理位置的优越性将成为总图布置方案的首要考虑因素，确保遮光剂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遮光剂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遮光剂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遮光剂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1" w:name="_Toc15336"/>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选址综合评价是对所有选址因素进行全面权衡和评估的过程，包括地理位置、交通便利性、用地控制指标等多个方面。通过科学的评价方法，确保最终选址符合遮光剂项目的长期发展需求和可行性要求。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选址地点的地理位置是综合评价的首要因素。地理位置的优越性将为遮光剂项目的成功实施提供战略优势。通过全面利用地理位置，确保遮光剂项目在市场接触、原材料供应、成品销售等方面具备便利条件。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综合评价将充分考虑选址地区的交通便利性。主要道路的交汇、交通流畅性等因素将被纳入考虑范围。通过科学评估交通状况，确保遮光剂项目的运输通道顺畅，为物流和员工的出行提供良好保障。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用地控制指标是综合评价中的重要组成部分。通过科学制定用地控制指标，明确用地性质、用途、容积率等，确保用地的规划与遮光剂项目的实际需求相符。这有助于用地的科学利用和可持续性发展。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遮光剂项目的空间布局合理有序。绿化空间、建筑布局、功能区域划分等因素将在总图布置中得到综合考虑，为遮光剂项目提供良好的空间环境。</w:t>
      </w:r>
    </w:p>
    <w:p>
      <w:pPr>
        <w:pStyle w:val="Heading1"/>
        <w:ind w:firstLine="560" w:firstLineChars="200"/>
        <w:rPr>
          <w:rFonts w:ascii="仿宋" w:eastAsia="仿宋" w:hAnsi="仿宋" w:cs="仿宋" w:hint="eastAsia"/>
          <w:sz w:val="28"/>
          <w:lang w:eastAsia="zh-CN"/>
        </w:rPr>
      </w:pPr>
      <w:bookmarkStart w:id="12" w:name="_Toc14678"/>
      <w:r>
        <w:rPr>
          <w:rFonts w:ascii="仿宋" w:eastAsia="仿宋" w:hAnsi="仿宋" w:cs="仿宋" w:hint="eastAsia"/>
          <w:sz w:val="28"/>
          <w:lang w:eastAsia="zh-CN"/>
        </w:rPr>
        <w:t>三、遮光剂项目环境保护分析</w:t>
      </w:r>
      <w:bookmarkEnd w:id="12"/>
    </w:p>
    <w:p>
      <w:pPr>
        <w:pStyle w:val="Heading2"/>
        <w:rPr>
          <w:rFonts w:ascii="仿宋" w:eastAsia="仿宋" w:hAnsi="仿宋" w:cs="仿宋" w:hint="eastAsia"/>
          <w:lang w:eastAsia="zh-CN"/>
        </w:rPr>
      </w:pPr>
      <w:bookmarkStart w:id="13" w:name="_Toc26139"/>
      <w:r>
        <w:rPr>
          <w:rFonts w:ascii="仿宋" w:eastAsia="仿宋" w:hAnsi="仿宋" w:cs="仿宋" w:hint="eastAsia"/>
          <w:lang w:eastAsia="zh-CN"/>
        </w:rPr>
        <w:t>(一)、建设区域环境质量现状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14" w:name="_Toc29137"/>
      <w:r>
        <w:rPr>
          <w:rFonts w:ascii="仿宋" w:eastAsia="仿宋" w:hAnsi="仿宋" w:cs="仿宋" w:hint="eastAsia"/>
          <w:sz w:val="28"/>
          <w:lang w:eastAsia="zh-CN"/>
        </w:rPr>
        <w:t>(二)、建设期环境保护</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15" w:name="_Toc21777"/>
      <w:r>
        <w:rPr>
          <w:rFonts w:ascii="仿宋" w:eastAsia="仿宋" w:hAnsi="仿宋" w:cs="仿宋" w:hint="eastAsia"/>
          <w:sz w:val="28"/>
          <w:lang w:eastAsia="zh-CN"/>
        </w:rPr>
        <w:t>(三)、运营期环境保护</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采取节能减排措施，提高设备和工艺的能效。通过技术升级、设备优化等手段，减少能源消耗和温室气体排放，提高遮光剂项目的环保效益。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在运营期，仍需保持对自然生态的关注。继续划定保护区域，加强对植被、动植物等生态要素的监测和保护，确保遮光剂项目运营对生态系统的影响最小化。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加强与周边社区的沟通，建立环境管理沟通渠道。及时响应社区的环境反馈，保障周边居民的环境权益，提高遮光剂项目在社区的社会责任感。</w:t>
      </w:r>
    </w:p>
    <w:p>
      <w:pPr>
        <w:pStyle w:val="Heading2"/>
        <w:ind w:firstLine="560" w:firstLineChars="200"/>
        <w:rPr>
          <w:rFonts w:ascii="仿宋" w:eastAsia="仿宋" w:hAnsi="仿宋" w:cs="仿宋" w:hint="eastAsia"/>
          <w:sz w:val="28"/>
          <w:lang w:eastAsia="zh-CN"/>
        </w:rPr>
      </w:pPr>
      <w:bookmarkStart w:id="16" w:name="_Toc8922"/>
      <w:r>
        <w:rPr>
          <w:rFonts w:ascii="仿宋" w:eastAsia="仿宋" w:hAnsi="仿宋" w:cs="仿宋" w:hint="eastAsia"/>
          <w:sz w:val="28"/>
          <w:lang w:eastAsia="zh-CN"/>
        </w:rPr>
        <w:t>(四)、遮光剂项目建设对区域经济的影响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随着遮光剂项目建设的进行，产生的税收也会相应增加。企业、从业人员以及相关产业的税收贡献将成为区域财政的重要来源，用于支持公共服务和基础设施建设。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某些遮光剂项目建设可能会引入新的产业，推动区域产业结构的优化。新兴产业的引入可能促使区域实现产业升级，提高整体经济的竞争力。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遮光剂项目建设将吸引更多的商业活动，如酒店、餐饮、零售等，以满足遮光剂项目工程和员工的需求。这将推动商业活动的增长，促进区域内商业环境的繁荣。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随着遮光剂项目建设的完成，周边土地价值可能会提升。这对于地方政府和地产开发商来说是一种潜在的经济利好，有助于进一步吸引投资。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17" w:name="_Toc29401"/>
      <w:r>
        <w:rPr>
          <w:rFonts w:ascii="仿宋" w:eastAsia="仿宋" w:hAnsi="仿宋" w:cs="仿宋" w:hint="eastAsia"/>
          <w:sz w:val="28"/>
          <w:lang w:eastAsia="zh-CN"/>
        </w:rPr>
        <w:t>(五)、废弃物处理</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遮光剂项目建设和运营过程中都必须认真考虑和有效实施的关键环节。废弃物包括建设废弃物、生产废弃物等，如果不得当处理可能对环境和人类健康造成负面影响。因此，科学合理的废弃物处理策略成为确保遮光剂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遮光剂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遮光剂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18" w:name="_Toc14077"/>
      <w:r>
        <w:rPr>
          <w:rFonts w:ascii="仿宋" w:eastAsia="仿宋" w:hAnsi="仿宋" w:cs="仿宋" w:hint="eastAsia"/>
          <w:sz w:val="28"/>
          <w:lang w:eastAsia="zh-CN"/>
        </w:rPr>
        <w:t>(六)、特殊环境影响分析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遮光剂项目可能对周边生态系统产生直接或间接的影响。这包括植被覆盖、动植物栖息地、生态平衡等方面。生态环境影响分析需要全面考虑遮光剂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遮光剂项目可能涉及的水体，需要分析遮光剂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特殊的地理位置或气象条件可能使遮光剂项目对大气环境产生更为显著的影响。分析遮光剂项目可能引起的空气污染、气象条件变化等情况，制定减排方案和适应性措施，以保护大气环境的质量。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遮光剂项目可能对当地社会文化产生特殊的影响。这包括对当地社区结构、文化传统、居民生活方式等方面的可能影响。社会文化影响分析需要在遮光剂项目实施前进行广泛的社会调查，确保遮光剂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一些遮光剂项目可能在特殊环境中引起噪音或振动污染。在特殊环境影响分析中，需要详细评估遮光剂项目可能引起的噪音水平和振动强度，并提出相应的控制和减缓措施。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特殊环境影响分析是遮光剂项目环境影响评价的关键部分，通过充分了解和评估遮光剂项目可能的特殊环境影响，可以制定出更加科学和可持续的遮光剂项目实施方案。</w:t>
      </w:r>
    </w:p>
    <w:p>
      <w:pPr>
        <w:pStyle w:val="Heading2"/>
        <w:ind w:firstLine="560" w:firstLineChars="200"/>
        <w:rPr>
          <w:rFonts w:ascii="仿宋" w:eastAsia="仿宋" w:hAnsi="仿宋" w:cs="仿宋" w:hint="eastAsia"/>
          <w:sz w:val="28"/>
          <w:lang w:eastAsia="zh-CN"/>
        </w:rPr>
      </w:pPr>
      <w:bookmarkStart w:id="19" w:name="_Toc28061"/>
      <w:r>
        <w:rPr>
          <w:rFonts w:ascii="仿宋" w:eastAsia="仿宋" w:hAnsi="仿宋" w:cs="仿宋" w:hint="eastAsia"/>
          <w:sz w:val="28"/>
          <w:lang w:eastAsia="zh-CN"/>
        </w:rPr>
        <w:t>(七)、清洁生产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20" w:name="_Toc8774"/>
      <w:r>
        <w:rPr>
          <w:rFonts w:ascii="仿宋" w:eastAsia="仿宋" w:hAnsi="仿宋" w:cs="仿宋" w:hint="eastAsia"/>
          <w:sz w:val="28"/>
          <w:lang w:eastAsia="zh-CN"/>
        </w:rPr>
        <w:t>(八)、环境保护综合评价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环境保护综合评价是对遮光剂项目、企业或活动在环保方面综合表现的评估。这种评价综合考虑了对自然环境、生态系统、空气、水体等的影响，以及对环保法规和标准的遵守程度。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综合评价的第一步是对遮光剂项目或活动的环境影响进行评估。这包括对空气质量、水质、土壤质量、生态系统等方面的影响进行科学分析。通过各种监测和模拟手段，全面了解遮光剂项目可能引起的环境变化。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评价遮光剂项目的废弃物管理情况，包括废弃物的分类、收集、处理和处置。清晰的废弃物管理计划对于降低对环境的负担至关重要。合规处理和减少废弃物对生态系统和人类健康的影响是综合评价的重要考量。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评估遮光剂项目对水资源的利用和管理情况，包括对水体的取水、排放和水质保护。特别关注是否存在过度取水、水质污染等问题，以及采取的补救和改进措施。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分析遮光剂项目的大气排放情况，包括对大气污染物的排放、空气质量的影响等。评估遮光剂项目是否采取有效的减排措施，以保护大气环境质量。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综合评价遮光剂项目的能源效益，包括能源的使用效率、可再生能源的应用情况等。推动清洁能源的使用，提高能源效益是环境保护的重要方向。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评估遮光剂项目是否遵守国家和地方的环境保护法规和标准。合规性是一个企业或遮光剂项目在环境保护方面的基本要求，对于环保综合评价至关重要。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评价遮光剂项目在环境保护方面的投入，包括环境监测、治理设施建设、环保培训等方面的支出。这反映了企业对环保责任的认识和履行。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考察遮光剂项目对社会的责任感和公众参与程度。是否建立了有效的沟通机制，是否主动回应社会关切，这些都是综合评价的一部分。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21" w:name="_Toc5533"/>
      <w:r>
        <w:rPr>
          <w:rFonts w:ascii="仿宋" w:eastAsia="仿宋" w:hAnsi="仿宋" w:cs="仿宋" w:hint="eastAsia"/>
          <w:sz w:val="28"/>
          <w:lang w:eastAsia="zh-CN"/>
        </w:rPr>
        <w:t>四、土建工程设计</w:t>
      </w:r>
      <w:bookmarkEnd w:id="21"/>
    </w:p>
    <w:p>
      <w:pPr>
        <w:pStyle w:val="Heading2"/>
        <w:rPr>
          <w:rFonts w:ascii="仿宋" w:eastAsia="仿宋" w:hAnsi="仿宋" w:cs="仿宋" w:hint="eastAsia"/>
          <w:lang w:eastAsia="zh-CN"/>
        </w:rPr>
      </w:pPr>
      <w:bookmarkStart w:id="22" w:name="_Toc30419"/>
      <w:r>
        <w:rPr>
          <w:rFonts w:ascii="仿宋" w:eastAsia="仿宋" w:hAnsi="仿宋" w:cs="仿宋" w:hint="eastAsia"/>
          <w:lang w:eastAsia="zh-CN"/>
        </w:rPr>
        <w:t>(一)、建筑工程设计原则</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建筑首要功能是为使用者提供合适的空间，满足其需求。因此，建筑设计应确保功能的实现，空间布局合理，满足建筑的基本功能需求。功能性原则关注建筑的实际用途和用户体验。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美学性原则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美学性是建筑设计的重要方面。建筑应该具有艺术性和美感，以提高空间品质和视觉体验。美学性原则注重建筑的外观设计、色彩搭配、比例和形式等方面，使建筑融入环境并产生良好的审美效果。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结构稳定性原则</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建筑结构的稳定性是设计的基本要求之一。建筑设计应确保结构安全可靠，能够承受各种自然和人为的力的作用。结构稳定性原则关注建筑的结构设计、材料选用等方面，以保障建筑的整体安全。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社会，环保和可持续性已成为建筑设计的重要考虑因素。建筑应当注重能源利用效率、材料的可再生性、废弃物的处理等方面，以减少对环境的不良影响。环境友好性原则关注建筑的生态设计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建筑设计应当在经济可行性的基础上进行，保持合理的建设成本。考虑建筑的预算和维护成本，确保设计方案在经济上可行。经济性原则关注建筑的成本效益和资源利用效率。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可维护性原则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建筑应易于维护和管理，以确保其长期使用的效果。设计应考虑材料的耐久性、易修复性，使得建筑的维护工作变得简便和经济。可维护性原则注重建筑的长期可用性和维护便捷性。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可变性原则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建筑设计应具有一定的灵活性，以适应可能发生的功能变化或扩建。可变性原则关注建筑设计的灵活性和可调整性，使得建筑能够适应未来的变化需求。</w:t>
      </w:r>
    </w:p>
    <w:p>
      <w:pPr>
        <w:pStyle w:val="Heading2"/>
        <w:ind w:firstLine="560" w:firstLineChars="200"/>
        <w:rPr>
          <w:rFonts w:ascii="仿宋" w:eastAsia="仿宋" w:hAnsi="仿宋" w:cs="仿宋" w:hint="eastAsia"/>
          <w:sz w:val="28"/>
          <w:lang w:eastAsia="zh-CN"/>
        </w:rPr>
      </w:pPr>
      <w:bookmarkStart w:id="23" w:name="_Toc5106"/>
      <w:r>
        <w:rPr>
          <w:rFonts w:ascii="仿宋" w:eastAsia="仿宋" w:hAnsi="仿宋" w:cs="仿宋" w:hint="eastAsia"/>
          <w:sz w:val="28"/>
          <w:lang w:eastAsia="zh-CN"/>
        </w:rPr>
        <w:t>(二)、土建工程设计年限及安全等级</w:t>
      </w:r>
      <w:bookmarkEnd w:id="23"/>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土建工程设计的年限和安全等级是设计阶段需要明确的重要方面。关于土建工程设计年限和安全等级的一般性说明：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1. 永久性建筑设计： 永久性建筑通常设计为具有长期使用寿命的结构，其设计年限一般为50年以上。这类建筑包括一些基础设施和重要公共建筑，如桥梁、大坝、地铁站等。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中期建筑设计： 中期建筑的设计年限一般在20到50年之间。这包括许多商业建筑、住宅区和一些中等规模的基础设施。设计时考虑到未来可能的功能变化和社会需求。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短期建筑设计： 一些建筑的设计年限较短，一般在10到20年之间。这可能包括一些暂时性建筑、展览馆、临时设施等。设计时更加灵活，适应性强。</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土建工程的安全等级涉及到工程的用途、所处环境、人员密集程度等多个因素。一般性的安全等级划分：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特级安全等级： 一些重要的公共建筑、大型交通枢纽、核电站等可能被划分为特级安全等级。对于这类建筑，安全设计和施工要求非常严格，以确保其在各种情况下的安全性。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一级安全等级： 商业建筑、住宅区、普通桥梁等可能被划分为一级安全等级。对于这类建筑，安全要求较高，但相对于特级安全等级会有一定的灵活性。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二级安全等级： 一些较为简单的建筑或非常规工程可能划分为二级安全等级。安全要求相对较低，但仍需符合基本的安全标准。</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在具体遮光剂项目中，安全等级的划分和设计年限的确定会根据当地法规、工程性质、用途等因素进行详细规定。设计人员需要根据具体情况确保工程在设计和施工阶段符合相应的安全标准和设计年限要求。</w:t>
      </w:r>
    </w:p>
    <w:p>
      <w:pPr>
        <w:pStyle w:val="Heading2"/>
        <w:ind w:firstLine="560" w:firstLineChars="200"/>
        <w:rPr>
          <w:rFonts w:ascii="仿宋" w:eastAsia="仿宋" w:hAnsi="仿宋" w:cs="仿宋" w:hint="eastAsia"/>
          <w:sz w:val="28"/>
          <w:lang w:eastAsia="zh-CN"/>
        </w:rPr>
      </w:pPr>
      <w:bookmarkStart w:id="24" w:name="_Toc25343"/>
      <w:r>
        <w:rPr>
          <w:rFonts w:ascii="仿宋" w:eastAsia="仿宋" w:hAnsi="仿宋" w:cs="仿宋" w:hint="eastAsia"/>
          <w:sz w:val="28"/>
          <w:lang w:eastAsia="zh-CN"/>
        </w:rPr>
        <w:t>(三)、建筑工程设计总体要求</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确保设计与地区规划相一致，符合当地法规和建设标准。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综合考虑周边环境，与周边建筑和自然景观协调融合。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确保建筑的功能布局合理，满足业主的实际需求。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考虑建筑的使用性、流程布局和功能空间划分。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保障建筑结构的安全可靠，满足抗震、抗风等设计标准。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结构设计应适应建筑的高度、荷载和地质条件。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4. 美学设计：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确保建筑外观符合美学要求，融入当地文化和环境。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注意建筑比例、造型、颜色等设计细节，追求良好的视觉效果。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环境友好性：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采用环保材料，考虑能源利用效率，降低对环境的不良影响。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设计中考虑自然通风、采光和绿化，提高建筑的生态性。</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6. 可持续性设计：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考虑建筑的长期可维护性和可操作性。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采用可再生能源、水资源合理利用等可持续设计策略。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控制建筑成本，确保设计在预算范围内。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考虑建筑的生命周期成本，综合考虑初期投资和后期运营费用。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考虑建筑的使用安全性，合理设置紧急疏散通道和安全出口。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采用防火、防盗等相关安全设计措施。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9.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注重建筑内部的人性化设计，提供舒适的室内环境。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考虑人流、人员分布和日常使用的便利性。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技术先进性：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采用先进的建筑技术和工艺，提高建筑的技术含量。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关注新兴科技在建筑设计中的应用，提升建筑的竞争力。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总体要求是在建筑工程设计过程中普遍适用的基本原则，具体遮光剂项目中还需根据不同的场景和需求进行详细规划和调整。设计团队需要综合考虑各个方面，确保设计方案能够达到整体的高水平和综合要求。</w:t>
      </w:r>
    </w:p>
    <w:p>
      <w:pPr>
        <w:pStyle w:val="Heading2"/>
        <w:ind w:firstLine="560" w:firstLineChars="200"/>
        <w:rPr>
          <w:rFonts w:ascii="仿宋" w:eastAsia="仿宋" w:hAnsi="仿宋" w:cs="仿宋" w:hint="eastAsia"/>
          <w:sz w:val="28"/>
          <w:lang w:eastAsia="zh-CN"/>
        </w:rPr>
      </w:pPr>
      <w:bookmarkStart w:id="25" w:name="_Toc2190"/>
      <w:r>
        <w:rPr>
          <w:rFonts w:ascii="仿宋" w:eastAsia="仿宋" w:hAnsi="仿宋" w:cs="仿宋" w:hint="eastAsia"/>
          <w:sz w:val="28"/>
          <w:lang w:eastAsia="zh-CN"/>
        </w:rPr>
        <w:t>(四)、土建工程建设指标</w:t>
      </w:r>
      <w:bookmarkEnd w:id="25"/>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 质量指标：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抗震设防标准： 根据地震区域确定相应的抗震设防标准，确保建筑在地震发生时有足够的抗震能力。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建筑结构强度： 确保建筑结构满足相关的强度标准，能够承受设计荷载。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建筑外墙防水、保温标准： 确保建筑外墙满足防水、保温等标准，提高建筑的使用寿命和舒适性。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进度指标：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总工期： 规定整个土建工程的总工期，确保工程按时完成。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各阶段工期： 划定各个施工阶段的工期，保障施工的有序推进。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工程竣工验收时间： 规定整个工程的竣工验收时间，确保按计划完成。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总投资： 规定土建工程的总投资额，包括建设成本、设备采购、人工费用等。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单位建筑面积造价： 用于评估工程的经济性，确定每平方米建筑面积的建设成本。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工程造价控制： 制定各项费用的控制标准，确保在预算内完成。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安全指标：</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 xml:space="preserve">   施工安全标准： 规定施工过程中的安全标准，包括作业人员的安全防护、施工场地的安全设施等。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工程建设环境安全： 考虑工程对周边环境的影响，制定相应的环保标准。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建筑材料环保标准： 规定使用的建筑材料应符合环保标准，减少对环境的污染。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施工过程环保措施： 制定在施工过程中采取的环保措施，如减少扬尘、噪音等。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使用寿命和维护指标：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建筑使用寿命： 设定建筑的使用寿命，根据建筑类型和用途确定。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维护成本标准： 制定建筑维护的相关标准，包括定期检查、保养、修缮等。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设计参数和标准：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建筑结构设计参数： 包括各类结构的设计参数，确保结构合理、安全。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建筑布局设计标准： 规定建筑的布局标准，考虑使用功能、通风、采光等因素。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8. 施工工艺和技术标准：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土建工程施工工艺： 规定土建施工的工艺流程，确保施工的合理性。</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 xml:space="preserve">   施工材料技术标准： 确保使用的施工材料符合相关技术标准，提高工程质量。</w:t>
      </w:r>
    </w:p>
    <w:p>
      <w:pPr>
        <w:pStyle w:val="Heading1"/>
        <w:ind w:firstLine="560" w:firstLineChars="200"/>
        <w:rPr>
          <w:rFonts w:ascii="仿宋" w:eastAsia="仿宋" w:hAnsi="仿宋" w:cs="仿宋" w:hint="eastAsia"/>
          <w:sz w:val="28"/>
          <w:lang w:eastAsia="zh-CN"/>
        </w:rPr>
      </w:pPr>
      <w:bookmarkStart w:id="26" w:name="_Toc3566"/>
      <w:r>
        <w:rPr>
          <w:rFonts w:ascii="仿宋" w:eastAsia="仿宋" w:hAnsi="仿宋" w:cs="仿宋" w:hint="eastAsia"/>
          <w:sz w:val="28"/>
          <w:lang w:eastAsia="zh-CN"/>
        </w:rPr>
        <w:t>五、员工福利与企业文化</w:t>
      </w:r>
      <w:bookmarkEnd w:id="26"/>
    </w:p>
    <w:p>
      <w:pPr>
        <w:pStyle w:val="Heading2"/>
        <w:rPr>
          <w:rFonts w:ascii="仿宋" w:eastAsia="仿宋" w:hAnsi="仿宋" w:cs="仿宋" w:hint="eastAsia"/>
          <w:lang w:eastAsia="zh-CN"/>
        </w:rPr>
      </w:pPr>
      <w:bookmarkStart w:id="27" w:name="_Toc20755"/>
      <w:r>
        <w:rPr>
          <w:rFonts w:ascii="仿宋" w:eastAsia="仿宋" w:hAnsi="仿宋" w:cs="仿宋" w:hint="eastAsia"/>
          <w:lang w:eastAsia="zh-CN"/>
        </w:rPr>
        <w:t>(一)、员工福利政策</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28" w:name="_Toc11656"/>
      <w:r>
        <w:rPr>
          <w:rFonts w:ascii="仿宋" w:eastAsia="仿宋" w:hAnsi="仿宋" w:cs="仿宋" w:hint="eastAsia"/>
          <w:sz w:val="28"/>
          <w:lang w:eastAsia="zh-CN"/>
        </w:rPr>
        <w:t>(二)、团队建设与员工培训</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专业师资：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29" w:name="_Toc1902"/>
      <w:r>
        <w:rPr>
          <w:rFonts w:ascii="仿宋" w:eastAsia="仿宋" w:hAnsi="仿宋" w:cs="仿宋" w:hint="eastAsia"/>
          <w:sz w:val="28"/>
          <w:lang w:eastAsia="zh-CN"/>
        </w:rPr>
        <w:t>(三)、企业文化建设</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制定核心价值观：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与员工共建：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30" w:name="_Toc18715"/>
      <w:r>
        <w:rPr>
          <w:rFonts w:ascii="仿宋" w:eastAsia="仿宋" w:hAnsi="仿宋" w:cs="仿宋" w:hint="eastAsia"/>
          <w:sz w:val="28"/>
          <w:lang w:eastAsia="zh-CN"/>
        </w:rPr>
        <w:t>(四)、员工健康与工作平衡</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健康教育：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远程办公：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健康餐饮： 提供健康餐饮选择，关注员工的饮食健康，推动员工养成健康的饮食习惯。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福利政策： 设立完善的员工福利政策，包括健康保险、子女教育支持等，提升员工的生活品质。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关注员工的健康与工作平衡，企业可以营造出积极向上、关爱员工的文化氛围，从而提高员工的工作满意度和忠诚度，实现共赢。</w:t>
      </w:r>
    </w:p>
    <w:p>
      <w:pPr>
        <w:pStyle w:val="Heading1"/>
        <w:ind w:firstLine="560" w:firstLineChars="200"/>
        <w:rPr>
          <w:rFonts w:ascii="仿宋" w:eastAsia="仿宋" w:hAnsi="仿宋" w:cs="仿宋" w:hint="eastAsia"/>
          <w:sz w:val="28"/>
          <w:lang w:eastAsia="zh-CN"/>
        </w:rPr>
      </w:pPr>
      <w:bookmarkStart w:id="31" w:name="_Toc32359"/>
      <w:r>
        <w:rPr>
          <w:rFonts w:ascii="仿宋" w:eastAsia="仿宋" w:hAnsi="仿宋" w:cs="仿宋" w:hint="eastAsia"/>
          <w:sz w:val="28"/>
          <w:lang w:eastAsia="zh-CN"/>
        </w:rPr>
        <w:t>六、遮光剂项目实施进度计划</w:t>
      </w:r>
      <w:bookmarkEnd w:id="31"/>
    </w:p>
    <w:p>
      <w:pPr>
        <w:pStyle w:val="Heading2"/>
        <w:rPr>
          <w:rFonts w:ascii="仿宋" w:eastAsia="仿宋" w:hAnsi="仿宋" w:cs="仿宋" w:hint="eastAsia"/>
          <w:lang w:eastAsia="zh-CN"/>
        </w:rPr>
      </w:pPr>
      <w:bookmarkStart w:id="32" w:name="_Toc30269"/>
      <w:r>
        <w:rPr>
          <w:rFonts w:ascii="仿宋" w:eastAsia="仿宋" w:hAnsi="仿宋" w:cs="仿宋" w:hint="eastAsia"/>
          <w:lang w:eastAsia="zh-CN"/>
        </w:rPr>
        <w:t>(一)、建设周期</w:t>
      </w:r>
      <w:bookmarkEnd w:id="32"/>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建设周期是遮光剂项目从规划到实际运作的全过程，分为多个关键阶段，每个阶段都有其独特的任务和挑战：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遮光剂项目前期准备阶段：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在这个阶段，遮光剂项目团队进行遮光剂项目的可行性研究，明确遮光剂项目目标和规模，进行市场分析和资金计划。完成遮光剂项目的立项申请，确保遮光剂项目有足够的资源和支持。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进行遮光剂项目所在地的勘察工作，包括土地调查、地质勘探等，以获取对施工环境的全面了解。设计阶段涉及建筑设计、工艺设计、设备配置等，确保遮光剂项目的设计方案科学可行。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实施土建工程，包括地基处理、建筑施工、主体结构建设等。这是遮光剂项目实体建设的阶段，需要高效协调各项工程，确保施工质量和进度。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进行遮光剂项目所需设备的采购，包括设备的选择、供应商洽谈和合同签订。确保遮光剂项目所使用的设备符合质量标准，满足遮光剂项目的生产需求。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进行设备的安装和调试工作，确保设备能够正常运行。这个阶段是遮光剂项目顺利投产的关键，需要仔细调整设备，保证其稳定性和可靠性。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遮光剂项目正式投入运营，进行实际生产和服务。在此阶段，遮光剂项目团队需要密切关注运营情况，及时处理可能出现的问题，确保遮光剂项目平稳运行。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通过科学合理的规划和有效的遮光剂项目管理，确保每个建设阶段都按时、按质完成，最终实现遮光剂项目的成功建设和投产使用。遮光剂项目建设周期的顺利进行对于遮光剂项目的整体成功至关重要。</w:t>
      </w:r>
    </w:p>
    <w:p>
      <w:pPr>
        <w:pStyle w:val="Heading2"/>
        <w:ind w:firstLine="560" w:firstLineChars="200"/>
        <w:rPr>
          <w:rFonts w:ascii="仿宋" w:eastAsia="仿宋" w:hAnsi="仿宋" w:cs="仿宋" w:hint="eastAsia"/>
          <w:sz w:val="28"/>
          <w:lang w:eastAsia="zh-CN"/>
        </w:rPr>
      </w:pPr>
      <w:bookmarkStart w:id="33" w:name="_Toc29562"/>
      <w:r>
        <w:rPr>
          <w:rFonts w:ascii="仿宋" w:eastAsia="仿宋" w:hAnsi="仿宋" w:cs="仿宋" w:hint="eastAsia"/>
          <w:sz w:val="28"/>
          <w:lang w:eastAsia="zh-CN"/>
        </w:rPr>
        <w:t>(二)、建设进度</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该遮光剂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遮光剂项目中的重要组成部分，包括土建工程、设备采购等。已经完成的XXXX万元投资表明在这方面遮光剂项目取得了良好的进展。这部分资金的使用应当符合遮光剂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流动资金投资则涉及遮光剂项目运营过程中的各项费用，如人员工资、原材料采购等。已经完成XXXX万元的流动资金投资表明遮光剂项目在运营准备方面也取得了一定的进展。这部分资金的使用需要合理规划，确保遮光剂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实际完成投资占计划投资的XX%，这反映了遮光剂项目在资金使用方面的较好掌控。投资完成比例的合理性直接关系到遮光剂项目后续的资金需求和进度计划。通过对比已完成和计划的投资比例，可以更准确地评估遮光剂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随着遮光剂项目不断推进，风险的变化也需要得到及时的识别和应对。定期对已完成投资的使用情况进行审查，及时发现潜在的财务风险，并制定相应的应对策略。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34" w:name="_Toc2480"/>
      <w:r>
        <w:rPr>
          <w:rFonts w:ascii="仿宋" w:eastAsia="仿宋" w:hAnsi="仿宋" w:cs="仿宋" w:hint="eastAsia"/>
          <w:sz w:val="28"/>
          <w:lang w:eastAsia="zh-CN"/>
        </w:rPr>
        <w:t>(三)、进度安排注意事项</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根据遮光剂项目的性质和规模，制定详细的遮光剂项目计划，包括各个阶段的任务和时间表。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确定遮光剂项目的主要目标和优先级，以便更好地分配资源和关注关键任务。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明确哪些任务对遮光剂项目成功至关重要，优先安排这些任务。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实时监控遮光剂项目进度，及时发现和解决可能的延误或问题。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定期更新遮光剂项目计划，确保计划与实际进展一致。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确保遮光剂项目所需的各种资源，包括人力、物力、财力等，得到合理分配和利用。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定期进行遮光剂项目进度的评估和审查，确保遮光剂项目仍然符合预期目标。</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35" w:name="_Toc10428"/>
      <w:r>
        <w:rPr>
          <w:rFonts w:ascii="仿宋" w:eastAsia="仿宋" w:hAnsi="仿宋" w:cs="仿宋" w:hint="eastAsia"/>
          <w:sz w:val="28"/>
          <w:lang w:eastAsia="zh-CN"/>
        </w:rPr>
        <w:t>(四)、人力资源配置</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遮光剂项目的性质、规模和需求，以确保合理、高效地配置人力资源。遮光剂项目的成功与否很大程度上取决于人力的贡献和团队的协作。因此，科学合理的人力资源配置是遮光剂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遮光剂项目启动阶段，需要进行全面的人力需求分析。这包括确定遮光剂项目的规模、工作内容、所需技能等方面的要求。通过对遮光剂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根据遮光剂项目的特点和需要，明确各个岗位的设置以及每个岗位的具体职责。这需要考虑到团队的协作关系，确保各个岗位之间的职责清晰划分，避免冲突和混淆。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为满足遮光剂项目的需求，需要进行有效的人才招募和选拔。这包括发布招聘信息、面试候选人、评估其技能和适应能力等。确保招聘到的人才与遮光剂项目的要求相匹配，有利于遮光剂项目的高效推进。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一旦团队成员入职，需要提供必要的培训，以确保他们熟悉遮光剂项目的流程和工作要求。同时，还需要注重团队成员的技能提升，通过培训计划和学习机会，使团队保持竞争力。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建设一个协作高效的团队是遮光剂项目成功的基石。通过组织团队建设活动、搭建良好的沟通渠道、塑造积极向上的团队文化，可以提高团队的凝聚力和战斗力。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36" w:name="_Toc17477"/>
      <w:r>
        <w:rPr>
          <w:rFonts w:ascii="仿宋" w:eastAsia="仿宋" w:hAnsi="仿宋" w:cs="仿宋" w:hint="eastAsia"/>
          <w:sz w:val="28"/>
          <w:lang w:eastAsia="zh-CN"/>
        </w:rPr>
        <w:t>(五)、员工培训</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遮光剂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遮光剂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选择适当的培训方法，包括面对面培训、在线培训、实践操作等。不同的培训方法适用于不同的培训内容和目标。在选择培训方法时，要考虑员工的学习习惯和遮光剂项目的实际情况，以提高培训效果。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遮光剂项目所需的技能和理念。同时，也可以考虑邀请遮光剂项目内部专家担任培训讲师，更符合遮光剂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37" w:name="_Toc28306"/>
      <w:r>
        <w:rPr>
          <w:rFonts w:ascii="仿宋" w:eastAsia="仿宋" w:hAnsi="仿宋" w:cs="仿宋" w:hint="eastAsia"/>
          <w:sz w:val="28"/>
          <w:lang w:eastAsia="zh-CN"/>
        </w:rPr>
        <w:t>(六)、遮光剂项目实施保障</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遮光剂项目团队建设：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6" w:history="1">
        <w:r>
          <w:rPr>
            <w:rFonts w:ascii="SimSun" w:eastAsia="SimSun" w:hAnsi="SimSun" w:cs="SimSun"/>
            <w:b/>
            <w:bCs/>
            <w:color w:val="0000EE"/>
            <w:kern w:val="0"/>
            <w:sz w:val="30"/>
            <w:szCs w:val="30"/>
            <w:u w:val="single" w:color="0000EE"/>
          </w:rPr>
          <w:t>https://d.book118.com/495310114043011103</w:t>
        </w:r>
      </w:hyperlink>
    </w:p>
    <w:p>
      <w:pPr>
        <w:ind w:firstLine="560" w:firstLineChars="200"/>
        <w:rPr>
          <w:rFonts w:ascii="仿宋" w:eastAsia="仿宋" w:hAnsi="仿宋" w:cs="仿宋" w:hint="eastAsia"/>
          <w:sz w:val="28"/>
        </w:rPr>
      </w:pPr>
    </w:p>
    <w:sectPr>
      <w:headerReference w:type="default" r:id="rId87"/>
      <w:footerReference w:type="default" r:id="rId88"/>
      <w:type w:val="nextPage"/>
      <w:pgSz w:w="11906" w:h="16838"/>
      <w:pgMar w:top="1440" w:right="1800" w:bottom="1440" w:left="1800" w:header="851" w:footer="992" w:gutter="0"/>
      <w:pgNumType w:start="4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遮光剂项目情况报告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E5390A"/>
    <w:rsid w:val="5DE539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yperlink" Target="https://d.book118.com/495310114043011103" TargetMode="External" /><Relationship Id="rId87" Type="http://schemas.openxmlformats.org/officeDocument/2006/relationships/header" Target="header42.xml" /><Relationship Id="rId88" Type="http://schemas.openxmlformats.org/officeDocument/2006/relationships/footer" Target="footer42.xml" /><Relationship Id="rId89" Type="http://schemas.openxmlformats.org/officeDocument/2006/relationships/theme" Target="theme/theme1.xml" /><Relationship Id="rId9" Type="http://schemas.openxmlformats.org/officeDocument/2006/relationships/footer" Target="footer3.xml" /><Relationship Id="rId9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2024-01-13T22:55:00Z</dcterms:created>
  <dcterms:modified xsi:type="dcterms:W3CDTF">2024-01-13T22:56:25Z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9225185D25B94D33A8AD07A6B9D9F43D_11</vt:lpwstr>
  </property>
  <property fmtid="{D5CDD505-2E9C-101B-9397-08002B2CF9AE}" pid="3" name="KSOProductBuildVer">
    <vt:lpwstr>2052-12.1.0.16120</vt:lpwstr>
  </property>
</Properties>
</file>