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微生物学诊断产品项目规划设计蓝图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50" w:history="1">
        <w:r>
          <w:rPr>
            <w:rFonts w:ascii="仿宋" w:eastAsia="仿宋" w:hAnsi="仿宋" w:cs="仿宋" w:hint="eastAsia"/>
            <w:lang w:eastAsia="zh-CN"/>
          </w:rPr>
          <w:t>序言</w:t>
        </w:r>
        <w:r>
          <w:tab/>
        </w:r>
        <w:r>
          <w:fldChar w:fldCharType="begin"/>
        </w:r>
        <w:r>
          <w:instrText xml:space="preserve"> PAGEREF _Toc29250 \h </w:instrText>
        </w:r>
        <w:r>
          <w:fldChar w:fldCharType="separate"/>
        </w:r>
        <w:r>
          <w:t>3</w:t>
        </w:r>
        <w:r>
          <w:fldChar w:fldCharType="end"/>
        </w:r>
      </w:hyperlink>
    </w:p>
    <w:p>
      <w:pPr>
        <w:pStyle w:val="TOC1"/>
        <w:tabs>
          <w:tab w:val="right" w:leader="dot" w:pos="8306"/>
        </w:tabs>
      </w:pPr>
      <w:hyperlink w:anchor="_Toc29248" w:history="1">
        <w:r>
          <w:rPr>
            <w:rFonts w:ascii="仿宋" w:eastAsia="仿宋" w:hAnsi="仿宋" w:cs="仿宋" w:hint="eastAsia"/>
            <w:lang w:eastAsia="zh-CN"/>
          </w:rPr>
          <w:t>一、工艺说明</w:t>
        </w:r>
        <w:r>
          <w:tab/>
        </w:r>
        <w:r>
          <w:fldChar w:fldCharType="begin"/>
        </w:r>
        <w:r>
          <w:instrText xml:space="preserve"> PAGEREF _Toc29248 \h </w:instrText>
        </w:r>
        <w:r>
          <w:fldChar w:fldCharType="separate"/>
        </w:r>
        <w:r>
          <w:t>3</w:t>
        </w:r>
        <w:r>
          <w:fldChar w:fldCharType="end"/>
        </w:r>
      </w:hyperlink>
    </w:p>
    <w:p>
      <w:pPr>
        <w:pStyle w:val="TOC2"/>
        <w:tabs>
          <w:tab w:val="right" w:leader="dot" w:pos="8306"/>
        </w:tabs>
      </w:pPr>
      <w:hyperlink w:anchor="_Toc21999" w:history="1">
        <w:r>
          <w:rPr>
            <w:rFonts w:ascii="仿宋" w:eastAsia="仿宋" w:hAnsi="仿宋" w:cs="仿宋" w:hint="eastAsia"/>
            <w:lang w:eastAsia="zh-CN"/>
          </w:rPr>
          <w:t>(一)、技术管理特点</w:t>
        </w:r>
        <w:r>
          <w:tab/>
        </w:r>
        <w:r>
          <w:fldChar w:fldCharType="begin"/>
        </w:r>
        <w:r>
          <w:instrText xml:space="preserve"> PAGEREF _Toc21999 \h </w:instrText>
        </w:r>
        <w:r>
          <w:fldChar w:fldCharType="separate"/>
        </w:r>
        <w:r>
          <w:t>3</w:t>
        </w:r>
        <w:r>
          <w:fldChar w:fldCharType="end"/>
        </w:r>
      </w:hyperlink>
    </w:p>
    <w:p>
      <w:pPr>
        <w:pStyle w:val="TOC2"/>
        <w:tabs>
          <w:tab w:val="right" w:leader="dot" w:pos="8306"/>
        </w:tabs>
      </w:pPr>
      <w:hyperlink w:anchor="_Toc18203" w:history="1">
        <w:r>
          <w:rPr>
            <w:rFonts w:ascii="仿宋" w:eastAsia="仿宋" w:hAnsi="仿宋" w:cs="仿宋" w:hint="eastAsia"/>
            <w:lang w:eastAsia="zh-CN"/>
          </w:rPr>
          <w:t>(二)、微生物学诊断产品项目工艺技术设计方案</w:t>
        </w:r>
        <w:r>
          <w:tab/>
        </w:r>
        <w:r>
          <w:fldChar w:fldCharType="begin"/>
        </w:r>
        <w:r>
          <w:instrText xml:space="preserve"> PAGEREF _Toc18203 \h </w:instrText>
        </w:r>
        <w:r>
          <w:fldChar w:fldCharType="separate"/>
        </w:r>
        <w:r>
          <w:t>4</w:t>
        </w:r>
        <w:r>
          <w:fldChar w:fldCharType="end"/>
        </w:r>
      </w:hyperlink>
    </w:p>
    <w:p>
      <w:pPr>
        <w:pStyle w:val="TOC2"/>
        <w:tabs>
          <w:tab w:val="right" w:leader="dot" w:pos="8306"/>
        </w:tabs>
      </w:pPr>
      <w:hyperlink w:anchor="_Toc2399" w:history="1">
        <w:r>
          <w:rPr>
            <w:rFonts w:ascii="仿宋" w:eastAsia="仿宋" w:hAnsi="仿宋" w:cs="仿宋" w:hint="eastAsia"/>
            <w:lang w:eastAsia="zh-CN"/>
          </w:rPr>
          <w:t>(三)、设备选型方案</w:t>
        </w:r>
        <w:r>
          <w:tab/>
        </w:r>
        <w:r>
          <w:fldChar w:fldCharType="begin"/>
        </w:r>
        <w:r>
          <w:instrText xml:space="preserve"> PAGEREF _Toc2399 \h </w:instrText>
        </w:r>
        <w:r>
          <w:fldChar w:fldCharType="separate"/>
        </w:r>
        <w:r>
          <w:t>5</w:t>
        </w:r>
        <w:r>
          <w:fldChar w:fldCharType="end"/>
        </w:r>
      </w:hyperlink>
    </w:p>
    <w:p>
      <w:pPr>
        <w:pStyle w:val="TOC1"/>
        <w:tabs>
          <w:tab w:val="right" w:leader="dot" w:pos="8306"/>
        </w:tabs>
      </w:pPr>
      <w:hyperlink w:anchor="_Toc490" w:history="1">
        <w:r>
          <w:rPr>
            <w:rFonts w:ascii="仿宋" w:eastAsia="仿宋" w:hAnsi="仿宋" w:cs="仿宋" w:hint="eastAsia"/>
            <w:lang w:eastAsia="zh-CN"/>
          </w:rPr>
          <w:t>二、产品规划分析</w:t>
        </w:r>
        <w:r>
          <w:tab/>
        </w:r>
        <w:r>
          <w:fldChar w:fldCharType="begin"/>
        </w:r>
        <w:r>
          <w:instrText xml:space="preserve"> PAGEREF _Toc490 \h </w:instrText>
        </w:r>
        <w:r>
          <w:fldChar w:fldCharType="separate"/>
        </w:r>
        <w:r>
          <w:t>7</w:t>
        </w:r>
        <w:r>
          <w:fldChar w:fldCharType="end"/>
        </w:r>
      </w:hyperlink>
    </w:p>
    <w:p>
      <w:pPr>
        <w:pStyle w:val="TOC2"/>
        <w:tabs>
          <w:tab w:val="right" w:leader="dot" w:pos="8306"/>
        </w:tabs>
      </w:pPr>
      <w:hyperlink w:anchor="_Toc6198" w:history="1">
        <w:r>
          <w:rPr>
            <w:rFonts w:ascii="仿宋" w:eastAsia="仿宋" w:hAnsi="仿宋" w:cs="仿宋" w:hint="eastAsia"/>
            <w:lang w:eastAsia="zh-CN"/>
          </w:rPr>
          <w:t>(一)、产品规划</w:t>
        </w:r>
        <w:r>
          <w:tab/>
        </w:r>
        <w:r>
          <w:fldChar w:fldCharType="begin"/>
        </w:r>
        <w:r>
          <w:instrText xml:space="preserve"> PAGEREF _Toc6198 \h </w:instrText>
        </w:r>
        <w:r>
          <w:fldChar w:fldCharType="separate"/>
        </w:r>
        <w:r>
          <w:t>7</w:t>
        </w:r>
        <w:r>
          <w:fldChar w:fldCharType="end"/>
        </w:r>
      </w:hyperlink>
    </w:p>
    <w:p>
      <w:pPr>
        <w:pStyle w:val="TOC2"/>
        <w:tabs>
          <w:tab w:val="right" w:leader="dot" w:pos="8306"/>
        </w:tabs>
      </w:pPr>
      <w:hyperlink w:anchor="_Toc23486" w:history="1">
        <w:r>
          <w:rPr>
            <w:rFonts w:ascii="仿宋" w:eastAsia="仿宋" w:hAnsi="仿宋" w:cs="仿宋" w:hint="eastAsia"/>
            <w:lang w:eastAsia="zh-CN"/>
          </w:rPr>
          <w:t>(二)、建设规模</w:t>
        </w:r>
        <w:r>
          <w:tab/>
        </w:r>
        <w:r>
          <w:fldChar w:fldCharType="begin"/>
        </w:r>
        <w:r>
          <w:instrText xml:space="preserve"> PAGEREF _Toc23486 \h </w:instrText>
        </w:r>
        <w:r>
          <w:fldChar w:fldCharType="separate"/>
        </w:r>
        <w:r>
          <w:t>8</w:t>
        </w:r>
        <w:r>
          <w:fldChar w:fldCharType="end"/>
        </w:r>
      </w:hyperlink>
    </w:p>
    <w:p>
      <w:pPr>
        <w:pStyle w:val="TOC1"/>
        <w:tabs>
          <w:tab w:val="right" w:leader="dot" w:pos="8306"/>
        </w:tabs>
      </w:pPr>
      <w:hyperlink w:anchor="_Toc11087" w:history="1">
        <w:r>
          <w:rPr>
            <w:rFonts w:ascii="仿宋" w:eastAsia="仿宋" w:hAnsi="仿宋" w:cs="仿宋" w:hint="eastAsia"/>
            <w:lang w:eastAsia="zh-CN"/>
          </w:rPr>
          <w:t>三、微生物学诊断产品项目选址可行性分析</w:t>
        </w:r>
        <w:r>
          <w:tab/>
        </w:r>
        <w:r>
          <w:fldChar w:fldCharType="begin"/>
        </w:r>
        <w:r>
          <w:instrText xml:space="preserve"> PAGEREF _Toc11087 \h </w:instrText>
        </w:r>
        <w:r>
          <w:fldChar w:fldCharType="separate"/>
        </w:r>
        <w:r>
          <w:t>9</w:t>
        </w:r>
        <w:r>
          <w:fldChar w:fldCharType="end"/>
        </w:r>
      </w:hyperlink>
    </w:p>
    <w:p>
      <w:pPr>
        <w:pStyle w:val="TOC2"/>
        <w:tabs>
          <w:tab w:val="right" w:leader="dot" w:pos="8306"/>
        </w:tabs>
      </w:pPr>
      <w:hyperlink w:anchor="_Toc9677" w:history="1">
        <w:r>
          <w:rPr>
            <w:rFonts w:ascii="仿宋" w:eastAsia="仿宋" w:hAnsi="仿宋" w:cs="仿宋" w:hint="eastAsia"/>
            <w:lang w:eastAsia="zh-CN"/>
          </w:rPr>
          <w:t>(一)、微生物学诊断产品项目选址</w:t>
        </w:r>
        <w:r>
          <w:tab/>
        </w:r>
        <w:r>
          <w:fldChar w:fldCharType="begin"/>
        </w:r>
        <w:r>
          <w:instrText xml:space="preserve"> PAGEREF _Toc9677 \h </w:instrText>
        </w:r>
        <w:r>
          <w:fldChar w:fldCharType="separate"/>
        </w:r>
        <w:r>
          <w:t>9</w:t>
        </w:r>
        <w:r>
          <w:fldChar w:fldCharType="end"/>
        </w:r>
      </w:hyperlink>
    </w:p>
    <w:p>
      <w:pPr>
        <w:pStyle w:val="TOC2"/>
        <w:tabs>
          <w:tab w:val="right" w:leader="dot" w:pos="8306"/>
        </w:tabs>
      </w:pPr>
      <w:hyperlink w:anchor="_Toc5040" w:history="1">
        <w:r>
          <w:rPr>
            <w:rFonts w:ascii="仿宋" w:eastAsia="仿宋" w:hAnsi="仿宋" w:cs="仿宋" w:hint="eastAsia"/>
            <w:lang w:eastAsia="zh-CN"/>
          </w:rPr>
          <w:t>(二)、用地控制指标</w:t>
        </w:r>
        <w:r>
          <w:tab/>
        </w:r>
        <w:r>
          <w:fldChar w:fldCharType="begin"/>
        </w:r>
        <w:r>
          <w:instrText xml:space="preserve"> PAGEREF _Toc5040 \h </w:instrText>
        </w:r>
        <w:r>
          <w:fldChar w:fldCharType="separate"/>
        </w:r>
        <w:r>
          <w:t>9</w:t>
        </w:r>
        <w:r>
          <w:fldChar w:fldCharType="end"/>
        </w:r>
      </w:hyperlink>
    </w:p>
    <w:p>
      <w:pPr>
        <w:pStyle w:val="TOC2"/>
        <w:tabs>
          <w:tab w:val="right" w:leader="dot" w:pos="8306"/>
        </w:tabs>
      </w:pPr>
      <w:hyperlink w:anchor="_Toc10021" w:history="1">
        <w:r>
          <w:rPr>
            <w:rFonts w:ascii="仿宋" w:eastAsia="仿宋" w:hAnsi="仿宋" w:cs="仿宋" w:hint="eastAsia"/>
            <w:lang w:eastAsia="zh-CN"/>
          </w:rPr>
          <w:t>(三)、节约用地措施</w:t>
        </w:r>
        <w:r>
          <w:tab/>
        </w:r>
        <w:r>
          <w:fldChar w:fldCharType="begin"/>
        </w:r>
        <w:r>
          <w:instrText xml:space="preserve"> PAGEREF _Toc10021 \h </w:instrText>
        </w:r>
        <w:r>
          <w:fldChar w:fldCharType="separate"/>
        </w:r>
        <w:r>
          <w:t>11</w:t>
        </w:r>
        <w:r>
          <w:fldChar w:fldCharType="end"/>
        </w:r>
      </w:hyperlink>
    </w:p>
    <w:p>
      <w:pPr>
        <w:pStyle w:val="TOC2"/>
        <w:tabs>
          <w:tab w:val="right" w:leader="dot" w:pos="8306"/>
        </w:tabs>
      </w:pPr>
      <w:hyperlink w:anchor="_Toc13788" w:history="1">
        <w:r>
          <w:rPr>
            <w:rFonts w:ascii="仿宋" w:eastAsia="仿宋" w:hAnsi="仿宋" w:cs="仿宋" w:hint="eastAsia"/>
            <w:lang w:eastAsia="zh-CN"/>
          </w:rPr>
          <w:t>(四)、总图布置方案</w:t>
        </w:r>
        <w:r>
          <w:tab/>
        </w:r>
        <w:r>
          <w:fldChar w:fldCharType="begin"/>
        </w:r>
        <w:r>
          <w:instrText xml:space="preserve"> PAGEREF _Toc13788 \h </w:instrText>
        </w:r>
        <w:r>
          <w:fldChar w:fldCharType="separate"/>
        </w:r>
        <w:r>
          <w:t>12</w:t>
        </w:r>
        <w:r>
          <w:fldChar w:fldCharType="end"/>
        </w:r>
      </w:hyperlink>
    </w:p>
    <w:p>
      <w:pPr>
        <w:pStyle w:val="TOC2"/>
        <w:tabs>
          <w:tab w:val="right" w:leader="dot" w:pos="8306"/>
        </w:tabs>
      </w:pPr>
      <w:hyperlink w:anchor="_Toc19744" w:history="1">
        <w:r>
          <w:rPr>
            <w:rFonts w:ascii="仿宋" w:eastAsia="仿宋" w:hAnsi="仿宋" w:cs="仿宋" w:hint="eastAsia"/>
            <w:lang w:eastAsia="zh-CN"/>
          </w:rPr>
          <w:t>(五)、选址综合评价</w:t>
        </w:r>
        <w:r>
          <w:tab/>
        </w:r>
        <w:r>
          <w:fldChar w:fldCharType="begin"/>
        </w:r>
        <w:r>
          <w:instrText xml:space="preserve"> PAGEREF _Toc19744 \h </w:instrText>
        </w:r>
        <w:r>
          <w:fldChar w:fldCharType="separate"/>
        </w:r>
        <w:r>
          <w:t>13</w:t>
        </w:r>
        <w:r>
          <w:fldChar w:fldCharType="end"/>
        </w:r>
      </w:hyperlink>
    </w:p>
    <w:p>
      <w:pPr>
        <w:pStyle w:val="TOC1"/>
        <w:tabs>
          <w:tab w:val="right" w:leader="dot" w:pos="8306"/>
        </w:tabs>
      </w:pPr>
      <w:hyperlink w:anchor="_Toc8460" w:history="1">
        <w:r>
          <w:rPr>
            <w:rFonts w:ascii="仿宋" w:eastAsia="仿宋" w:hAnsi="仿宋" w:cs="仿宋" w:hint="eastAsia"/>
            <w:lang w:eastAsia="zh-CN"/>
          </w:rPr>
          <w:t>四、市场分析、调研</w:t>
        </w:r>
        <w:r>
          <w:tab/>
        </w:r>
        <w:r>
          <w:fldChar w:fldCharType="begin"/>
        </w:r>
        <w:r>
          <w:instrText xml:space="preserve"> PAGEREF _Toc8460 \h </w:instrText>
        </w:r>
        <w:r>
          <w:fldChar w:fldCharType="separate"/>
        </w:r>
        <w:r>
          <w:t>14</w:t>
        </w:r>
        <w:r>
          <w:fldChar w:fldCharType="end"/>
        </w:r>
      </w:hyperlink>
    </w:p>
    <w:p>
      <w:pPr>
        <w:pStyle w:val="TOC2"/>
        <w:tabs>
          <w:tab w:val="right" w:leader="dot" w:pos="8306"/>
        </w:tabs>
      </w:pPr>
      <w:hyperlink w:anchor="_Toc27728" w:history="1">
        <w:r>
          <w:rPr>
            <w:rFonts w:ascii="仿宋" w:eastAsia="仿宋" w:hAnsi="仿宋" w:cs="仿宋" w:hint="eastAsia"/>
            <w:lang w:eastAsia="zh-CN"/>
          </w:rPr>
          <w:t>(一)、微生物学诊断产品行业分析</w:t>
        </w:r>
        <w:r>
          <w:tab/>
        </w:r>
        <w:r>
          <w:fldChar w:fldCharType="begin"/>
        </w:r>
        <w:r>
          <w:instrText xml:space="preserve"> PAGEREF _Toc27728 \h </w:instrText>
        </w:r>
        <w:r>
          <w:fldChar w:fldCharType="separate"/>
        </w:r>
        <w:r>
          <w:t>14</w:t>
        </w:r>
        <w:r>
          <w:fldChar w:fldCharType="end"/>
        </w:r>
      </w:hyperlink>
    </w:p>
    <w:p>
      <w:pPr>
        <w:pStyle w:val="TOC2"/>
        <w:tabs>
          <w:tab w:val="right" w:leader="dot" w:pos="8306"/>
        </w:tabs>
      </w:pPr>
      <w:hyperlink w:anchor="_Toc14550" w:history="1">
        <w:r>
          <w:rPr>
            <w:rFonts w:ascii="仿宋" w:eastAsia="仿宋" w:hAnsi="仿宋" w:cs="仿宋" w:hint="eastAsia"/>
            <w:lang w:eastAsia="zh-CN"/>
          </w:rPr>
          <w:t>(二)、微生物学诊断产品市场分析预测</w:t>
        </w:r>
        <w:r>
          <w:tab/>
        </w:r>
        <w:r>
          <w:fldChar w:fldCharType="begin"/>
        </w:r>
        <w:r>
          <w:instrText xml:space="preserve"> PAGEREF _Toc14550 \h </w:instrText>
        </w:r>
        <w:r>
          <w:fldChar w:fldCharType="separate"/>
        </w:r>
        <w:r>
          <w:t>15</w:t>
        </w:r>
        <w:r>
          <w:fldChar w:fldCharType="end"/>
        </w:r>
      </w:hyperlink>
    </w:p>
    <w:p>
      <w:pPr>
        <w:pStyle w:val="TOC1"/>
        <w:tabs>
          <w:tab w:val="right" w:leader="dot" w:pos="8306"/>
        </w:tabs>
      </w:pPr>
      <w:hyperlink w:anchor="_Toc32257" w:history="1">
        <w:r>
          <w:rPr>
            <w:rFonts w:ascii="仿宋" w:eastAsia="仿宋" w:hAnsi="仿宋" w:cs="仿宋" w:hint="eastAsia"/>
            <w:lang w:eastAsia="zh-CN"/>
          </w:rPr>
          <w:t>五、微生物学诊断产品项目可持续发展</w:t>
        </w:r>
        <w:r>
          <w:tab/>
        </w:r>
        <w:r>
          <w:fldChar w:fldCharType="begin"/>
        </w:r>
        <w:r>
          <w:instrText xml:space="preserve"> PAGEREF _Toc32257 \h </w:instrText>
        </w:r>
        <w:r>
          <w:fldChar w:fldCharType="separate"/>
        </w:r>
        <w:r>
          <w:t>16</w:t>
        </w:r>
        <w:r>
          <w:fldChar w:fldCharType="end"/>
        </w:r>
      </w:hyperlink>
    </w:p>
    <w:p>
      <w:pPr>
        <w:pStyle w:val="TOC2"/>
        <w:tabs>
          <w:tab w:val="right" w:leader="dot" w:pos="8306"/>
        </w:tabs>
      </w:pPr>
      <w:hyperlink w:anchor="_Toc19773" w:history="1">
        <w:r>
          <w:rPr>
            <w:rFonts w:ascii="仿宋" w:eastAsia="仿宋" w:hAnsi="仿宋" w:cs="仿宋" w:hint="eastAsia"/>
            <w:lang w:eastAsia="zh-CN"/>
          </w:rPr>
          <w:t>(一)、可持续战略与实践</w:t>
        </w:r>
        <w:r>
          <w:tab/>
        </w:r>
        <w:r>
          <w:fldChar w:fldCharType="begin"/>
        </w:r>
        <w:r>
          <w:instrText xml:space="preserve"> PAGEREF _Toc19773 \h </w:instrText>
        </w:r>
        <w:r>
          <w:fldChar w:fldCharType="separate"/>
        </w:r>
        <w:r>
          <w:t>16</w:t>
        </w:r>
        <w:r>
          <w:fldChar w:fldCharType="end"/>
        </w:r>
      </w:hyperlink>
    </w:p>
    <w:p>
      <w:pPr>
        <w:pStyle w:val="TOC2"/>
        <w:tabs>
          <w:tab w:val="right" w:leader="dot" w:pos="8306"/>
        </w:tabs>
      </w:pPr>
      <w:hyperlink w:anchor="_Toc26236" w:history="1">
        <w:r>
          <w:rPr>
            <w:rFonts w:ascii="仿宋" w:eastAsia="仿宋" w:hAnsi="仿宋" w:cs="仿宋" w:hint="eastAsia"/>
            <w:lang w:eastAsia="zh-CN"/>
          </w:rPr>
          <w:t>(二)、环保与社会责任</w:t>
        </w:r>
        <w:r>
          <w:tab/>
        </w:r>
        <w:r>
          <w:fldChar w:fldCharType="begin"/>
        </w:r>
        <w:r>
          <w:instrText xml:space="preserve"> PAGEREF _Toc26236 \h </w:instrText>
        </w:r>
        <w:r>
          <w:fldChar w:fldCharType="separate"/>
        </w:r>
        <w:r>
          <w:t>17</w:t>
        </w:r>
        <w:r>
          <w:fldChar w:fldCharType="end"/>
        </w:r>
      </w:hyperlink>
    </w:p>
    <w:p>
      <w:pPr>
        <w:pStyle w:val="TOC1"/>
        <w:tabs>
          <w:tab w:val="right" w:leader="dot" w:pos="8306"/>
        </w:tabs>
      </w:pPr>
      <w:hyperlink w:anchor="_Toc7255" w:history="1">
        <w:r>
          <w:rPr>
            <w:rFonts w:ascii="仿宋" w:eastAsia="仿宋" w:hAnsi="仿宋" w:cs="仿宋" w:hint="eastAsia"/>
            <w:lang w:eastAsia="zh-CN"/>
          </w:rPr>
          <w:t>六、微生物学诊断产品项目文档管理</w:t>
        </w:r>
        <w:r>
          <w:tab/>
        </w:r>
        <w:r>
          <w:fldChar w:fldCharType="begin"/>
        </w:r>
        <w:r>
          <w:instrText xml:space="preserve"> PAGEREF _Toc7255 \h </w:instrText>
        </w:r>
        <w:r>
          <w:fldChar w:fldCharType="separate"/>
        </w:r>
        <w:r>
          <w:t>18</w:t>
        </w:r>
        <w:r>
          <w:fldChar w:fldCharType="end"/>
        </w:r>
      </w:hyperlink>
    </w:p>
    <w:p>
      <w:pPr>
        <w:pStyle w:val="TOC2"/>
        <w:tabs>
          <w:tab w:val="right" w:leader="dot" w:pos="8306"/>
        </w:tabs>
      </w:pPr>
      <w:hyperlink w:anchor="_Toc29360" w:history="1">
        <w:r>
          <w:rPr>
            <w:rFonts w:ascii="仿宋" w:eastAsia="仿宋" w:hAnsi="仿宋" w:cs="仿宋" w:hint="eastAsia"/>
            <w:lang w:eastAsia="zh-CN"/>
          </w:rPr>
          <w:t>(一)、文档编制与审查</w:t>
        </w:r>
        <w:r>
          <w:tab/>
        </w:r>
        <w:r>
          <w:fldChar w:fldCharType="begin"/>
        </w:r>
        <w:r>
          <w:instrText xml:space="preserve"> PAGEREF _Toc29360 \h </w:instrText>
        </w:r>
        <w:r>
          <w:fldChar w:fldCharType="separate"/>
        </w:r>
        <w:r>
          <w:t>18</w:t>
        </w:r>
        <w:r>
          <w:fldChar w:fldCharType="end"/>
        </w:r>
      </w:hyperlink>
    </w:p>
    <w:p>
      <w:pPr>
        <w:pStyle w:val="TOC2"/>
        <w:tabs>
          <w:tab w:val="right" w:leader="dot" w:pos="8306"/>
        </w:tabs>
      </w:pPr>
      <w:hyperlink w:anchor="_Toc20953" w:history="1">
        <w:r>
          <w:rPr>
            <w:rFonts w:ascii="仿宋" w:eastAsia="仿宋" w:hAnsi="仿宋" w:cs="仿宋" w:hint="eastAsia"/>
            <w:lang w:eastAsia="zh-CN"/>
          </w:rPr>
          <w:t>(二)、文档发布与分发</w:t>
        </w:r>
        <w:r>
          <w:tab/>
        </w:r>
        <w:r>
          <w:fldChar w:fldCharType="begin"/>
        </w:r>
        <w:r>
          <w:instrText xml:space="preserve"> PAGEREF _Toc20953 \h </w:instrText>
        </w:r>
        <w:r>
          <w:fldChar w:fldCharType="separate"/>
        </w:r>
        <w:r>
          <w:t>19</w:t>
        </w:r>
        <w:r>
          <w:fldChar w:fldCharType="end"/>
        </w:r>
      </w:hyperlink>
    </w:p>
    <w:p>
      <w:pPr>
        <w:pStyle w:val="TOC2"/>
        <w:tabs>
          <w:tab w:val="right" w:leader="dot" w:pos="8306"/>
        </w:tabs>
      </w:pPr>
      <w:hyperlink w:anchor="_Toc28660" w:history="1">
        <w:r>
          <w:rPr>
            <w:rFonts w:ascii="仿宋" w:eastAsia="仿宋" w:hAnsi="仿宋" w:cs="仿宋" w:hint="eastAsia"/>
            <w:lang w:eastAsia="zh-CN"/>
          </w:rPr>
          <w:t>(三)、文档存档与归档</w:t>
        </w:r>
        <w:r>
          <w:tab/>
        </w:r>
        <w:r>
          <w:fldChar w:fldCharType="begin"/>
        </w:r>
        <w:r>
          <w:instrText xml:space="preserve"> PAGEREF _Toc28660 \h </w:instrText>
        </w:r>
        <w:r>
          <w:fldChar w:fldCharType="separate"/>
        </w:r>
        <w:r>
          <w:t>20</w:t>
        </w:r>
        <w:r>
          <w:fldChar w:fldCharType="end"/>
        </w:r>
      </w:hyperlink>
    </w:p>
    <w:p>
      <w:pPr>
        <w:pStyle w:val="TOC1"/>
        <w:tabs>
          <w:tab w:val="right" w:leader="dot" w:pos="8306"/>
        </w:tabs>
      </w:pPr>
      <w:hyperlink w:anchor="_Toc31819" w:history="1">
        <w:r>
          <w:rPr>
            <w:rFonts w:ascii="仿宋" w:eastAsia="仿宋" w:hAnsi="仿宋" w:cs="仿宋" w:hint="eastAsia"/>
            <w:lang w:eastAsia="zh-CN"/>
          </w:rPr>
          <w:t>七、微生物学诊断产品项目创新与研发</w:t>
        </w:r>
        <w:r>
          <w:tab/>
        </w:r>
        <w:r>
          <w:fldChar w:fldCharType="begin"/>
        </w:r>
        <w:r>
          <w:instrText xml:space="preserve"> PAGEREF _Toc31819 \h </w:instrText>
        </w:r>
        <w:r>
          <w:fldChar w:fldCharType="separate"/>
        </w:r>
        <w:r>
          <w:t>21</w:t>
        </w:r>
        <w:r>
          <w:fldChar w:fldCharType="end"/>
        </w:r>
      </w:hyperlink>
    </w:p>
    <w:p>
      <w:pPr>
        <w:pStyle w:val="TOC2"/>
        <w:tabs>
          <w:tab w:val="right" w:leader="dot" w:pos="8306"/>
        </w:tabs>
      </w:pPr>
      <w:hyperlink w:anchor="_Toc5883" w:history="1">
        <w:r>
          <w:rPr>
            <w:rFonts w:ascii="仿宋" w:eastAsia="仿宋" w:hAnsi="仿宋" w:cs="仿宋" w:hint="eastAsia"/>
            <w:lang w:eastAsia="zh-CN"/>
          </w:rPr>
          <w:t>(一)、创新策略与方向</w:t>
        </w:r>
        <w:r>
          <w:tab/>
        </w:r>
        <w:r>
          <w:fldChar w:fldCharType="begin"/>
        </w:r>
        <w:r>
          <w:instrText xml:space="preserve"> PAGEREF _Toc5883 \h </w:instrText>
        </w:r>
        <w:r>
          <w:fldChar w:fldCharType="separate"/>
        </w:r>
        <w:r>
          <w:t>21</w:t>
        </w:r>
        <w:r>
          <w:fldChar w:fldCharType="end"/>
        </w:r>
      </w:hyperlink>
    </w:p>
    <w:p>
      <w:pPr>
        <w:pStyle w:val="TOC2"/>
        <w:tabs>
          <w:tab w:val="right" w:leader="dot" w:pos="8306"/>
        </w:tabs>
      </w:pPr>
      <w:hyperlink w:anchor="_Toc27839" w:history="1">
        <w:r>
          <w:rPr>
            <w:rFonts w:ascii="仿宋" w:eastAsia="仿宋" w:hAnsi="仿宋" w:cs="仿宋" w:hint="eastAsia"/>
            <w:lang w:eastAsia="zh-CN"/>
          </w:rPr>
          <w:t>(二)、研发规划与投入</w:t>
        </w:r>
        <w:r>
          <w:tab/>
        </w:r>
        <w:r>
          <w:fldChar w:fldCharType="begin"/>
        </w:r>
        <w:r>
          <w:instrText xml:space="preserve"> PAGEREF _Toc27839 \h </w:instrText>
        </w:r>
        <w:r>
          <w:fldChar w:fldCharType="separate"/>
        </w:r>
        <w:r>
          <w:t>23</w:t>
        </w:r>
        <w:r>
          <w:fldChar w:fldCharType="end"/>
        </w:r>
      </w:hyperlink>
    </w:p>
    <w:p>
      <w:pPr>
        <w:pStyle w:val="TOC1"/>
        <w:tabs>
          <w:tab w:val="right" w:leader="dot" w:pos="8306"/>
        </w:tabs>
      </w:pPr>
      <w:hyperlink w:anchor="_Toc2858" w:history="1">
        <w:r>
          <w:rPr>
            <w:rFonts w:ascii="仿宋" w:eastAsia="仿宋" w:hAnsi="仿宋" w:cs="仿宋" w:hint="eastAsia"/>
            <w:lang w:eastAsia="zh-CN"/>
          </w:rPr>
          <w:t>八、微生物学诊断产品项目环境影响分析</w:t>
        </w:r>
        <w:r>
          <w:tab/>
        </w:r>
        <w:r>
          <w:fldChar w:fldCharType="begin"/>
        </w:r>
        <w:r>
          <w:instrText xml:space="preserve"> PAGEREF _Toc2858 \h </w:instrText>
        </w:r>
        <w:r>
          <w:fldChar w:fldCharType="separate"/>
        </w:r>
        <w:r>
          <w:t>24</w:t>
        </w:r>
        <w:r>
          <w:fldChar w:fldCharType="end"/>
        </w:r>
      </w:hyperlink>
    </w:p>
    <w:p>
      <w:pPr>
        <w:pStyle w:val="TOC2"/>
        <w:tabs>
          <w:tab w:val="right" w:leader="dot" w:pos="8306"/>
        </w:tabs>
      </w:pPr>
      <w:hyperlink w:anchor="_Toc23856" w:history="1">
        <w:r>
          <w:rPr>
            <w:rFonts w:ascii="仿宋" w:eastAsia="仿宋" w:hAnsi="仿宋" w:cs="仿宋" w:hint="eastAsia"/>
            <w:lang w:eastAsia="zh-CN"/>
          </w:rPr>
          <w:t>(一)、建设区域环境质量现状</w:t>
        </w:r>
        <w:r>
          <w:tab/>
        </w:r>
        <w:r>
          <w:fldChar w:fldCharType="begin"/>
        </w:r>
        <w:r>
          <w:instrText xml:space="preserve"> PAGEREF _Toc23856 \h </w:instrText>
        </w:r>
        <w:r>
          <w:fldChar w:fldCharType="separate"/>
        </w:r>
        <w:r>
          <w:t>24</w:t>
        </w:r>
        <w:r>
          <w:fldChar w:fldCharType="end"/>
        </w:r>
      </w:hyperlink>
    </w:p>
    <w:p>
      <w:pPr>
        <w:pStyle w:val="TOC2"/>
        <w:tabs>
          <w:tab w:val="right" w:leader="dot" w:pos="8306"/>
        </w:tabs>
      </w:pPr>
      <w:hyperlink w:anchor="_Toc31225" w:history="1">
        <w:r>
          <w:rPr>
            <w:rFonts w:ascii="仿宋" w:eastAsia="仿宋" w:hAnsi="仿宋" w:cs="仿宋" w:hint="eastAsia"/>
            <w:lang w:eastAsia="zh-CN"/>
          </w:rPr>
          <w:t>(二)、建设期环境保护</w:t>
        </w:r>
        <w:r>
          <w:tab/>
        </w:r>
        <w:r>
          <w:fldChar w:fldCharType="begin"/>
        </w:r>
        <w:r>
          <w:instrText xml:space="preserve"> PAGEREF _Toc31225 \h </w:instrText>
        </w:r>
        <w:r>
          <w:fldChar w:fldCharType="separate"/>
        </w:r>
        <w:r>
          <w:t>26</w:t>
        </w:r>
        <w:r>
          <w:fldChar w:fldCharType="end"/>
        </w:r>
      </w:hyperlink>
    </w:p>
    <w:p>
      <w:pPr>
        <w:pStyle w:val="TOC2"/>
        <w:tabs>
          <w:tab w:val="right" w:leader="dot" w:pos="8306"/>
        </w:tabs>
      </w:pPr>
      <w:hyperlink w:anchor="_Toc23293" w:history="1">
        <w:r>
          <w:rPr>
            <w:rFonts w:ascii="仿宋" w:eastAsia="仿宋" w:hAnsi="仿宋" w:cs="仿宋" w:hint="eastAsia"/>
            <w:lang w:eastAsia="zh-CN"/>
          </w:rPr>
          <w:t>(三)、运营期环境保护</w:t>
        </w:r>
        <w:r>
          <w:tab/>
        </w:r>
        <w:r>
          <w:fldChar w:fldCharType="begin"/>
        </w:r>
        <w:r>
          <w:instrText xml:space="preserve"> PAGEREF _Toc23293 \h </w:instrText>
        </w:r>
        <w:r>
          <w:fldChar w:fldCharType="separate"/>
        </w:r>
        <w:r>
          <w:t>27</w:t>
        </w:r>
        <w:r>
          <w:fldChar w:fldCharType="end"/>
        </w:r>
      </w:hyperlink>
    </w:p>
    <w:p>
      <w:pPr>
        <w:pStyle w:val="TOC2"/>
        <w:tabs>
          <w:tab w:val="right" w:leader="dot" w:pos="8306"/>
        </w:tabs>
      </w:pPr>
      <w:hyperlink w:anchor="_Toc518" w:history="1">
        <w:r>
          <w:rPr>
            <w:rFonts w:ascii="仿宋" w:eastAsia="仿宋" w:hAnsi="仿宋" w:cs="仿宋" w:hint="eastAsia"/>
            <w:lang w:eastAsia="zh-CN"/>
          </w:rPr>
          <w:t>(四)、微生物学诊断产品项目建设对区域经济的影响</w:t>
        </w:r>
        <w:r>
          <w:tab/>
        </w:r>
        <w:r>
          <w:fldChar w:fldCharType="begin"/>
        </w:r>
        <w:r>
          <w:instrText xml:space="preserve"> PAGEREF _Toc518 \h </w:instrText>
        </w:r>
        <w:r>
          <w:fldChar w:fldCharType="separate"/>
        </w:r>
        <w:r>
          <w:t>29</w:t>
        </w:r>
        <w:r>
          <w:fldChar w:fldCharType="end"/>
        </w:r>
      </w:hyperlink>
    </w:p>
    <w:p>
      <w:pPr>
        <w:pStyle w:val="TOC2"/>
        <w:tabs>
          <w:tab w:val="right" w:leader="dot" w:pos="8306"/>
        </w:tabs>
      </w:pPr>
      <w:hyperlink w:anchor="_Toc7707" w:history="1">
        <w:r>
          <w:rPr>
            <w:rFonts w:ascii="仿宋" w:eastAsia="仿宋" w:hAnsi="仿宋" w:cs="仿宋" w:hint="eastAsia"/>
            <w:lang w:eastAsia="zh-CN"/>
          </w:rPr>
          <w:t>(五)、废弃物处理</w:t>
        </w:r>
        <w:r>
          <w:tab/>
        </w:r>
        <w:r>
          <w:fldChar w:fldCharType="begin"/>
        </w:r>
        <w:r>
          <w:instrText xml:space="preserve"> PAGEREF _Toc7707 \h </w:instrText>
        </w:r>
        <w:r>
          <w:fldChar w:fldCharType="separate"/>
        </w:r>
        <w:r>
          <w:t>30</w:t>
        </w:r>
        <w:r>
          <w:fldChar w:fldCharType="end"/>
        </w:r>
      </w:hyperlink>
    </w:p>
    <w:p>
      <w:pPr>
        <w:pStyle w:val="TOC2"/>
        <w:tabs>
          <w:tab w:val="right" w:leader="dot" w:pos="8306"/>
        </w:tabs>
      </w:pPr>
      <w:hyperlink w:anchor="_Toc2043" w:history="1">
        <w:r>
          <w:rPr>
            <w:rFonts w:ascii="仿宋" w:eastAsia="仿宋" w:hAnsi="仿宋" w:cs="仿宋" w:hint="eastAsia"/>
            <w:lang w:eastAsia="zh-CN"/>
          </w:rPr>
          <w:t>(六)、特殊环境影响分析</w:t>
        </w:r>
        <w:r>
          <w:tab/>
        </w:r>
        <w:r>
          <w:fldChar w:fldCharType="begin"/>
        </w:r>
        <w:r>
          <w:instrText xml:space="preserve"> PAGEREF _Toc2043 \h </w:instrText>
        </w:r>
        <w:r>
          <w:fldChar w:fldCharType="separate"/>
        </w:r>
        <w:r>
          <w:t>32</w:t>
        </w:r>
        <w:r>
          <w:fldChar w:fldCharType="end"/>
        </w:r>
      </w:hyperlink>
    </w:p>
    <w:p>
      <w:pPr>
        <w:pStyle w:val="TOC2"/>
        <w:tabs>
          <w:tab w:val="right" w:leader="dot" w:pos="8306"/>
        </w:tabs>
      </w:pPr>
      <w:hyperlink w:anchor="_Toc31473" w:history="1">
        <w:r>
          <w:rPr>
            <w:rFonts w:ascii="仿宋" w:eastAsia="仿宋" w:hAnsi="仿宋" w:cs="仿宋" w:hint="eastAsia"/>
            <w:lang w:eastAsia="zh-CN"/>
          </w:rPr>
          <w:t>(七)、清洁生产</w:t>
        </w:r>
        <w:r>
          <w:tab/>
        </w:r>
        <w:r>
          <w:fldChar w:fldCharType="begin"/>
        </w:r>
        <w:r>
          <w:instrText xml:space="preserve"> PAGEREF _Toc31473 \h </w:instrText>
        </w:r>
        <w:r>
          <w:fldChar w:fldCharType="separate"/>
        </w:r>
        <w:r>
          <w:t>33</w:t>
        </w:r>
        <w:r>
          <w:fldChar w:fldCharType="end"/>
        </w:r>
      </w:hyperlink>
    </w:p>
    <w:p>
      <w:pPr>
        <w:pStyle w:val="TOC2"/>
        <w:tabs>
          <w:tab w:val="right" w:leader="dot" w:pos="8306"/>
        </w:tabs>
      </w:pPr>
      <w:hyperlink w:anchor="_Toc3966" w:history="1">
        <w:r>
          <w:rPr>
            <w:rFonts w:ascii="仿宋" w:eastAsia="仿宋" w:hAnsi="仿宋" w:cs="仿宋" w:hint="eastAsia"/>
            <w:lang w:eastAsia="zh-CN"/>
          </w:rPr>
          <w:t>(八)、环境保护综合评价</w:t>
        </w:r>
        <w:r>
          <w:tab/>
        </w:r>
        <w:r>
          <w:fldChar w:fldCharType="begin"/>
        </w:r>
        <w:r>
          <w:instrText xml:space="preserve"> PAGEREF _Toc3966 \h </w:instrText>
        </w:r>
        <w:r>
          <w:fldChar w:fldCharType="separate"/>
        </w:r>
        <w:r>
          <w:t>34</w:t>
        </w:r>
        <w:r>
          <w:fldChar w:fldCharType="end"/>
        </w:r>
      </w:hyperlink>
    </w:p>
    <w:p>
      <w:pPr>
        <w:pStyle w:val="TOC1"/>
        <w:tabs>
          <w:tab w:val="right" w:leader="dot" w:pos="8306"/>
        </w:tabs>
      </w:pPr>
      <w:hyperlink w:anchor="_Toc19452" w:history="1">
        <w:r>
          <w:rPr>
            <w:rFonts w:ascii="仿宋" w:eastAsia="仿宋" w:hAnsi="仿宋" w:cs="仿宋" w:hint="eastAsia"/>
            <w:lang w:eastAsia="zh-CN"/>
          </w:rPr>
          <w:t>九、微生物学诊断产品项目社会影响</w:t>
        </w:r>
        <w:r>
          <w:tab/>
        </w:r>
        <w:r>
          <w:fldChar w:fldCharType="begin"/>
        </w:r>
        <w:r>
          <w:instrText xml:space="preserve"> PAGEREF _Toc19452 \h </w:instrText>
        </w:r>
        <w:r>
          <w:fldChar w:fldCharType="separate"/>
        </w:r>
        <w:r>
          <w:t>35</w:t>
        </w:r>
        <w:r>
          <w:fldChar w:fldCharType="end"/>
        </w:r>
      </w:hyperlink>
    </w:p>
    <w:p>
      <w:pPr>
        <w:pStyle w:val="TOC2"/>
        <w:tabs>
          <w:tab w:val="right" w:leader="dot" w:pos="8306"/>
        </w:tabs>
      </w:pPr>
      <w:hyperlink w:anchor="_Toc8384" w:history="1">
        <w:r>
          <w:rPr>
            <w:rFonts w:ascii="仿宋" w:eastAsia="仿宋" w:hAnsi="仿宋" w:cs="仿宋" w:hint="eastAsia"/>
            <w:lang w:eastAsia="zh-CN"/>
          </w:rPr>
          <w:t>(一)、社会责任与义务</w:t>
        </w:r>
        <w:r>
          <w:tab/>
        </w:r>
        <w:r>
          <w:fldChar w:fldCharType="begin"/>
        </w:r>
        <w:r>
          <w:instrText xml:space="preserve"> PAGEREF _Toc8384 \h </w:instrText>
        </w:r>
        <w:r>
          <w:fldChar w:fldCharType="separate"/>
        </w:r>
        <w:r>
          <w:t>35</w:t>
        </w:r>
        <w:r>
          <w:fldChar w:fldCharType="end"/>
        </w:r>
      </w:hyperlink>
    </w:p>
    <w:p>
      <w:pPr>
        <w:pStyle w:val="TOC2"/>
        <w:tabs>
          <w:tab w:val="right" w:leader="dot" w:pos="8306"/>
        </w:tabs>
      </w:pPr>
      <w:hyperlink w:anchor="_Toc22958" w:history="1">
        <w:r>
          <w:rPr>
            <w:rFonts w:ascii="仿宋" w:eastAsia="仿宋" w:hAnsi="仿宋" w:cs="仿宋" w:hint="eastAsia"/>
            <w:lang w:eastAsia="zh-CN"/>
          </w:rPr>
          <w:t>(二)、社会参与与沟通</w:t>
        </w:r>
        <w:r>
          <w:tab/>
        </w:r>
        <w:r>
          <w:fldChar w:fldCharType="begin"/>
        </w:r>
        <w:r>
          <w:instrText xml:space="preserve"> PAGEREF _Toc22958 \h </w:instrText>
        </w:r>
        <w:r>
          <w:fldChar w:fldCharType="separate"/>
        </w:r>
        <w:r>
          <w:t>36</w:t>
        </w:r>
        <w:r>
          <w:fldChar w:fldCharType="end"/>
        </w:r>
      </w:hyperlink>
    </w:p>
    <w:p>
      <w:pPr>
        <w:pStyle w:val="TOC1"/>
        <w:tabs>
          <w:tab w:val="right" w:leader="dot" w:pos="8306"/>
        </w:tabs>
      </w:pPr>
      <w:hyperlink w:anchor="_Toc18279" w:history="1">
        <w:r>
          <w:rPr>
            <w:rFonts w:ascii="仿宋" w:eastAsia="仿宋" w:hAnsi="仿宋" w:cs="仿宋" w:hint="eastAsia"/>
            <w:lang w:eastAsia="zh-CN"/>
          </w:rPr>
          <w:t>十、微生物学诊断产品项目计划安排</w:t>
        </w:r>
        <w:r>
          <w:tab/>
        </w:r>
        <w:r>
          <w:fldChar w:fldCharType="begin"/>
        </w:r>
        <w:r>
          <w:instrText xml:space="preserve"> PAGEREF _Toc18279 \h </w:instrText>
        </w:r>
        <w:r>
          <w:fldChar w:fldCharType="separate"/>
        </w:r>
        <w:r>
          <w:t>37</w:t>
        </w:r>
        <w:r>
          <w:fldChar w:fldCharType="end"/>
        </w:r>
      </w:hyperlink>
    </w:p>
    <w:p>
      <w:pPr>
        <w:pStyle w:val="TOC2"/>
        <w:tabs>
          <w:tab w:val="right" w:leader="dot" w:pos="8306"/>
        </w:tabs>
      </w:pPr>
      <w:hyperlink w:anchor="_Toc14882" w:history="1">
        <w:r>
          <w:rPr>
            <w:rFonts w:ascii="仿宋" w:eastAsia="仿宋" w:hAnsi="仿宋" w:cs="仿宋" w:hint="eastAsia"/>
            <w:lang w:eastAsia="zh-CN"/>
          </w:rPr>
          <w:t>(一)、建设周期</w:t>
        </w:r>
        <w:r>
          <w:tab/>
        </w:r>
        <w:r>
          <w:fldChar w:fldCharType="begin"/>
        </w:r>
        <w:r>
          <w:instrText xml:space="preserve"> PAGEREF _Toc14882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40" w:history="1">
        <w:r>
          <w:rPr>
            <w:rFonts w:ascii="仿宋" w:eastAsia="仿宋" w:hAnsi="仿宋" w:cs="仿宋" w:hint="eastAsia"/>
            <w:lang w:eastAsia="zh-CN"/>
          </w:rPr>
          <w:t>(二)、建设进度</w:t>
        </w:r>
        <w:r>
          <w:tab/>
        </w:r>
        <w:r>
          <w:fldChar w:fldCharType="begin"/>
        </w:r>
        <w:r>
          <w:instrText xml:space="preserve"> PAGEREF _Toc24040 \h </w:instrText>
        </w:r>
        <w:r>
          <w:fldChar w:fldCharType="separate"/>
        </w:r>
        <w:r>
          <w:t>38</w:t>
        </w:r>
        <w:r>
          <w:fldChar w:fldCharType="end"/>
        </w:r>
      </w:hyperlink>
    </w:p>
    <w:p>
      <w:pPr>
        <w:pStyle w:val="TOC2"/>
        <w:tabs>
          <w:tab w:val="right" w:leader="dot" w:pos="8306"/>
        </w:tabs>
      </w:pPr>
      <w:hyperlink w:anchor="_Toc12192" w:history="1">
        <w:r>
          <w:rPr>
            <w:rFonts w:ascii="仿宋" w:eastAsia="仿宋" w:hAnsi="仿宋" w:cs="仿宋" w:hint="eastAsia"/>
            <w:lang w:eastAsia="zh-CN"/>
          </w:rPr>
          <w:t>(三)、进度安排注意事项</w:t>
        </w:r>
        <w:r>
          <w:tab/>
        </w:r>
        <w:r>
          <w:fldChar w:fldCharType="begin"/>
        </w:r>
        <w:r>
          <w:instrText xml:space="preserve"> PAGEREF _Toc12192 \h </w:instrText>
        </w:r>
        <w:r>
          <w:fldChar w:fldCharType="separate"/>
        </w:r>
        <w:r>
          <w:t>39</w:t>
        </w:r>
        <w:r>
          <w:fldChar w:fldCharType="end"/>
        </w:r>
      </w:hyperlink>
    </w:p>
    <w:p>
      <w:pPr>
        <w:pStyle w:val="TOC2"/>
        <w:tabs>
          <w:tab w:val="right" w:leader="dot" w:pos="8306"/>
        </w:tabs>
      </w:pPr>
      <w:hyperlink w:anchor="_Toc12427" w:history="1">
        <w:r>
          <w:rPr>
            <w:rFonts w:ascii="仿宋" w:eastAsia="仿宋" w:hAnsi="仿宋" w:cs="仿宋" w:hint="eastAsia"/>
            <w:lang w:eastAsia="zh-CN"/>
          </w:rPr>
          <w:t>(四)、人力资源配置</w:t>
        </w:r>
        <w:r>
          <w:tab/>
        </w:r>
        <w:r>
          <w:fldChar w:fldCharType="begin"/>
        </w:r>
        <w:r>
          <w:instrText xml:space="preserve"> PAGEREF _Toc12427 \h </w:instrText>
        </w:r>
        <w:r>
          <w:fldChar w:fldCharType="separate"/>
        </w:r>
        <w:r>
          <w:t>41</w:t>
        </w:r>
        <w:r>
          <w:fldChar w:fldCharType="end"/>
        </w:r>
      </w:hyperlink>
    </w:p>
    <w:p>
      <w:pPr>
        <w:pStyle w:val="TOC1"/>
        <w:tabs>
          <w:tab w:val="right" w:leader="dot" w:pos="8306"/>
        </w:tabs>
      </w:pPr>
      <w:hyperlink w:anchor="_Toc1026" w:history="1">
        <w:r>
          <w:rPr>
            <w:rFonts w:ascii="仿宋" w:eastAsia="仿宋" w:hAnsi="仿宋" w:cs="仿宋" w:hint="eastAsia"/>
            <w:lang w:eastAsia="zh-CN"/>
          </w:rPr>
          <w:t>十一、微生物学诊断产品项目人力资源培养与发展</w:t>
        </w:r>
        <w:r>
          <w:tab/>
        </w:r>
        <w:r>
          <w:fldChar w:fldCharType="begin"/>
        </w:r>
        <w:r>
          <w:instrText xml:space="preserve"> PAGEREF _Toc1026 \h </w:instrText>
        </w:r>
        <w:r>
          <w:fldChar w:fldCharType="separate"/>
        </w:r>
        <w:r>
          <w:t>41</w:t>
        </w:r>
        <w:r>
          <w:fldChar w:fldCharType="end"/>
        </w:r>
      </w:hyperlink>
    </w:p>
    <w:p>
      <w:pPr>
        <w:pStyle w:val="TOC2"/>
        <w:tabs>
          <w:tab w:val="right" w:leader="dot" w:pos="8306"/>
        </w:tabs>
      </w:pPr>
      <w:hyperlink w:anchor="_Toc7595" w:history="1">
        <w:r>
          <w:rPr>
            <w:rFonts w:ascii="仿宋" w:eastAsia="仿宋" w:hAnsi="仿宋" w:cs="仿宋" w:hint="eastAsia"/>
            <w:lang w:eastAsia="zh-CN"/>
          </w:rPr>
          <w:t>(一)、人才需求与规划</w:t>
        </w:r>
        <w:r>
          <w:tab/>
        </w:r>
        <w:r>
          <w:fldChar w:fldCharType="begin"/>
        </w:r>
        <w:r>
          <w:instrText xml:space="preserve"> PAGEREF _Toc7595 \h </w:instrText>
        </w:r>
        <w:r>
          <w:fldChar w:fldCharType="separate"/>
        </w:r>
        <w:r>
          <w:t>41</w:t>
        </w:r>
        <w:r>
          <w:fldChar w:fldCharType="end"/>
        </w:r>
      </w:hyperlink>
    </w:p>
    <w:p>
      <w:pPr>
        <w:pStyle w:val="TOC2"/>
        <w:tabs>
          <w:tab w:val="right" w:leader="dot" w:pos="8306"/>
        </w:tabs>
      </w:pPr>
      <w:hyperlink w:anchor="_Toc4212" w:history="1">
        <w:r>
          <w:rPr>
            <w:rFonts w:ascii="仿宋" w:eastAsia="仿宋" w:hAnsi="仿宋" w:cs="仿宋" w:hint="eastAsia"/>
            <w:lang w:eastAsia="zh-CN"/>
          </w:rPr>
          <w:t>(二)、培训与发展计划</w:t>
        </w:r>
        <w:r>
          <w:tab/>
        </w:r>
        <w:r>
          <w:fldChar w:fldCharType="begin"/>
        </w:r>
        <w:r>
          <w:instrText xml:space="preserve"> PAGEREF _Toc4212 \h </w:instrText>
        </w:r>
        <w:r>
          <w:fldChar w:fldCharType="separate"/>
        </w:r>
        <w:r>
          <w:t>42</w:t>
        </w:r>
        <w:r>
          <w:fldChar w:fldCharType="end"/>
        </w:r>
      </w:hyperlink>
    </w:p>
    <w:p>
      <w:pPr>
        <w:pStyle w:val="TOC1"/>
        <w:tabs>
          <w:tab w:val="right" w:leader="dot" w:pos="8306"/>
        </w:tabs>
      </w:pPr>
      <w:hyperlink w:anchor="_Toc17659" w:history="1">
        <w:r>
          <w:rPr>
            <w:rFonts w:ascii="仿宋" w:eastAsia="仿宋" w:hAnsi="仿宋" w:cs="仿宋" w:hint="eastAsia"/>
            <w:lang w:eastAsia="zh-CN"/>
          </w:rPr>
          <w:t>十二、微生物学诊断产品项目人力资源管理</w:t>
        </w:r>
        <w:r>
          <w:tab/>
        </w:r>
        <w:r>
          <w:fldChar w:fldCharType="begin"/>
        </w:r>
        <w:r>
          <w:instrText xml:space="preserve"> PAGEREF _Toc17659 \h </w:instrText>
        </w:r>
        <w:r>
          <w:fldChar w:fldCharType="separate"/>
        </w:r>
        <w:r>
          <w:t>42</w:t>
        </w:r>
        <w:r>
          <w:fldChar w:fldCharType="end"/>
        </w:r>
      </w:hyperlink>
    </w:p>
    <w:p>
      <w:pPr>
        <w:pStyle w:val="TOC2"/>
        <w:tabs>
          <w:tab w:val="right" w:leader="dot" w:pos="8306"/>
        </w:tabs>
      </w:pPr>
      <w:hyperlink w:anchor="_Toc23604" w:history="1">
        <w:r>
          <w:rPr>
            <w:rFonts w:ascii="仿宋" w:eastAsia="仿宋" w:hAnsi="仿宋" w:cs="仿宋" w:hint="eastAsia"/>
            <w:lang w:eastAsia="zh-CN"/>
          </w:rPr>
          <w:t>(一)、建立健全的预算管理制度</w:t>
        </w:r>
        <w:r>
          <w:tab/>
        </w:r>
        <w:r>
          <w:fldChar w:fldCharType="begin"/>
        </w:r>
        <w:r>
          <w:instrText xml:space="preserve"> PAGEREF _Toc23604 \h </w:instrText>
        </w:r>
        <w:r>
          <w:fldChar w:fldCharType="separate"/>
        </w:r>
        <w:r>
          <w:t>42</w:t>
        </w:r>
        <w:r>
          <w:fldChar w:fldCharType="end"/>
        </w:r>
      </w:hyperlink>
    </w:p>
    <w:p>
      <w:pPr>
        <w:pStyle w:val="TOC2"/>
        <w:tabs>
          <w:tab w:val="right" w:leader="dot" w:pos="8306"/>
        </w:tabs>
      </w:pPr>
      <w:hyperlink w:anchor="_Toc9675" w:history="1">
        <w:r>
          <w:rPr>
            <w:rFonts w:ascii="仿宋" w:eastAsia="仿宋" w:hAnsi="仿宋" w:cs="仿宋" w:hint="eastAsia"/>
            <w:lang w:eastAsia="zh-CN"/>
          </w:rPr>
          <w:t>(二)、加强资金流动监控</w:t>
        </w:r>
        <w:r>
          <w:tab/>
        </w:r>
        <w:r>
          <w:fldChar w:fldCharType="begin"/>
        </w:r>
        <w:r>
          <w:instrText xml:space="preserve"> PAGEREF _Toc9675 \h </w:instrText>
        </w:r>
        <w:r>
          <w:fldChar w:fldCharType="separate"/>
        </w:r>
        <w:r>
          <w:t>44</w:t>
        </w:r>
        <w:r>
          <w:fldChar w:fldCharType="end"/>
        </w:r>
      </w:hyperlink>
    </w:p>
    <w:p>
      <w:pPr>
        <w:pStyle w:val="TOC2"/>
        <w:tabs>
          <w:tab w:val="right" w:leader="dot" w:pos="8306"/>
        </w:tabs>
      </w:pPr>
      <w:hyperlink w:anchor="_Toc21042" w:history="1">
        <w:r>
          <w:rPr>
            <w:rFonts w:ascii="仿宋" w:eastAsia="仿宋" w:hAnsi="仿宋" w:cs="仿宋" w:hint="eastAsia"/>
            <w:lang w:eastAsia="zh-CN"/>
          </w:rPr>
          <w:t>(三)、制定完善的风险控制机制</w:t>
        </w:r>
        <w:r>
          <w:tab/>
        </w:r>
        <w:r>
          <w:fldChar w:fldCharType="begin"/>
        </w:r>
        <w:r>
          <w:instrText xml:space="preserve"> PAGEREF _Toc21042 \h </w:instrText>
        </w:r>
        <w:r>
          <w:fldChar w:fldCharType="separate"/>
        </w:r>
        <w:r>
          <w:t>45</w:t>
        </w:r>
        <w:r>
          <w:fldChar w:fldCharType="end"/>
        </w:r>
      </w:hyperlink>
    </w:p>
    <w:p>
      <w:pPr>
        <w:pStyle w:val="TOC2"/>
        <w:tabs>
          <w:tab w:val="right" w:leader="dot" w:pos="8306"/>
        </w:tabs>
      </w:pPr>
      <w:hyperlink w:anchor="_Toc19623" w:history="1">
        <w:r>
          <w:rPr>
            <w:rFonts w:ascii="仿宋" w:eastAsia="仿宋" w:hAnsi="仿宋" w:cs="仿宋" w:hint="eastAsia"/>
            <w:lang w:eastAsia="zh-CN"/>
          </w:rPr>
          <w:t>(四)、优化成本管理</w:t>
        </w:r>
        <w:r>
          <w:tab/>
        </w:r>
        <w:r>
          <w:fldChar w:fldCharType="begin"/>
        </w:r>
        <w:r>
          <w:instrText xml:space="preserve"> PAGEREF _Toc19623 \h </w:instrText>
        </w:r>
        <w:r>
          <w:fldChar w:fldCharType="separate"/>
        </w:r>
        <w:r>
          <w:t>47</w:t>
        </w:r>
        <w:r>
          <w:fldChar w:fldCharType="end"/>
        </w:r>
      </w:hyperlink>
    </w:p>
    <w:p>
      <w:pPr>
        <w:pStyle w:val="TOC1"/>
        <w:tabs>
          <w:tab w:val="right" w:leader="dot" w:pos="8306"/>
        </w:tabs>
      </w:pPr>
      <w:hyperlink w:anchor="_Toc19646" w:history="1">
        <w:r>
          <w:rPr>
            <w:rFonts w:ascii="仿宋" w:eastAsia="仿宋" w:hAnsi="仿宋" w:cs="仿宋" w:hint="eastAsia"/>
            <w:lang w:eastAsia="zh-CN"/>
          </w:rPr>
          <w:t>十三、微生物学诊断产品项目实施时间节点</w:t>
        </w:r>
        <w:r>
          <w:tab/>
        </w:r>
        <w:r>
          <w:fldChar w:fldCharType="begin"/>
        </w:r>
        <w:r>
          <w:instrText xml:space="preserve"> PAGEREF _Toc19646 \h </w:instrText>
        </w:r>
        <w:r>
          <w:fldChar w:fldCharType="separate"/>
        </w:r>
        <w:r>
          <w:t>48</w:t>
        </w:r>
        <w:r>
          <w:fldChar w:fldCharType="end"/>
        </w:r>
      </w:hyperlink>
    </w:p>
    <w:p>
      <w:pPr>
        <w:pStyle w:val="TOC2"/>
        <w:tabs>
          <w:tab w:val="right" w:leader="dot" w:pos="8306"/>
        </w:tabs>
      </w:pPr>
      <w:hyperlink w:anchor="_Toc29383" w:history="1">
        <w:r>
          <w:rPr>
            <w:rFonts w:ascii="仿宋" w:eastAsia="仿宋" w:hAnsi="仿宋" w:cs="仿宋" w:hint="eastAsia"/>
            <w:lang w:eastAsia="zh-CN"/>
          </w:rPr>
          <w:t>(一)、微生物学诊断产品项目启动阶段时间节点</w:t>
        </w:r>
        <w:r>
          <w:tab/>
        </w:r>
        <w:r>
          <w:fldChar w:fldCharType="begin"/>
        </w:r>
        <w:r>
          <w:instrText xml:space="preserve"> PAGEREF _Toc29383 \h </w:instrText>
        </w:r>
        <w:r>
          <w:fldChar w:fldCharType="separate"/>
        </w:r>
        <w:r>
          <w:t>48</w:t>
        </w:r>
        <w:r>
          <w:fldChar w:fldCharType="end"/>
        </w:r>
      </w:hyperlink>
    </w:p>
    <w:p>
      <w:pPr>
        <w:pStyle w:val="TOC2"/>
        <w:tabs>
          <w:tab w:val="right" w:leader="dot" w:pos="8306"/>
        </w:tabs>
      </w:pPr>
      <w:hyperlink w:anchor="_Toc28588" w:history="1">
        <w:r>
          <w:rPr>
            <w:rFonts w:ascii="仿宋" w:eastAsia="仿宋" w:hAnsi="仿宋" w:cs="仿宋" w:hint="eastAsia"/>
            <w:lang w:eastAsia="zh-CN"/>
          </w:rPr>
          <w:t>(二)、微生物学诊断产品项目执行阶段时间节点</w:t>
        </w:r>
        <w:r>
          <w:tab/>
        </w:r>
        <w:r>
          <w:fldChar w:fldCharType="begin"/>
        </w:r>
        <w:r>
          <w:instrText xml:space="preserve"> PAGEREF _Toc28588 \h </w:instrText>
        </w:r>
        <w:r>
          <w:fldChar w:fldCharType="separate"/>
        </w:r>
        <w:r>
          <w:t>50</w:t>
        </w:r>
        <w:r>
          <w:fldChar w:fldCharType="end"/>
        </w:r>
      </w:hyperlink>
    </w:p>
    <w:p>
      <w:pPr>
        <w:pStyle w:val="TOC2"/>
        <w:tabs>
          <w:tab w:val="right" w:leader="dot" w:pos="8306"/>
        </w:tabs>
      </w:pPr>
      <w:hyperlink w:anchor="_Toc17963" w:history="1">
        <w:r>
          <w:rPr>
            <w:rFonts w:ascii="仿宋" w:eastAsia="仿宋" w:hAnsi="仿宋" w:cs="仿宋" w:hint="eastAsia"/>
            <w:lang w:eastAsia="zh-CN"/>
          </w:rPr>
          <w:t>(三)、微生物学诊断产品项目完成阶段时间节点</w:t>
        </w:r>
        <w:r>
          <w:tab/>
        </w:r>
        <w:r>
          <w:fldChar w:fldCharType="begin"/>
        </w:r>
        <w:r>
          <w:instrText xml:space="preserve"> PAGEREF _Toc17963 \h </w:instrText>
        </w:r>
        <w:r>
          <w:fldChar w:fldCharType="separate"/>
        </w:r>
        <w:r>
          <w:t>51</w:t>
        </w:r>
        <w:r>
          <w:fldChar w:fldCharType="end"/>
        </w:r>
      </w:hyperlink>
    </w:p>
    <w:p>
      <w:pPr>
        <w:pStyle w:val="TOC1"/>
        <w:tabs>
          <w:tab w:val="right" w:leader="dot" w:pos="8306"/>
        </w:tabs>
      </w:pPr>
      <w:hyperlink w:anchor="_Toc19605" w:history="1">
        <w:r>
          <w:rPr>
            <w:rFonts w:ascii="仿宋" w:eastAsia="仿宋" w:hAnsi="仿宋" w:cs="仿宋" w:hint="eastAsia"/>
            <w:lang w:eastAsia="zh-CN"/>
          </w:rPr>
          <w:t>十四、质量管理体系</w:t>
        </w:r>
        <w:r>
          <w:tab/>
        </w:r>
        <w:r>
          <w:fldChar w:fldCharType="begin"/>
        </w:r>
        <w:r>
          <w:instrText xml:space="preserve"> PAGEREF _Toc19605 \h </w:instrText>
        </w:r>
        <w:r>
          <w:fldChar w:fldCharType="separate"/>
        </w:r>
        <w:r>
          <w:t>52</w:t>
        </w:r>
        <w:r>
          <w:fldChar w:fldCharType="end"/>
        </w:r>
      </w:hyperlink>
    </w:p>
    <w:p>
      <w:pPr>
        <w:pStyle w:val="TOC2"/>
        <w:tabs>
          <w:tab w:val="right" w:leader="dot" w:pos="8306"/>
        </w:tabs>
      </w:pPr>
      <w:hyperlink w:anchor="_Toc1874" w:history="1">
        <w:r>
          <w:rPr>
            <w:rFonts w:ascii="仿宋" w:eastAsia="仿宋" w:hAnsi="仿宋" w:cs="仿宋" w:hint="eastAsia"/>
            <w:lang w:eastAsia="zh-CN"/>
          </w:rPr>
          <w:t>(一)、质量目标与方针</w:t>
        </w:r>
        <w:r>
          <w:tab/>
        </w:r>
        <w:r>
          <w:fldChar w:fldCharType="begin"/>
        </w:r>
        <w:r>
          <w:instrText xml:space="preserve"> PAGEREF _Toc1874 \h </w:instrText>
        </w:r>
        <w:r>
          <w:fldChar w:fldCharType="separate"/>
        </w:r>
        <w:r>
          <w:t>52</w:t>
        </w:r>
        <w:r>
          <w:fldChar w:fldCharType="end"/>
        </w:r>
      </w:hyperlink>
    </w:p>
    <w:p>
      <w:pPr>
        <w:pStyle w:val="TOC2"/>
        <w:tabs>
          <w:tab w:val="right" w:leader="dot" w:pos="8306"/>
        </w:tabs>
      </w:pPr>
      <w:hyperlink w:anchor="_Toc27164" w:history="1">
        <w:r>
          <w:rPr>
            <w:rFonts w:ascii="仿宋" w:eastAsia="仿宋" w:hAnsi="仿宋" w:cs="仿宋" w:hint="eastAsia"/>
            <w:lang w:eastAsia="zh-CN"/>
          </w:rPr>
          <w:t>(二)、质量管理责任</w:t>
        </w:r>
        <w:r>
          <w:tab/>
        </w:r>
        <w:r>
          <w:fldChar w:fldCharType="begin"/>
        </w:r>
        <w:r>
          <w:instrText xml:space="preserve"> PAGEREF _Toc27164 \h </w:instrText>
        </w:r>
        <w:r>
          <w:fldChar w:fldCharType="separate"/>
        </w:r>
        <w:r>
          <w:t>53</w:t>
        </w:r>
        <w:r>
          <w:fldChar w:fldCharType="end"/>
        </w:r>
      </w:hyperlink>
    </w:p>
    <w:p>
      <w:pPr>
        <w:pStyle w:val="TOC2"/>
        <w:tabs>
          <w:tab w:val="right" w:leader="dot" w:pos="8306"/>
        </w:tabs>
      </w:pPr>
      <w:hyperlink w:anchor="_Toc20972" w:history="1">
        <w:r>
          <w:rPr>
            <w:rFonts w:ascii="仿宋" w:eastAsia="仿宋" w:hAnsi="仿宋" w:cs="仿宋" w:hint="eastAsia"/>
            <w:lang w:eastAsia="zh-CN"/>
          </w:rPr>
          <w:t>(三)、质量管理体系文件</w:t>
        </w:r>
        <w:r>
          <w:tab/>
        </w:r>
        <w:r>
          <w:fldChar w:fldCharType="begin"/>
        </w:r>
        <w:r>
          <w:instrText xml:space="preserve"> PAGEREF _Toc20972 \h </w:instrText>
        </w:r>
        <w:r>
          <w:fldChar w:fldCharType="separate"/>
        </w:r>
        <w:r>
          <w:t>54</w:t>
        </w:r>
        <w:r>
          <w:fldChar w:fldCharType="end"/>
        </w:r>
      </w:hyperlink>
    </w:p>
    <w:p>
      <w:pPr>
        <w:pStyle w:val="TOC2"/>
        <w:tabs>
          <w:tab w:val="right" w:leader="dot" w:pos="8306"/>
        </w:tabs>
      </w:pPr>
      <w:hyperlink w:anchor="_Toc20065" w:history="1">
        <w:r>
          <w:rPr>
            <w:rFonts w:ascii="仿宋" w:eastAsia="仿宋" w:hAnsi="仿宋" w:cs="仿宋" w:hint="eastAsia"/>
            <w:lang w:eastAsia="zh-CN"/>
          </w:rPr>
          <w:t>(四)、质量培训与教育</w:t>
        </w:r>
        <w:r>
          <w:tab/>
        </w:r>
        <w:r>
          <w:fldChar w:fldCharType="begin"/>
        </w:r>
        <w:r>
          <w:instrText xml:space="preserve"> PAGEREF _Toc20065 \h </w:instrText>
        </w:r>
        <w:r>
          <w:fldChar w:fldCharType="separate"/>
        </w:r>
        <w:r>
          <w:t>56</w:t>
        </w:r>
        <w:r>
          <w:fldChar w:fldCharType="end"/>
        </w:r>
      </w:hyperlink>
    </w:p>
    <w:p>
      <w:pPr>
        <w:pStyle w:val="TOC2"/>
        <w:tabs>
          <w:tab w:val="right" w:leader="dot" w:pos="8306"/>
        </w:tabs>
      </w:pPr>
      <w:hyperlink w:anchor="_Toc20483" w:history="1">
        <w:r>
          <w:rPr>
            <w:rFonts w:ascii="仿宋" w:eastAsia="仿宋" w:hAnsi="仿宋" w:cs="仿宋" w:hint="eastAsia"/>
            <w:lang w:eastAsia="zh-CN"/>
          </w:rPr>
          <w:t>(五)、质量审核与评价</w:t>
        </w:r>
        <w:r>
          <w:tab/>
        </w:r>
        <w:r>
          <w:fldChar w:fldCharType="begin"/>
        </w:r>
        <w:r>
          <w:instrText xml:space="preserve"> PAGEREF _Toc20483 \h </w:instrText>
        </w:r>
        <w:r>
          <w:fldChar w:fldCharType="separate"/>
        </w:r>
        <w:r>
          <w:t>57</w:t>
        </w:r>
        <w:r>
          <w:fldChar w:fldCharType="end"/>
        </w:r>
      </w:hyperlink>
    </w:p>
    <w:p>
      <w:pPr>
        <w:pStyle w:val="TOC2"/>
        <w:tabs>
          <w:tab w:val="right" w:leader="dot" w:pos="8306"/>
        </w:tabs>
      </w:pPr>
      <w:hyperlink w:anchor="_Toc28169" w:history="1">
        <w:r>
          <w:rPr>
            <w:rFonts w:ascii="仿宋" w:eastAsia="仿宋" w:hAnsi="仿宋" w:cs="仿宋" w:hint="eastAsia"/>
            <w:lang w:eastAsia="zh-CN"/>
          </w:rPr>
          <w:t>(六)、不符合与纠正措施</w:t>
        </w:r>
        <w:r>
          <w:tab/>
        </w:r>
        <w:r>
          <w:fldChar w:fldCharType="begin"/>
        </w:r>
        <w:r>
          <w:instrText xml:space="preserve"> PAGEREF _Toc28169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24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99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学诊断产品项目的技术管理特点体现在其创新导向。通过引入最先进的技术趋势和解决方案，微生物学诊断产品项目致力于提升科技含量、提高质量和效率水平。这意味着我们将采用最新的工具和方法，确保微生物学诊断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生物学诊断产品项目技术管理的显著特征。通过整合不同领域的技术资源，我们实现了跨学科的协同工作。这有助于优化技术架构，提高整体效能。此外，整合性策略还促进了不同技术团队之间的紧密沟通和高效合作，确保微生物学诊断产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生物学诊断产品项目所采用的技术。通过不断优化技术方案，微生物学诊断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生物学诊断产品项目团队将在微生物学诊断产品项目初期识别可能的技术风险，并采取相应的预防和应对措施。通过建立健全的风险评估机制，微生物学诊断产品项目能够在实施过程中及时发现并解决潜在的技术问题，保障微生物学诊断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微生物学诊断产品项目中，技术将成为微生物学诊断产品项目成功的有力支持。这一深度剖析揭示了技术管理在微生物学诊断产品项目实施中的关键作用，为微生物学诊断产品项目的技术基础奠定了坚实的基础。</w:t>
      </w:r>
    </w:p>
    <w:p>
      <w:pPr>
        <w:pStyle w:val="Heading2"/>
        <w:ind w:firstLine="560" w:firstLineChars="200"/>
        <w:rPr>
          <w:rFonts w:ascii="仿宋" w:eastAsia="仿宋" w:hAnsi="仿宋" w:cs="仿宋" w:hint="eastAsia"/>
          <w:sz w:val="28"/>
          <w:lang w:eastAsia="zh-CN"/>
        </w:rPr>
      </w:pPr>
      <w:bookmarkStart w:id="4" w:name="_Toc18203"/>
      <w:r>
        <w:rPr>
          <w:rFonts w:ascii="仿宋" w:eastAsia="仿宋" w:hAnsi="仿宋" w:cs="仿宋" w:hint="eastAsia"/>
          <w:sz w:val="28"/>
          <w:lang w:eastAsia="zh-CN"/>
        </w:rPr>
        <w:t>(二)、微生物学诊断产品项目工艺技术设计方案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生物学诊断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微生物学诊断产品项目将严格按照相关行业规范要求进行组织。通过有效控制产品质量，微生物学诊断产品项目将致力于为顾客提供优质的微生物学诊断产品项目产品和良好的服务。这体现了微生物学诊断产品项目对于生产活动合规性和质量标准的高度重视，为微生物学诊断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微生物学诊断产品项目注重生态效益和清洁生产原则。微生物学诊断产品项目建设将紧密结合地方特色经济发展，与社会经济发展规划和区域环境保护规划方案相协调一致。通过与当地区域自然生态系统的结合，微生物学诊断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微生物学诊断产品项目产品具有多样化的客户需求和个性化的特点。因此，微生物学诊断产品项目产品规格品种多样，且单批生产数量较小。为满足这一特点，微生物学诊断产品项目承办单位将建设先进的柔性制造生产线。通过广泛应用柔性制造技术，微生物学诊断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微生物学诊断产品项目采用的技术具有较高的技术含量和自动化水平，处于国内先进水平。这一技术选用不仅体现了对生产效率、质量和环境友好性的高标准要求，同时为微生物学诊断产品项目的可持续发展奠定了坚实的基础。</w:t>
      </w:r>
    </w:p>
    <w:p>
      <w:pPr>
        <w:pStyle w:val="Heading2"/>
        <w:ind w:firstLine="560" w:firstLineChars="200"/>
        <w:rPr>
          <w:rFonts w:ascii="仿宋" w:eastAsia="仿宋" w:hAnsi="仿宋" w:cs="仿宋" w:hint="eastAsia"/>
          <w:sz w:val="28"/>
          <w:lang w:eastAsia="zh-CN"/>
        </w:rPr>
      </w:pPr>
      <w:bookmarkStart w:id="5" w:name="_Toc239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为确保微生物学诊断产品项目的高效生产和技术实施，我们制定了一套精心设计的设备选型方案，以满足微生物学诊断产品项目生产、质量和环保的要求。该方案的主要特点如下：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微生物学诊断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针对微生物学诊断产品项目产品的多样性和小批量生产的特点，我们将建设柔性制造生产线。通过在设备选型中考虑柔性制造技术，可以灵活应对不同产品规格和生产需求，实现生产线的高度灵活性和适应性。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9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619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微生物学诊断产品项目的主要产品是XXXX，预计年产值为XXX万元。这一产品在市场中占据着重要的地位，其广泛的应用范围使得该微生物学诊断产品项目的市场前景非常广阔。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微生物学诊断产品项目的xxx产品作为重要的原材料之一，将在多个领域发挥关键作用。其在建筑、交通、能源等方面的广泛应用将为整个产业链提供强大的支持，形成产业协同效应。微生物学诊断产品项目的年产值XXX万XXX万XXX万万元不仅反映了其在市场上的巨大潜力，更预示着它对国民经济的积极贡献。这种关联度高、涉及面广的产业关系，使得该微生物学诊断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348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学诊断产品项目总征地面积为XXXX平方米，相当于约XX.XX亩，其中净用地面积为XXXX平方米，红线范围内相当于约XX.XX亩。这一用地规模充分考虑了微生物学诊断产品项目的建设需求，保障了微生物学诊断产品项目在合适的空间内得以充分发展。微生物学诊断产品项目规划的总建筑面积为XXXX平方米，其中主体工程建设占XXXX平方米，计容建筑面积达XXXX平方米。预计建筑工程的投资将达到XXXX万元，为微生物学诊断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学诊断产品项目计划购置的设备共计XXXX台（套），设备购置费用为XXXX万元。这一设备购置计划充分考虑到微生物学诊断产品项目的生产需求和技术要求，确保了微生物学诊断产品项目在生产运营中具备先进的技术装备和高效的生产能力。设备的合理配置将为微生物学诊断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学诊断产品项目计划总投资为XXXX万元，预计年实现营业收入为XXXX万元。这一产能规模的设定旨在确保微生物学诊断产品项目能够在投资与回报之间取得平衡，实现长期可持续的发展。微生物学诊断产品项目的总投资充分考虑到各个方面的需求，包括用地建设、设备购置等多个环节，以确保微生物学诊断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1087"/>
      <w:r>
        <w:rPr>
          <w:rFonts w:ascii="仿宋" w:eastAsia="仿宋" w:hAnsi="仿宋" w:cs="仿宋" w:hint="eastAsia"/>
          <w:sz w:val="28"/>
          <w:lang w:eastAsia="zh-CN"/>
        </w:rPr>
        <w:t>三、微生物学诊断产品项目选址可行性分析</w:t>
      </w:r>
      <w:bookmarkEnd w:id="9"/>
    </w:p>
    <w:p>
      <w:pPr>
        <w:pStyle w:val="Heading2"/>
        <w:rPr>
          <w:rFonts w:ascii="仿宋" w:eastAsia="仿宋" w:hAnsi="仿宋" w:cs="仿宋" w:hint="eastAsia"/>
          <w:lang w:eastAsia="zh-CN"/>
        </w:rPr>
      </w:pPr>
      <w:bookmarkStart w:id="10" w:name="_Toc9677"/>
      <w:r>
        <w:rPr>
          <w:rFonts w:ascii="仿宋" w:eastAsia="仿宋" w:hAnsi="仿宋" w:cs="仿宋" w:hint="eastAsia"/>
          <w:lang w:eastAsia="zh-CN"/>
        </w:rPr>
        <w:t>(一)、微生物学诊断产品项目选址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该微生物学诊断产品项目选址位于XX省XX市XX区XXX街道</w:t>
      </w:r>
    </w:p>
    <w:p>
      <w:pPr>
        <w:pStyle w:val="Heading2"/>
        <w:ind w:firstLine="560" w:firstLineChars="200"/>
        <w:rPr>
          <w:rFonts w:ascii="仿宋" w:eastAsia="仿宋" w:hAnsi="仿宋" w:cs="仿宋" w:hint="eastAsia"/>
          <w:sz w:val="28"/>
          <w:lang w:eastAsia="zh-CN"/>
        </w:rPr>
      </w:pPr>
      <w:bookmarkStart w:id="11" w:name="_Toc504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生物学诊断产品项目的征地面积将根据微生物学诊断产品项目的实际规模和需求进行精确规划。具体面积XXX平方米，旨在确保微生物学诊断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净用地面积是在征地面积基础上去除不可利用面积后的实际可开发用地。具体面积XXX平方米，考虑到环保、交通、安全等多方面因素，以确保微生物学诊断产品项目在整体利用效率上达到最优。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微生物学诊断产品项目计划建设的建筑总规模具体面积XXX平方米。这一规模的确定综合考虑了微生物学诊断产品项目的性质、规模，以及城市规划的相关要求，确保建筑布局与周边环境协调一致。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绿地率是微生物学诊断产品项目用地中被规划为绿地的比例。具体面积XXX平方米，旨在通过合理规划绿地，改善微生物学诊断产品项目周边环境，提升居民生活质量，并符合城市整体绿化规划。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容积率是用地上可以建设的建筑总体积与用地面积之比。具体面积XXX，通过合理的容积率规划，确保微生物学诊断产品项目建筑规模与周边环境和谐共生。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生物学诊断产品项目选址与当地城市规划相一致，具体面积XXX平方米。通过与城市规划部门深入沟通，确保微生物学诊断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生物学诊断产品项目选址符合当地产业政策，具体面积XXX平方米。这包括微生物学诊断产品项目对当地经济的促进作用，以及对相关产业的带动效应，确保微生物学诊断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用地总体要求必须符合环保和可持续发展的原则，具体面积XXX平方米。通过采用绿色建筑设计、节能减排等措施，确保微生物学诊断产品项目在建设和运营过程中对环境的影响最小化，达到可持续发展的要求。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确保微生物学诊断产品项目选址具备必要的公共设施配套，具体面积XXX平方米。这包括交通便利性、教育、医疗等基础设施，以提高居民生活品质，使得微生物学诊断产品项目选址更具吸引力。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考虑用地总体要求对当地社会稳定性的影响，具体面积XXX平方米。通过深入了解当地社区反馈，确保微生物学诊断产品项目的选址和建设过程对当地社会和谐稳定产生积极作用。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生物学诊断产品项目选址不仅符合法规和规划，还在实际操作中具有可行性。这一全面规划将为微生物学诊断产品项目的成功实施提供坚实的基础，确保微生物学诊断产品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002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学诊断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微生物学诊断产品项目的设备规划和空间设计中，我们将采取灵活设备布局的措施。设备布局将根据实际需求进行灵活设计，避免不必要的浪费。通过合理规划设备摆放位置，我们将提高设备的利用率，减少设备间距，以确保微生物学诊断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生物学诊断产品项目内部引入共享设施的概念，例如共享会议室、办公区等。通过这种方式，我们可以减少对资源的重复建设，提高资源共享效率，从而减小微生物学诊断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378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微生物学诊断产品项目的总图布置中，我们将不同功能区域进行明确的规划，以最大程度满足微生物学诊断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974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微生物学诊断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生物学诊断产品项目对环境的影响是综合评价的重要因素之一。我们将详细考虑选址周边的自然环境、生态保护区、水源地等情况，确保微生物学诊断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对选址的评价还需充分考虑当地政府的产业政策和法规。我们将详细了解微生物学诊断产品项目所在地的相关政策，确保微生物学诊断产品项目的规划和运营与当地法规相符，降低不必要的法律风险。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考虑到社会稳定性对企业运营的重要性，我们将评估选址地区的社会安全情况、劳工关系、社区反馈等方面，以确保微生物学诊断产品项目的建设和运营不会受到社会稳定性的负面影响。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最后，我们将综合考虑用地成本，包括土地购置费用、土地开发成本等。通过对用地成本的详细评估，我们能够做出更为精确的经济效益分析，为微生物学诊断产品项目的投资决策提供有力支持。</w:t>
      </w:r>
    </w:p>
    <w:p>
      <w:pPr>
        <w:pStyle w:val="Heading1"/>
        <w:ind w:firstLine="560" w:firstLineChars="200"/>
        <w:rPr>
          <w:rFonts w:ascii="仿宋" w:eastAsia="仿宋" w:hAnsi="仿宋" w:cs="仿宋" w:hint="eastAsia"/>
          <w:sz w:val="28"/>
          <w:lang w:eastAsia="zh-CN"/>
        </w:rPr>
      </w:pPr>
      <w:bookmarkStart w:id="15" w:name="_Toc8460"/>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7728"/>
      <w:r>
        <w:rPr>
          <w:rFonts w:ascii="仿宋" w:eastAsia="仿宋" w:hAnsi="仿宋" w:cs="仿宋" w:hint="eastAsia"/>
          <w:lang w:eastAsia="zh-CN"/>
        </w:rPr>
        <w:t>(一)、微生物学诊断产品行业分析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微生物学诊断产品行业一直以来都是市场的关注焦点。行业内的发展趋势、竞争态势以及潜在机会都对微生物学诊断产品项目的推进产生深远的影响。通过深入研究行业的整体概貌，我们将更好地理解行业的核心特征，为微生物学诊断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学诊断产品行业，技术一直是推动创新和发展的关键因素。我们将对当前技术趋势进行详尽分析，包括但不限于人工智能、大数据应用、先进制造技术等。这有助于微生物学诊断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微生物学诊断产品项目成功的基础。我们将对主要竞争对手进行深入研究，包括其市场份额、产品特点、市场定位等。通过全面了解竞争对手的优势和劣势，微生物学诊断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4550"/>
      <w:r>
        <w:rPr>
          <w:rFonts w:ascii="仿宋" w:eastAsia="仿宋" w:hAnsi="仿宋" w:cs="仿宋" w:hint="eastAsia"/>
          <w:sz w:val="28"/>
          <w:lang w:eastAsia="zh-CN"/>
        </w:rPr>
        <w:t>(二)、微生物学诊断产品市场分析预测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微生物学诊断产品市场未来的增长趋势。这包括市场的整体规模、各细分领域的发展趋势等。微生物学诊断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微生物学诊断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微生物学诊断产品项目实施过程中需要充分考虑的因素。我们将对市场风险进行全面评估，包括但不限于政策法规风险、市场竞争风险、技术变革风险等。通过对潜在风险的深入分析，微生物学诊断产品项目可以制定相应的风险缓解策略，降低不确定性对微生物学诊断产品项目的影响。</w:t>
      </w:r>
    </w:p>
    <w:p>
      <w:pPr>
        <w:pStyle w:val="Heading1"/>
        <w:ind w:firstLine="560" w:firstLineChars="200"/>
        <w:rPr>
          <w:rFonts w:ascii="仿宋" w:eastAsia="仿宋" w:hAnsi="仿宋" w:cs="仿宋" w:hint="eastAsia"/>
          <w:sz w:val="28"/>
          <w:lang w:eastAsia="zh-CN"/>
        </w:rPr>
      </w:pPr>
      <w:bookmarkStart w:id="18" w:name="_Toc32257"/>
      <w:r>
        <w:rPr>
          <w:rFonts w:ascii="仿宋" w:eastAsia="仿宋" w:hAnsi="仿宋" w:cs="仿宋" w:hint="eastAsia"/>
          <w:sz w:val="28"/>
          <w:lang w:eastAsia="zh-CN"/>
        </w:rPr>
        <w:t>五、微生物学诊断产品项目可持续发展</w:t>
      </w:r>
      <w:bookmarkEnd w:id="18"/>
    </w:p>
    <w:p>
      <w:pPr>
        <w:pStyle w:val="Heading2"/>
        <w:rPr>
          <w:rFonts w:ascii="仿宋" w:eastAsia="仿宋" w:hAnsi="仿宋" w:cs="仿宋" w:hint="eastAsia"/>
          <w:lang w:eastAsia="zh-CN"/>
        </w:rPr>
      </w:pPr>
      <w:bookmarkStart w:id="19" w:name="_Toc1977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学诊断产品项目中，微生物学诊断产品项目团队着眼于未来，明确了可持续发展的战略方向。制定的具体可持续发展目标包括降低资源使用、采用环保技术、最大化社会效益等。这一步骤不仅有助于微生物学诊断产品项目在环保和社会责任方面达到最高标准，也为未来提供了明确的指引，确保微生物学诊断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可持续实践的融入微生物学诊断产品项目管理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https://d.book118.com/496045120111010101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微生物学诊断产品项目规划设计蓝图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A94AA3"/>
    <w:rsid w:val="63A94A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045120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2024-03-03T21:53:00Z</dcterms:created>
  <dcterms:modified xsi:type="dcterms:W3CDTF">2024-03-03T21:53:18Z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1943E60573384D18803C9F7CFFDDC8BE_11</vt:lpwstr>
  </property>
  <property fmtid="{D5CDD505-2E9C-101B-9397-08002B2CF9AE}" pid="3" name="KSOProductBuildVer">
    <vt:lpwstr>2052-12.1.0.16388</vt:lpwstr>
  </property>
</Properties>
</file>