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2015-2023年鄂东职业技术学院高职单招（数学／语文／英语）历年参考题库带答案解析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下列作品出自我国最早的诗歌总集的是（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D.《短歌行》（其一）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《日出》的主题是（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A.偏重写人性的悲剧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B.写家庭悲剧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C.偏重对社会悲剧的揭示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D.写性格悲剧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A.所操之术多异故也。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B.夫子欲之。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C.大军不知广所之。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D.今我睹子之难穷也。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在《谏逐客书》中，李斯先说驱逐客卿是“藉寇兵而赍盗粮”，后说驱逐客卿是“损民以益仇”，这两者在论证方法上的不同是（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A.前者是类比法，后者是归纳法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B.前者是类比法，后者是对比法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C.前者是对比法，后者是归纳法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D.前者是对比法，后者是演绎法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457708" cy="160036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下列句子中属于呼告句的是（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A.三杯两盏淡酒，怎敌他、晚来风急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D.这次第，怎一个愁字了得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《山居秋暝》是一首（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《爱尔克的灯光》中故居照壁上的四个大字是（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A.礼义廉耻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B.光明正大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C.家门和顺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D.长宜子孙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李商隐《无题》中推己而及对方的一联是（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被人称为“七绝圣手”的诗人是（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A.王之涣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岑参《白雪歌送武判官归京》“山回路转不见君，雪上空留马行处”两句的抒情方式是（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A.直抒胸臆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B.借景抒情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C.借典故抒情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D.借议论抒情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下列句子中，“之”字可译作“到”“去”的是（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857800" cy="1381270"/>
            <wp:effectExtent l="0" t="0" r="0" b="0"/>
            <wp:docPr id="134201283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012834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7800" cy="138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https://d.book118.com/496100242042010053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100242042010053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