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338F8" w:rsidP="00B338F8" w14:paraId="5393D5CF" w14:textId="77777777">
      <w:pPr>
        <w:spacing w:before="48" w:beforeLines="20" w:after="360" w:afterLines="150" w:line="360" w:lineRule="auto"/>
        <w:jc w:val="center"/>
        <w:rPr>
          <w:rFonts w:ascii="华文中宋" w:eastAsia="华文中宋" w:hAnsi="华文中宋"/>
          <w:b/>
          <w:sz w:val="30"/>
        </w:rPr>
      </w:pPr>
      <w:r w:rsidRPr="00B338F8">
        <w:rPr>
          <w:rFonts w:ascii="华文中宋" w:eastAsia="华文中宋" w:hAnsi="华文中宋"/>
          <w:b/>
          <w:sz w:val="30"/>
        </w:rPr>
        <w:t>2023</w:t>
      </w:r>
      <w:r w:rsidRPr="00B338F8">
        <w:rPr>
          <w:rFonts w:ascii="华文中宋" w:eastAsia="华文中宋" w:hAnsi="华文中宋"/>
          <w:b/>
          <w:sz w:val="30"/>
        </w:rPr>
        <w:t>辽宁大连长兴岛经济技术开发区国有企业人员选聘外聘岗位拟聘人选笔试模拟试题及答案解析</w:t>
      </w:r>
    </w:p>
    <w:p w:rsidR="00A77B3E" w14:paraId="697E3E1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B20D4AB" w14:textId="77777777">
      <w:pPr>
        <w:spacing w:after="260" w:line="360" w:lineRule="auto"/>
      </w:pPr>
      <w:r>
        <w:rPr>
          <w:rFonts w:ascii="微软雅黑" w:eastAsia="微软雅黑" w:cs="微软雅黑"/>
        </w:rPr>
        <w:t>一、选择题</w:t>
      </w:r>
    </w:p>
    <w:p w:rsidR="00AD1216" w14:paraId="258B7592"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张某非法购买增值税专用发票</w:t>
      </w:r>
      <w:r w:rsidRPr="00AD1216">
        <w:rPr>
          <w:rFonts w:ascii="微软雅黑" w:eastAsia="微软雅黑" w:cs="微软雅黑"/>
          <w:szCs w:val="14"/>
        </w:rPr>
        <w:t>30</w:t>
      </w:r>
      <w:r w:rsidRPr="00AD1216">
        <w:rPr>
          <w:rFonts w:ascii="微软雅黑" w:eastAsia="微软雅黑" w:cs="微软雅黑"/>
          <w:szCs w:val="14"/>
        </w:rPr>
        <w:t>份后，又虚开增值税专用发票构成犯罪。张某的行为</w:t>
      </w:r>
      <w:r w:rsidRPr="00AD1216">
        <w:rPr>
          <w:rFonts w:ascii="微软雅黑" w:eastAsia="微软雅黑" w:cs="微软雅黑"/>
          <w:szCs w:val="14"/>
        </w:rPr>
        <w:t>()</w:t>
      </w:r>
      <w:r w:rsidRPr="00AD1216">
        <w:rPr>
          <w:rFonts w:ascii="微软雅黑" w:eastAsia="微软雅黑" w:cs="微软雅黑"/>
          <w:szCs w:val="14"/>
        </w:rPr>
        <w:t>。</w:t>
      </w:r>
    </w:p>
    <w:p w:rsidR="00AD1216" w14:paraId="722A2685"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、构成虚开增值税专用发票罪</w:t>
      </w:r>
    </w:p>
    <w:p w:rsidR="00AD1216" w14:paraId="5614BD4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、构成非法购买增值税专用发票罪</w:t>
      </w:r>
    </w:p>
    <w:p w:rsidR="00AD1216" w14:paraId="74ADCAC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、以虚开增值税专用发票罪和非法购买增值税专用发票罪数罪并罚</w:t>
      </w:r>
    </w:p>
    <w:p w:rsidR="00AD1216" w14:paraId="4A48C51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、以虚开增值税专用发票罪和非法购买增值税专用发票罪择一重罪处罚</w:t>
      </w:r>
    </w:p>
    <w:p w:rsidR="00AD1216" w14:paraId="64BD5E1D"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4FD0742C"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刑法》第二百零五条规定，虚开增值税专用发票罪是指为他人虚开、为自己虚开、让他人为自己虚开、介绍他人虚开行为之一的，违法有关规定，使国家造成损失的行为。《刑法》第二百零八条规定，非法购买增值税专用发票罪，指违反国家发票管理规定，非法购买增值税专用发票。《刑法》第二百零八条第二款规定，行为人非法购买增值税专用发票又虚开的，按照虚开增值税专用发票罪定罪处罚。故选</w:t>
      </w:r>
      <w:r w:rsidRPr="00AD1216">
        <w:rPr>
          <w:rFonts w:ascii="微软雅黑" w:eastAsia="微软雅黑" w:cs="微软雅黑"/>
          <w:szCs w:val="14"/>
        </w:rPr>
        <w:t>A</w:t>
      </w:r>
      <w:r w:rsidRPr="00AD1216">
        <w:rPr>
          <w:rFonts w:ascii="微软雅黑" w:eastAsia="微软雅黑" w:cs="微软雅黑"/>
          <w:szCs w:val="14"/>
        </w:rPr>
        <w:t>。</w:t>
      </w:r>
    </w:p>
    <w:p w:rsidR="00AD1216" w14:paraId="0B059C9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是国家生态安全的底线和生命线，这个红线不能突破，一旦突破必将危及生态安全、人民生产生活和国家可持续发展。</w:t>
      </w:r>
    </w:p>
    <w:p w:rsidR="00AD1216" w14:paraId="715445AF"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、生态红线</w:t>
      </w:r>
    </w:p>
    <w:p w:rsidR="00AD1216" w14:paraId="490230B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、亿亩耕地红线</w:t>
      </w:r>
    </w:p>
    <w:p w:rsidR="00AD1216" w14:paraId="7413330B"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、环境质量红线</w:t>
      </w:r>
    </w:p>
    <w:p w:rsidR="00AD1216" w14:paraId="1F9A1C0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、污染物排放红线</w:t>
      </w:r>
    </w:p>
    <w:p w:rsidR="00AD1216" w14:paraId="76328CF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C56B7B3"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牢固树立生态红线观念。生态红线，就是国家生态安全的底线和生命线，这个红线不能突破，一旦突破必将危及生态安全、人民生产生活和国家可持续发展。故选</w:t>
      </w:r>
      <w:r w:rsidRPr="00AD1216">
        <w:rPr>
          <w:rFonts w:ascii="微软雅黑" w:eastAsia="微软雅黑" w:cs="微软雅黑"/>
          <w:szCs w:val="14"/>
        </w:rPr>
        <w:t>A</w:t>
      </w:r>
      <w:r w:rsidRPr="00AD1216">
        <w:rPr>
          <w:rFonts w:ascii="微软雅黑" w:eastAsia="微软雅黑" w:cs="微软雅黑"/>
          <w:szCs w:val="14"/>
        </w:rPr>
        <w:t>。</w:t>
      </w:r>
    </w:p>
    <w:p w:rsidR="00AD1216" w14:paraId="75D20B17"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实践是检验真理的唯一标准，这主要是因为</w:t>
      </w:r>
      <w:r w:rsidRPr="00AD1216">
        <w:rPr>
          <w:rFonts w:ascii="微软雅黑" w:eastAsia="微软雅黑" w:cs="微软雅黑"/>
          <w:szCs w:val="14"/>
        </w:rPr>
        <w:t>()</w:t>
      </w:r>
      <w:r w:rsidRPr="00AD1216">
        <w:rPr>
          <w:rFonts w:ascii="微软雅黑" w:eastAsia="微软雅黑" w:cs="微软雅黑"/>
          <w:szCs w:val="14"/>
        </w:rPr>
        <w:t>。</w:t>
      </w:r>
    </w:p>
    <w:p w:rsidR="00AD1216" w14:paraId="160072F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、实践是人类生存和发展的基础</w:t>
      </w:r>
    </w:p>
    <w:p w:rsidR="00AD1216" w14:paraId="2A47EA51"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、实践是认识的来源和目的</w:t>
      </w:r>
    </w:p>
    <w:p w:rsidR="00AD1216" w14:paraId="23F4E4D1"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、实践可以把主观和客观联系起来</w:t>
      </w:r>
    </w:p>
    <w:p w:rsidR="00AD1216" w14:paraId="04FAF308"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、实践是一个无限发展的过程</w:t>
      </w:r>
    </w:p>
    <w:p w:rsidR="00AD1216" w14:paraId="2A4A29DD"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7A34C059"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马克思主义哲学提出实践标准，实践是人的主观见之于客观的活动，它能把主观认识与客观实际联系起来加以对照，来确定认识与认识对象是否相一致、相符合，从而使认识得到检验。实践是检验真理的唯一标准，这主要是因为实践可以把主观和客观联系起来。本知识点较难，考生应在理解的基础上加以记忆。故选</w:t>
      </w:r>
      <w:r w:rsidRPr="00AD1216">
        <w:rPr>
          <w:rFonts w:ascii="微软雅黑" w:eastAsia="微软雅黑" w:cs="微软雅黑"/>
          <w:szCs w:val="14"/>
        </w:rPr>
        <w:t>C</w:t>
      </w:r>
      <w:r w:rsidRPr="00AD1216">
        <w:rPr>
          <w:rFonts w:ascii="微软雅黑" w:eastAsia="微软雅黑" w:cs="微软雅黑"/>
          <w:szCs w:val="14"/>
        </w:rPr>
        <w:t>。</w:t>
      </w:r>
    </w:p>
    <w:p w:rsidR="00AD1216" w14:paraId="54C417F5"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下列关于全面从严治党的理解，错误的是</w:t>
      </w:r>
      <w:r w:rsidRPr="00AD1216">
        <w:rPr>
          <w:rFonts w:ascii="微软雅黑" w:eastAsia="微软雅黑" w:cs="微软雅黑"/>
          <w:szCs w:val="14"/>
        </w:rPr>
        <w:t>()</w:t>
      </w:r>
      <w:r w:rsidRPr="00AD1216">
        <w:rPr>
          <w:rFonts w:ascii="微软雅黑" w:eastAsia="微软雅黑" w:cs="微软雅黑"/>
          <w:szCs w:val="14"/>
        </w:rPr>
        <w:t>。</w:t>
      </w:r>
    </w:p>
    <w:p w:rsidR="00AD1216" w14:paraId="01D7F523"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、全面从严治党要把党风廉政建设作为突破口</w:t>
      </w:r>
    </w:p>
    <w:p w:rsidR="00AD1216" w14:paraId="54E3FF1A"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、全面从严治党着重解决人民群众反映强烈的</w:t>
      </w:r>
      <w:r w:rsidRPr="00AD1216">
        <w:rPr>
          <w:rFonts w:ascii="微软雅黑" w:eastAsia="微软雅黑" w:cs="微软雅黑"/>
          <w:szCs w:val="14"/>
        </w:rPr>
        <w:t>“</w:t>
      </w:r>
      <w:r w:rsidRPr="00AD1216">
        <w:rPr>
          <w:rFonts w:ascii="微软雅黑" w:eastAsia="微软雅黑" w:cs="微软雅黑"/>
          <w:szCs w:val="14"/>
        </w:rPr>
        <w:t>四风问题</w:t>
      </w:r>
      <w:r w:rsidRPr="00AD1216">
        <w:rPr>
          <w:rFonts w:ascii="微软雅黑" w:eastAsia="微软雅黑" w:cs="微软雅黑"/>
          <w:szCs w:val="14"/>
        </w:rPr>
        <w:t>”</w:t>
      </w:r>
    </w:p>
    <w:p w:rsidR="00AD1216" w14:paraId="49BE7BE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、全面从严治党着力解决不敢腐、不能腐、不想腐的问题</w:t>
      </w:r>
    </w:p>
    <w:p w:rsidR="00AD1216" w14:paraId="2BA486F7"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、严格执行中央八项规定，与全面从严治党没有多大关系</w:t>
      </w:r>
    </w:p>
    <w:p w:rsidR="00AD1216" w14:paraId="61DA8C1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183D50CF"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全面从严治党要把党风廉政建设作为突破口，着重解决人民群众反映强烈的</w:t>
      </w:r>
      <w:r w:rsidRPr="00AD1216">
        <w:rPr>
          <w:rFonts w:ascii="微软雅黑" w:eastAsia="微软雅黑" w:cs="微软雅黑"/>
          <w:szCs w:val="14"/>
        </w:rPr>
        <w:t>“</w:t>
      </w:r>
      <w:r w:rsidRPr="00AD1216">
        <w:rPr>
          <w:rFonts w:ascii="微软雅黑" w:eastAsia="微软雅黑" w:cs="微软雅黑"/>
          <w:szCs w:val="14"/>
        </w:rPr>
        <w:t>四风问题</w:t>
      </w:r>
      <w:r w:rsidRPr="00AD1216">
        <w:rPr>
          <w:rFonts w:ascii="微软雅黑" w:eastAsia="微软雅黑" w:cs="微软雅黑"/>
          <w:szCs w:val="14"/>
        </w:rPr>
        <w:t>”</w:t>
      </w:r>
      <w:r w:rsidRPr="00AD1216">
        <w:rPr>
          <w:rFonts w:ascii="微软雅黑" w:eastAsia="微软雅黑" w:cs="微软雅黑"/>
          <w:szCs w:val="14"/>
        </w:rPr>
        <w:t>，着力解决不敢腐、不能腐、不想腐的问题。故选</w:t>
      </w:r>
      <w:r w:rsidRPr="00AD1216">
        <w:rPr>
          <w:rFonts w:ascii="微软雅黑" w:eastAsia="微软雅黑" w:cs="微软雅黑"/>
          <w:szCs w:val="14"/>
        </w:rPr>
        <w:t>D</w:t>
      </w:r>
      <w:r w:rsidRPr="00AD1216">
        <w:rPr>
          <w:rFonts w:ascii="微软雅黑" w:eastAsia="微软雅黑" w:cs="微软雅黑"/>
          <w:szCs w:val="14"/>
        </w:rPr>
        <w:t>。</w:t>
      </w:r>
    </w:p>
    <w:p w:rsidR="00AD1216" w14:paraId="0351D1BF"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《荷马史诗》相传是由古希腊盲诗人荷马创作的长篇史诗，不仅具有文学艺术上的重要价值，而且在历史、地理、考古学和民俗学方面也提供给后世很多值得研究的东西。关于《荷马史诗》，下列说法错误的是</w:t>
      </w:r>
      <w:r w:rsidRPr="00AD1216">
        <w:rPr>
          <w:rFonts w:ascii="微软雅黑" w:eastAsia="微软雅黑" w:cs="微软雅黑"/>
          <w:szCs w:val="14"/>
        </w:rPr>
        <w:t>()</w:t>
      </w:r>
      <w:r w:rsidRPr="00AD1216">
        <w:rPr>
          <w:rFonts w:ascii="微软雅黑" w:eastAsia="微软雅黑" w:cs="微软雅黑"/>
          <w:szCs w:val="14"/>
        </w:rPr>
        <w:t>。</w:t>
      </w:r>
    </w:p>
    <w:p w:rsidR="00AD1216" w14:paraId="74E836DE"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、《荷马史诗》共两部，分别为《伊利亚特》和《奥德赛》</w:t>
      </w:r>
    </w:p>
    <w:p w:rsidR="00AD1216" w14:paraId="0B8DE27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、再现了古代罗马社会的图景，是研究早期社会的重要史料</w:t>
      </w:r>
    </w:p>
    <w:p w:rsidR="00AD1216" w14:paraId="5D364E97"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、作为史料，史诗不仅反映了公元前</w:t>
      </w:r>
      <w:r w:rsidRPr="00AD1216">
        <w:rPr>
          <w:rFonts w:ascii="微软雅黑" w:eastAsia="微软雅黑" w:cs="微软雅黑"/>
          <w:szCs w:val="14"/>
        </w:rPr>
        <w:t>11</w:t>
      </w:r>
      <w:r w:rsidRPr="00AD1216">
        <w:rPr>
          <w:rFonts w:ascii="微软雅黑" w:eastAsia="微软雅黑" w:cs="微软雅黑"/>
          <w:szCs w:val="14"/>
        </w:rPr>
        <w:t>世纪到公元前</w:t>
      </w:r>
      <w:r w:rsidRPr="00AD1216">
        <w:rPr>
          <w:rFonts w:ascii="微软雅黑" w:eastAsia="微软雅黑" w:cs="微软雅黑"/>
          <w:szCs w:val="14"/>
        </w:rPr>
        <w:t>9</w:t>
      </w:r>
      <w:r w:rsidRPr="00AD1216">
        <w:rPr>
          <w:rFonts w:ascii="微软雅黑" w:eastAsia="微软雅黑" w:cs="微软雅黑"/>
          <w:szCs w:val="14"/>
        </w:rPr>
        <w:t>世纪的社会情况，而且反映了迈锡尼文明</w:t>
      </w:r>
    </w:p>
    <w:p w:rsidR="00AD1216" w14:paraId="0771E2C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、史诗中塑造了很多英雄形象，如阿喀琉斯、赫克托耳、阿伽门农等</w:t>
      </w:r>
    </w:p>
    <w:p w:rsidR="00AD1216" w14:paraId="3714CF2B"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https://d.book118.com/496105130111010044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8F8" w:rsidP="00AA6F0C" w14:paraId="14D95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38F8" w14:paraId="6317D81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8F8" w:rsidP="00AA6F0C" w14:paraId="70443504" w14:textId="6DA382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338F8" w14:paraId="5E527B4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8F8" w14:paraId="787343D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8F8"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38F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8F8" w:rsidP="00AA6F0C" w14:textId="6DA382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338F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8F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8F8"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38F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8F8" w:rsidP="00AA6F0C" w14:textId="6DA382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338F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8F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8F8" w14:paraId="78CAAAE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8F8" w14:paraId="67A1D3B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8F8" w14:paraId="2688432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8F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8F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8F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8F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8F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8F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AA6F0C"/>
    <w:rsid w:val="00AD1216"/>
    <w:rsid w:val="00B338F8"/>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10FD942"/>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B338F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338F8"/>
    <w:rPr>
      <w:sz w:val="18"/>
      <w:szCs w:val="18"/>
    </w:rPr>
  </w:style>
  <w:style w:type="paragraph" w:styleId="Footer">
    <w:name w:val="footer"/>
    <w:basedOn w:val="Normal"/>
    <w:link w:val="a0"/>
    <w:rsid w:val="00B338F8"/>
    <w:pPr>
      <w:tabs>
        <w:tab w:val="center" w:pos="4153"/>
        <w:tab w:val="right" w:pos="8306"/>
      </w:tabs>
      <w:snapToGrid w:val="0"/>
    </w:pPr>
    <w:rPr>
      <w:sz w:val="18"/>
      <w:szCs w:val="18"/>
    </w:rPr>
  </w:style>
  <w:style w:type="character" w:customStyle="1" w:styleId="a0">
    <w:name w:val="页脚 字符"/>
    <w:basedOn w:val="DefaultParagraphFont"/>
    <w:link w:val="Footer"/>
    <w:rsid w:val="00B338F8"/>
    <w:rPr>
      <w:sz w:val="18"/>
      <w:szCs w:val="18"/>
    </w:rPr>
  </w:style>
  <w:style w:type="character" w:styleId="PageNumber">
    <w:name w:val="page number"/>
    <w:basedOn w:val="DefaultParagraphFont"/>
    <w:rsid w:val="00B338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96105130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3282</Words>
  <Characters>18708</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2024-02-06T13:48:00Z</dcterms:created>
  <dcterms:modified xsi:type="dcterms:W3CDTF">2024-02-06T13:48:00Z</dcterms:modified>
</cp:coreProperties>
</file>