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2018-2023年武汉工贸职业学院高职单招（数学／语文／英语）历年常考试题库含答案解析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《冯谖客孟尝君》选自（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C.《国语》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《红楼梦》的体裁是（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A.长篇章回白话小说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B.长篇文言文小说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C.诗体韵文小说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D.现实主义小说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“井蛙不可以语于海者，拘于虚也；夏虫不可以语于冰者，笃于时也；曲士不可以语于道者，束于教也”交融运用了（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A.夸张、排比、比喻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B.比喻、拟人、排比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C.借代、对偶、拟人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D.拟人、夸张、对偶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《郑伯克段于鄢》一文中出现的谋臣是（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A.共叔段、公子吕、颍考叔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B.郑庄公、颍考叔、公子吕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C.颍考叔、祭仲、公子吕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D.子封、共叔段、颍考叔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朱自清发表的第一部散文集是（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A.《背影》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B.《踪迹》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C.《你我》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D.《欧游杂记》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诗句“长风破浪会有时，直挂云帆济沧海。”出自（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A.李商隐《无题》（相见时难别亦难）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B.李白《行路难》（其一）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C.陆游《关山月》（和戎诏下十五年）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D.杜甫《蜀相》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和柳宗元相关的是（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A.新乐府运动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B.古文运动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C.诗文革新运动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D.诗界革命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《天净沙·秋思》的中心画面是（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A.枯藤老树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B.小桥流水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C.古道瘦马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D.夕阳西下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《蜀相》是一首（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B.七绝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C.七律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D.七古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朱光潜的主要美学论著有（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A.《美的历程》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B.《美学散步》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C.《西方美学史》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D.《七缀集》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“多行不义必自毙”“望洋兴叹”“形影相吊”三个成语依次出自（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A.《郑伯克段于鄢》《庄子·秋水》《陈情表》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B.《庄子·秋水》《陈情表》《郑伯克段于鄢》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C.《郑伯克段于鄢》《陈情表》《庄子·秋水》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D.《陈情表》《庄子·秋水》《郑伯克段于鄢》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艾青在哪个时间段曾被视为中国新诗的卓越代表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A.（1917—1927）第一个十年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B.（1928—1937）第二个十年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C.（1937—1949）第三个十年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D.20世纪80年代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孟子和孔子同属（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A.儒家学派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B.道家学派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C.法家学派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D.名家学派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中国现代新诗发展史上有三个代表诗派，闻一多属于（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A.自由派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B.格律派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C.象征派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https://d.book118.com/496125013230010052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49612501323001005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