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低噪音轴承行业企业战略发展规划及建议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一、发展规划、产业政策和行业准入分析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_Toc3368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二、低噪音轴承项目建设内容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8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_Toc28478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1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_Toc17001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三、低噪音轴承项目建设背景及必要性分析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" w:history="1">
        <w:r>
          <w:rPr>
            <w:rFonts w:ascii="仿宋" w:eastAsia="仿宋" w:hAnsi="仿宋" w:cs="仿宋" w:hint="eastAsia"/>
            <w:lang w:eastAsia="zh-CN"/>
          </w:rPr>
          <w:t>(一)、低噪音轴承项目背景分析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(二)、低噪音轴承项目建设必要性分析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3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_Toc28493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六、土建方案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_Toc17703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3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_Toc8563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七、宏观环境分析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八、风险风险及应对措施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6" w:history="1">
        <w:r>
          <w:rPr>
            <w:rFonts w:ascii="仿宋" w:eastAsia="仿宋" w:hAnsi="仿宋" w:cs="仿宋" w:hint="eastAsia"/>
            <w:lang w:eastAsia="zh-CN"/>
          </w:rPr>
          <w:t>(一)、低噪音轴承项目风险分析</w:t>
        </w:r>
        <w:r>
          <w:tab/>
        </w:r>
        <w:r>
          <w:fldChar w:fldCharType="begin"/>
        </w:r>
        <w:r>
          <w:instrText xml:space="preserve"> PAGEREF _Toc19166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(二)、低噪音轴承项目风险对策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" w:history="1">
        <w:r>
          <w:rPr>
            <w:rFonts w:ascii="仿宋" w:eastAsia="仿宋" w:hAnsi="仿宋" w:cs="仿宋" w:hint="eastAsia"/>
            <w:lang w:eastAsia="zh-CN"/>
          </w:rPr>
          <w:t>九、低噪音轴承项目招投标方案</w:t>
        </w:r>
        <w:r>
          <w:tab/>
        </w:r>
        <w:r>
          <w:fldChar w:fldCharType="begin"/>
        </w:r>
        <w:r>
          <w:instrText xml:space="preserve"> PAGEREF _Toc2839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_Toc25992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5" w:history="1">
        <w:r>
          <w:rPr>
            <w:rFonts w:ascii="仿宋" w:eastAsia="仿宋" w:hAnsi="仿宋" w:cs="仿宋" w:hint="eastAsia"/>
            <w:lang w:eastAsia="zh-CN"/>
          </w:rPr>
          <w:t>(四)、低噪音轴承项目招投标要求</w:t>
        </w:r>
        <w:r>
          <w:tab/>
        </w:r>
        <w:r>
          <w:fldChar w:fldCharType="begin"/>
        </w:r>
        <w:r>
          <w:instrText xml:space="preserve"> PAGEREF _Toc28505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4" w:history="1">
        <w:r>
          <w:rPr>
            <w:rFonts w:ascii="仿宋" w:eastAsia="仿宋" w:hAnsi="仿宋" w:cs="仿宋" w:hint="eastAsia"/>
            <w:lang w:eastAsia="zh-CN"/>
          </w:rPr>
          <w:t>(五)、低噪音轴承项目招标方式和招标程序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" w:history="1">
        <w:r>
          <w:rPr>
            <w:rFonts w:ascii="仿宋" w:eastAsia="仿宋" w:hAnsi="仿宋" w:cs="仿宋" w:hint="eastAsia"/>
            <w:lang w:eastAsia="zh-CN"/>
          </w:rPr>
          <w:t>十、低噪音轴承项目规划进度</w:t>
        </w:r>
        <w:r>
          <w:tab/>
        </w:r>
        <w:r>
          <w:fldChar w:fldCharType="begin"/>
        </w:r>
        <w:r>
          <w:instrText xml:space="preserve"> PAGEREF _Toc3122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(一)、低噪音轴承项目进度安排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(二)、低噪音轴承项目实施保障措施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9" w:history="1">
        <w:r>
          <w:rPr>
            <w:rFonts w:ascii="仿宋" w:eastAsia="仿宋" w:hAnsi="仿宋" w:cs="仿宋" w:hint="eastAsia"/>
            <w:lang w:eastAsia="zh-CN"/>
          </w:rPr>
          <w:t>十一、投资方案计划</w:t>
        </w:r>
        <w:r>
          <w:tab/>
        </w:r>
        <w:r>
          <w:fldChar w:fldCharType="begin"/>
        </w:r>
        <w:r>
          <w:instrText xml:space="preserve"> PAGEREF _Toc11919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eastAsia="zh-CN"/>
          </w:rPr>
          <w:t>(一)、低噪音轴承项目估算说明</w:t>
        </w:r>
        <w:r>
          <w:tab/>
        </w:r>
        <w:r>
          <w:fldChar w:fldCharType="begin"/>
        </w:r>
        <w:r>
          <w:instrText xml:space="preserve"> PAGEREF _Toc9218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9" w:history="1">
        <w:r>
          <w:rPr>
            <w:rFonts w:ascii="仿宋" w:eastAsia="仿宋" w:hAnsi="仿宋" w:cs="仿宋" w:hint="eastAsia"/>
            <w:lang w:eastAsia="zh-CN"/>
          </w:rPr>
          <w:t>(二)、低噪音轴承项目总投资估算</w:t>
        </w:r>
        <w:r>
          <w:tab/>
        </w:r>
        <w:r>
          <w:fldChar w:fldCharType="begin"/>
        </w:r>
        <w:r>
          <w:instrText xml:space="preserve"> PAGEREF _Toc4069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_Toc25079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十二、法律法规及审批程序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" w:history="1">
        <w:r>
          <w:rPr>
            <w:rFonts w:ascii="仿宋" w:eastAsia="仿宋" w:hAnsi="仿宋" w:cs="仿宋" w:hint="eastAsia"/>
            <w:lang w:eastAsia="zh-CN"/>
          </w:rPr>
          <w:t>十三、项目市场分析</w:t>
        </w:r>
        <w:r>
          <w:tab/>
        </w:r>
        <w:r>
          <w:fldChar w:fldCharType="begin"/>
        </w:r>
        <w:r>
          <w:instrText xml:space="preserve"> PAGEREF _Toc224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8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_Toc22848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0" w:history="1">
        <w:r>
          <w:rPr>
            <w:rFonts w:ascii="仿宋" w:eastAsia="仿宋" w:hAnsi="仿宋" w:cs="仿宋" w:hint="eastAsia"/>
            <w:lang w:eastAsia="zh-CN"/>
          </w:rPr>
          <w:t>十四、低噪音轴承项目风险分析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9" w:history="1">
        <w:r>
          <w:rPr>
            <w:rFonts w:ascii="仿宋" w:eastAsia="仿宋" w:hAnsi="仿宋" w:cs="仿宋" w:hint="eastAsia"/>
            <w:lang w:eastAsia="zh-CN"/>
          </w:rPr>
          <w:t>(一)、低噪音轴承项目风险分析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eastAsia="zh-CN"/>
          </w:rPr>
          <w:t>(二)、低噪音轴承项目风险对策</w:t>
        </w:r>
        <w:r>
          <w:tab/>
        </w:r>
        <w:r>
          <w:fldChar w:fldCharType="begin"/>
        </w:r>
        <w:r>
          <w:instrText xml:space="preserve"> PAGEREF _Toc366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十五、环境风险应急预案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eastAsia="zh-CN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5" w:history="1">
        <w:r>
          <w:rPr>
            <w:rFonts w:ascii="仿宋" w:eastAsia="仿宋" w:hAnsi="仿宋" w:cs="仿宋" w:hint="eastAsia"/>
            <w:lang w:eastAsia="zh-CN"/>
          </w:rPr>
          <w:t>(五)、应急演练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eastAsia="zh-CN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十六、特殊环境影响分析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6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6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" w:history="1">
        <w:r>
          <w:rPr>
            <w:rFonts w:ascii="仿宋" w:eastAsia="仿宋" w:hAnsi="仿宋" w:cs="仿宋" w:hint="eastAsia"/>
            <w:lang w:eastAsia="zh-CN"/>
          </w:rPr>
          <w:t>十七、供应链管理与物流优化</w:t>
        </w:r>
        <w:r>
          <w:tab/>
        </w:r>
        <w:r>
          <w:fldChar w:fldCharType="begin"/>
        </w:r>
        <w:r>
          <w:instrText xml:space="preserve"> PAGEREF _Toc2484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8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_Toc19938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0" w:history="1">
        <w:r>
          <w:rPr>
            <w:rFonts w:ascii="仿宋" w:eastAsia="仿宋" w:hAnsi="仿宋" w:cs="仿宋" w:hint="eastAsia"/>
            <w:lang w:eastAsia="zh-CN"/>
          </w:rPr>
          <w:t>十八、法律与合规性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(二)、低噪音轴承项目合同管理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2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_Toc21652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5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4" w:history="1">
        <w:r>
          <w:rPr>
            <w:rFonts w:ascii="仿宋" w:eastAsia="仿宋" w:hAnsi="仿宋" w:cs="仿宋" w:hint="eastAsia"/>
            <w:lang w:eastAsia="zh-CN"/>
          </w:rPr>
          <w:t>十九、信息技术与数字化创新</w:t>
        </w:r>
        <w:r>
          <w:tab/>
        </w:r>
        <w:r>
          <w:fldChar w:fldCharType="begin"/>
        </w:r>
        <w:r>
          <w:instrText xml:space="preserve"> PAGEREF _Toc8634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0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_Toc30070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二十、分销渠道运行绩效评估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_Toc16433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3" w:history="1">
        <w:r>
          <w:rPr>
            <w:rFonts w:ascii="仿宋" w:eastAsia="仿宋" w:hAnsi="仿宋" w:cs="仿宋" w:hint="eastAsia"/>
            <w:lang w:eastAsia="zh-CN"/>
          </w:rPr>
          <w:t>二十一、未来计划和展望</w:t>
        </w:r>
        <w:r>
          <w:tab/>
        </w:r>
        <w:r>
          <w:fldChar w:fldCharType="begin"/>
        </w:r>
        <w:r>
          <w:instrText xml:space="preserve"> PAGEREF _Toc30453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_Toc30055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二十二技术创新战略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4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_Toc28904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7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_Toc13477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92"/>
      <w:r>
        <w:rPr>
          <w:rFonts w:ascii="仿宋" w:eastAsia="仿宋" w:hAnsi="仿宋" w:cs="仿宋" w:hint="eastAsia"/>
          <w:sz w:val="28"/>
          <w:lang w:eastAsia="zh-CN"/>
        </w:rPr>
        <w:t>一、发展规划、产业政策和行业准入分析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02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https://d.book118.com/496125224232010052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低噪音轴承行业企业战略发展规划及建议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791D39"/>
    <w:rsid w:val="4593521B"/>
    <w:rsid w:val="7AE7341D"/>
    <w:rsid w:val="7E791D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125224232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2024-02-23T03:54:00Z</dcterms:created>
  <dcterms:modified xsi:type="dcterms:W3CDTF">2024-02-23T03:54:23Z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762391B45129499FBEB86A03F4D34F81_11</vt:lpwstr>
  </property>
  <property fmtid="{D5CDD505-2E9C-101B-9397-08002B2CF9AE}" pid="3" name="KSOProductBuildVer">
    <vt:lpwstr>2052-12.1.0.16250</vt:lpwstr>
  </property>
</Properties>
</file>