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1、[题干]人工喂养时，下列哪一点是不恰当的(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A.按小儿年龄及生理特点调制乳品量及浓度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B.每次喂哺应煮沸消毒食具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C.每日喂哺次数和间隔时间一般与母乳喂哺相近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D.喂哺完毕后应竖抱并轻拍后背。E,3个月以下的婴儿可用豆类代乳品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2、胆汁质气质的人，其高级神经活动类型属于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A.强、均衡而灵活的活泼型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B.强、均衡而不灵活的安静型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C.强、不均衡而灵活的兴奋型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D.弱、不均衡、不灵活的抑制型。E,弱、均衡、灵活的灵活型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【解析】胆汁质兴奋型，特点为情绪急躁、粗心，易冲动、自制力差，外倾明显，易感染。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3、[单选题]患者，女，72岁。咯痰清稀，喘息短气，自汗畏风，舌淡苔白，脉沉细。其证型是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A.饮停胸胁证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B.寒痰阻肺证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C.肺气虚证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D.风寒束表证。E,风寒犯肺证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4、[题干]早产儿易发生坏死性小肠结肠炎的原因是(　　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A.各种消化酶不足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B.缺血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C.胆酸分泌较少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D.喂养不当。E,贫血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【答案】A，B，C，D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5、[题干]足月儿，有窒息史，生后24小时出现反应差，嗜睡，继而惊厥。呼吸不规则，瞳孔固定，前囟较紧张。脑CT诊为“缺氧缺血性脑病”。该患儿脑损伤的主要部位是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A.脑干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B.小脑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C.中脑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D.脑室。E,大脑半球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https://d.book118.com/497003031023006043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97003031023006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