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D3CC0" w14:paraId="277BE0B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D3CC0" w14:paraId="1662E0F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D3CC0" w14:paraId="7F2AC3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D3CC0" w:rsidRPr="001D3CC0" w14:paraId="65328003" w14:textId="5A6BAF4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D3CC0">
        <w:rPr>
          <w:rFonts w:ascii="宋体" w:eastAsia="宋体" w:hAnsi="宋体" w:hint="eastAsia"/>
          <w:b/>
          <w:sz w:val="60"/>
        </w:rPr>
        <w:t>铁路罐车项目效益评估报告</w:t>
      </w:r>
    </w:p>
    <w:p w:rsidR="001D3CC0" w:rsidP="001D3CC0" w14:paraId="709A890D" w14:textId="1CAAF2D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D3CC0">
        <w:rPr>
          <w:rFonts w:ascii="仿宋" w:eastAsia="仿宋" w:hAnsi="仿宋" w:hint="eastAsia"/>
          <w:b/>
          <w:sz w:val="40"/>
        </w:rPr>
        <w:t>目录</w:t>
      </w:r>
    </w:p>
    <w:p w:rsidR="001D3CC0" w14:paraId="779F2F81" w14:textId="73F5D31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D3CC0" w14:paraId="30EE581B" w14:textId="76589B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D3CC0" w14:paraId="42B6E18B" w14:textId="52BC18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(一)、铁路罐车项目工程设计总体要求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D3CC0" w14:paraId="7CF77440" w14:textId="1C95AE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D3CC0" w14:paraId="3C33A486" w14:textId="3E69F3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D3CC0" w14:paraId="243B8A77" w14:textId="5934B1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二、铁路罐车项目规划进度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D3CC0" w14:paraId="1B3BAC48" w14:textId="455A8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(一)、铁路罐车项目进度安排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D3CC0" w14:paraId="5B4D10B5" w14:textId="226252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(二)、铁路罐车项目实施保障措施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D3CC0" w14:paraId="3686E5B1" w14:textId="5839DB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D3CC0" w14:paraId="70268D64" w14:textId="3FCE17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(四)、铁路罐车项目进度监控与调整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D3CC0" w14:paraId="120B2A38" w14:textId="0923A4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D3CC0" w14:paraId="515F679B" w14:textId="1BF778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D3CC0" w14:paraId="5416872A" w14:textId="76B19E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D3CC0" w14:paraId="7F4C38A3" w14:textId="4D99CD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(二)、铁路罐车项目技术工艺简要分析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D3CC0" w14:paraId="2A25B203" w14:textId="6D8C78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D3CC0" w14:paraId="032AED0B" w14:textId="4FAB7A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(四)、铁路罐车项目技术流程简述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D3CC0" w14:paraId="20D46B35" w14:textId="12BB7B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D3CC0" w14:paraId="10218A2E" w14:textId="70E733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四、铁路罐车项目承办单位基本情况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D3CC0" w14:paraId="71BEBA7C" w14:textId="3239CB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D3CC0" w14:paraId="3D051498" w14:textId="6B7FB4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D3CC0" w14:paraId="06F3D447" w14:textId="655AB75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D3CC0" w14:paraId="53235F17" w14:textId="79BC7A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D3CC0" w14:paraId="0F03D125" w14:textId="53D9B2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D3CC0" w14:paraId="207B3F7A" w14:textId="0D4EC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D3CC0" w14:paraId="333EE64A" w14:textId="09609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D3CC0" w14:paraId="0F157CDA" w14:textId="50E26D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_Toc153693439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D3CC0" w14:paraId="4663741D" w14:textId="037109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D3CC0" w14:paraId="706A49DC" w14:textId="1C7259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D3CC0" w14:paraId="38A06825" w14:textId="216CD1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D3CC0" w14:paraId="7CC82A94" w14:textId="4558FA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D3CC0" w14:paraId="2616797C" w14:textId="742C91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D3CC0" w14:paraId="473F5E7E" w14:textId="4EE871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D3CC0" w14:paraId="6518D672" w14:textId="578CC6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D3CC0" w14:paraId="04E7C8FB" w14:textId="2643D5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D3CC0" w14:paraId="4B15F86F" w14:textId="0D82B5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D3CC0" w14:paraId="24E89D75" w14:textId="0FCD60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_Toc153693449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D3CC0" w14:paraId="0AED50E6" w14:textId="45DDAF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D3CC0" w14:paraId="4D452E4B" w14:textId="01ECB7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D3CC0" w14:paraId="720DC990" w14:textId="2B7BB9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D3CC0" w14:paraId="15FA7CBF" w14:textId="10A8C3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D3CC0" w14:paraId="4590605C" w14:textId="6B65C9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D3CC0" w14:paraId="4ECD935F" w14:textId="04F00F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D3CC0" w14:paraId="3F9B7735" w14:textId="3EA7E00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D3CC0" w14:paraId="4A3901F9" w14:textId="6E7CC3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D3CC0" w14:paraId="080D7F82" w14:textId="709F97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D3CC0" w14:paraId="08E14DBC" w14:textId="57C92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_Toc153693459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D3CC0" w14:paraId="466FDEEB" w14:textId="216A63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D3CC0" w14:paraId="4CC7AAFF" w14:textId="16B665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D3CC0" w14:paraId="22F7D95F" w14:textId="40BE2E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D3CC0" w14:paraId="195AD819" w14:textId="1AA900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D3CC0" w14:paraId="4D20EE9A" w14:textId="56403E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D3CC0" w14:paraId="036E7AA4" w14:textId="071E3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D3CC0" w14:paraId="4063A03F" w14:textId="72C59E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D3CC0" w14:paraId="49077358" w14:textId="4CBA4C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D3CC0" w14:paraId="3DE0C45F" w14:textId="773AE2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D3CC0" w14:paraId="72DA3C56" w14:textId="55DF3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_Toc153693469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D3CC0" w14:paraId="3949A88D" w14:textId="1CB835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D3CC0" w14:paraId="59D4060F" w14:textId="731B1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D3CC0" w14:paraId="35F94950" w14:textId="01A405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十一、市场定位与目标市场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D3CC0" w14:paraId="377E5010" w14:textId="01AA29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D3CC0" w14:paraId="03D25307" w14:textId="64E546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D3CC0" w14:paraId="36C7E585" w14:textId="2C5FB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(三)、市场渗透计划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D3CC0" w14:paraId="2DBCFF14" w14:textId="284CD2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十二、市场调查与竞争分析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D3CC0" w14:paraId="46925AFC" w14:textId="6EB6E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(一)、市场调查方法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D3CC0" w14:paraId="77B962A4" w14:textId="02928B42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D3CC0" w14:paraId="1E0A1967" w14:textId="1C44E3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(三)、市场份额评估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_Toc153693479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D3CC0" w14:paraId="047D4695" w14:textId="6C0702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十三、员工管理与发展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_Toc153693480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D3CC0" w14:paraId="55098484" w14:textId="1DF73B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_Toc153693481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D3CC0" w14:paraId="692D933E" w14:textId="2988C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_Toc153693482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D3CC0" w14:paraId="1476A2D1" w14:textId="48C3DA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(三)、绩效管理与激励计划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_Toc153693483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1D3CC0" w:rsidP="001D3CC0" w14:paraId="2097F69A" w14:textId="2650F7FB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1D3CC0" w:rsidP="001D3CC0" w14:paraId="56AD0F17" w14:textId="44B9A266">
      <w:pPr>
        <w:pStyle w:val="Heading1"/>
        <w:jc w:val="center"/>
        <w:rPr>
          <w:rFonts w:hint="eastAsia"/>
        </w:rPr>
      </w:pPr>
      <w:bookmarkStart w:id="0" w:name="_Toc153693414"/>
      <w:r w:rsidRPr="001D3CC0">
        <w:rPr>
          <w:rFonts w:hint="eastAsia"/>
        </w:rPr>
        <w:t>序言</w:t>
      </w:r>
      <w:bookmarkEnd w:id="0"/>
    </w:p>
    <w:p w:rsidR="001D3CC0" w:rsidP="001D3CC0" w14:paraId="7BD7976A" w14:textId="18D8C86D">
      <w:pPr>
        <w:ind w:firstLine="560" w:firstLineChars="200"/>
        <w:rPr>
          <w:rFonts w:ascii="仿宋" w:eastAsia="仿宋" w:hint="eastAsia"/>
          <w:sz w:val="28"/>
        </w:rPr>
      </w:pPr>
      <w:r w:rsidRPr="001D3CC0">
        <w:rPr>
          <w:rFonts w:ascii="仿宋" w:eastAsia="仿宋" w:hint="eastAsia"/>
          <w:sz w:val="28"/>
        </w:rPr>
        <w:t>本评估报告旨在科学研究项目实施的可行性和效果，为决策者提供参考和指导。通过收集和分析项目相关数据，本报告将全面评估项目的目标、资源利用、风险管理和项目团队能力等方面。此报告仅供学习交流使用，不可做为商业用途。</w:t>
      </w:r>
    </w:p>
    <w:p w:rsidR="001D3CC0" w:rsidP="001D3CC0" w14:paraId="0E35C4E2" w14:textId="3FCEC0EF">
      <w:pPr>
        <w:pStyle w:val="Heading1"/>
        <w:rPr>
          <w:rFonts w:hint="eastAsia"/>
        </w:rPr>
      </w:pPr>
      <w:bookmarkStart w:id="1" w:name="_Toc153693415"/>
      <w:r w:rsidRPr="001D3CC0">
        <w:rPr>
          <w:rFonts w:hint="eastAsia"/>
        </w:rPr>
        <w:t>一、建筑技术方案说明</w:t>
      </w:r>
      <w:bookmarkEnd w:id="1"/>
    </w:p>
    <w:p w:rsidR="001D3CC0" w:rsidP="001D3CC0" w14:paraId="2F6A4CDB" w14:textId="1C134AFF">
      <w:pPr>
        <w:pStyle w:val="Heading2"/>
      </w:pPr>
      <w:bookmarkStart w:id="2" w:name="_Toc153693416"/>
      <w:r w:rsidRPr="001D3CC0">
        <w:t>(一)、铁路罐车项目工程设计总体要求</w:t>
      </w:r>
      <w:bookmarkEnd w:id="2"/>
    </w:p>
    <w:p w:rsidR="001D3CC0" w:rsidRPr="001D3CC0" w:rsidP="001D3CC0" w14:paraId="042481F3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建筑结构设计应符合国家和地方的建筑设计规范，确保工程结构的安全和稳定性。</w:t>
      </w:r>
    </w:p>
    <w:p w:rsidR="001D3CC0" w:rsidRPr="001D3CC0" w:rsidP="001D3CC0" w14:paraId="1849D1DF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工程施工进度要合理，以确保铁路罐车项目按计划完成，包括起始日期和完工日期。</w:t>
      </w:r>
    </w:p>
    <w:p w:rsidR="001D3CC0" w:rsidRPr="001D3CC0" w:rsidP="001D3CC0" w14:paraId="7A919652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设计要满足可持续发展原则，包括节能、环保和资源利用效率等方面的要求。</w:t>
      </w:r>
    </w:p>
    <w:p w:rsidR="001D3CC0" w:rsidP="001D3CC0" w14:paraId="0CFBC4B7" w14:textId="3E40AFB7">
      <w:pPr>
        <w:ind w:firstLine="560" w:firstLineChars="200"/>
        <w:rPr>
          <w:rFonts w:ascii="仿宋" w:eastAsia="仿宋" w:hAnsi="仿宋" w:hint="eastAsia"/>
          <w:sz w:val="28"/>
        </w:rPr>
      </w:pPr>
      <w:r w:rsidRPr="001D3CC0">
        <w:rPr>
          <w:rFonts w:ascii="仿宋" w:eastAsia="仿宋" w:hAnsi="仿宋" w:hint="eastAsia"/>
          <w:sz w:val="28"/>
        </w:rPr>
        <w:t>铁路罐车项目的施工和运营要考虑社会和环境的可持续性，以降低不利影响。</w:t>
      </w:r>
    </w:p>
    <w:p w:rsidR="001D3CC0" w:rsidP="001D3CC0" w14:paraId="25BEF49A" w14:textId="29BA7BC2">
      <w:pPr>
        <w:pStyle w:val="Heading2"/>
      </w:pPr>
      <w:bookmarkStart w:id="3" w:name="_Toc153693417"/>
      <w:r w:rsidRPr="001D3CC0">
        <w:t>(二)、建设方案</w:t>
      </w:r>
      <w:bookmarkEnd w:id="3"/>
    </w:p>
    <w:p w:rsidR="001D3CC0" w:rsidRPr="001D3CC0" w:rsidP="001D3CC0" w14:paraId="1B38BC2F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(一) 结构方案</w:t>
      </w:r>
    </w:p>
    <w:p w:rsidR="001D3CC0" w:rsidRPr="001D3CC0" w:rsidP="001D3CC0" w14:paraId="686337AA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1D3CC0">
        <w:rPr>
          <w:rFonts w:ascii="仿宋" w:eastAsia="仿宋" w:hAnsi="仿宋"/>
          <w:sz w:val="28"/>
        </w:rPr>
        <w:t>1. 设计采用的规范</w:t>
      </w:r>
    </w:p>
    <w:p w:rsidR="001D3CC0" w:rsidRPr="001D3CC0" w:rsidP="001D3CC0" w14:paraId="7CD1C833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为确保铁路罐车项目的建筑结构设计满足国家和地方的规范要</w:t>
      </w:r>
      <w:r w:rsidRPr="001D3CC0">
        <w:rPr>
          <w:rFonts w:ascii="仿宋" w:eastAsia="仿宋" w:hAnsi="仿宋" w:hint="eastAsia"/>
          <w:sz w:val="28"/>
        </w:rPr>
        <w:t>求，我们遵循以下规范：</w:t>
      </w:r>
    </w:p>
    <w:p w:rsidR="001D3CC0" w:rsidRPr="001D3CC0" w:rsidP="001D3CC0" w14:paraId="1CD422DF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(1) 根据有关主导专业提供的相关资料和要求。</w:t>
      </w:r>
    </w:p>
    <w:p w:rsidR="001D3CC0" w:rsidRPr="001D3CC0" w:rsidP="001D3CC0" w14:paraId="722AF780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(2) 遵循国家及地方现行的建筑结构设计规范、规程和法规。</w:t>
      </w:r>
    </w:p>
    <w:p w:rsidR="001D3CC0" w:rsidRPr="001D3CC0" w:rsidP="001D3CC0" w14:paraId="6017237B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(3) 考虑当地地形、地貌和自然条件，以适应铁路罐车项目所在地的特殊环境。</w:t>
      </w:r>
    </w:p>
    <w:p w:rsidR="001D3CC0" w:rsidRPr="001D3CC0" w:rsidP="001D3CC0" w14:paraId="4040718E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2. 主要建筑物结构设计</w:t>
      </w:r>
    </w:p>
    <w:p w:rsidR="001D3CC0" w:rsidRPr="001D3CC0" w:rsidP="001D3CC0" w14:paraId="5DBC4E44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(1) 车间与仓库：采用现浇钢筋混凝土结构，外墙采用砖砌作为围护结构，基础采用浅基础，同时考虑地梁的拉接，并在适当位置设置伸缩缝，以确保结构的稳定性和耐久性。</w:t>
      </w:r>
    </w:p>
    <w:p w:rsidR="001D3CC0" w:rsidRPr="001D3CC0" w:rsidP="001D3CC0" w14:paraId="5579497F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(2) 综合楼、办公楼</w:t>
      </w:r>
      <w:r w:rsidRPr="001D3CC0">
        <w:rPr>
          <w:rFonts w:ascii="仿宋" w:eastAsia="仿宋" w:hAnsi="仿宋" w:hint="eastAsia"/>
          <w:sz w:val="28"/>
        </w:rPr>
        <w:t>：采用现浇钢筋混凝土框架结构，以满足建筑物的承重和抗震要求。</w:t>
      </w:r>
    </w:p>
    <w:p w:rsidR="001D3CC0" w:rsidRPr="001D3CC0" w:rsidP="001D3CC0" w14:paraId="4E6940B5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(二) 建筑立面设计</w:t>
      </w:r>
    </w:p>
    <w:p w:rsidR="001D3CC0" w:rsidRPr="001D3CC0" w:rsidP="001D3CC0" w14:paraId="0AC980A7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为赋予建筑物时代特征、视觉吸引力和美感，我们在建筑立面设计方面采取以下措施：</w:t>
      </w:r>
    </w:p>
    <w:p w:rsidR="001D3CC0" w:rsidRPr="001D3CC0" w:rsidP="001D3CC0" w14:paraId="3F526924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简洁明了的外形设计，突出建筑物的整体美感。</w:t>
      </w:r>
    </w:p>
    <w:p w:rsidR="001D3CC0" w:rsidRPr="001D3CC0" w:rsidP="001D3CC0" w14:paraId="18C9FE4C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注重比例美和逻辑美，确保各个部分之间的协调和统一。</w:t>
      </w:r>
    </w:p>
    <w:p w:rsidR="001D3CC0" w:rsidRPr="001D3CC0" w:rsidP="001D3CC0" w14:paraId="534E5EB9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利用多种建筑处理手法，包括方向、形状、质感和虚实等，以创造建筑的多维度视觉效果，使其更具吸引力和观赏性。</w:t>
      </w:r>
    </w:p>
    <w:p w:rsidR="001D3CC0" w:rsidRPr="001D3CC0" w:rsidP="001D3CC0" w14:paraId="675792D4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(三) 基础设计</w:t>
      </w:r>
    </w:p>
    <w:p w:rsidR="001D3CC0" w:rsidRPr="001D3CC0" w:rsidP="001D3CC0" w14:paraId="2BDC7C97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1D3CC0">
        <w:rPr>
          <w:rFonts w:ascii="仿宋" w:eastAsia="仿宋" w:hAnsi="仿宋" w:hint="eastAsia"/>
          <w:sz w:val="28"/>
        </w:rPr>
        <w:t>基础是建筑物的支撑和稳定基础，因此基础设计至关重要。我们采用以下原则和方法来确保基础设计的可靠性和稳定性：</w:t>
      </w:r>
    </w:p>
    <w:p w:rsidR="001D3CC0" w:rsidRPr="001D3CC0" w:rsidP="001D3CC0" w14:paraId="085AC578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针对各类建筑物，根据建筑的用途和地理特点，采用适当的基础</w:t>
      </w:r>
      <w:r w:rsidRPr="001D3CC0">
        <w:rPr>
          <w:rFonts w:ascii="仿宋" w:eastAsia="仿宋" w:hAnsi="仿宋" w:hint="eastAsia"/>
          <w:sz w:val="28"/>
        </w:rPr>
        <w:t>类型，包括浅基础和深基础。</w:t>
      </w:r>
    </w:p>
    <w:p w:rsidR="001D3CC0" w:rsidRPr="001D3CC0" w:rsidP="001D3CC0" w14:paraId="2F1D058F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基础设计应充分考虑地质勘察和土壤条件，以确保基础的承载能力和抗震性能。</w:t>
      </w:r>
    </w:p>
    <w:p w:rsidR="001D3CC0" w:rsidRPr="001D3CC0" w:rsidP="001D3CC0" w14:paraId="44A0A329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设置适当的伸缩缝和接缝，以处理基础和建筑物之间的变形和位移。</w:t>
      </w:r>
    </w:p>
    <w:p w:rsidR="001D3CC0" w:rsidRPr="001D3CC0" w:rsidP="001D3CC0" w14:paraId="5B51126C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/>
          <w:sz w:val="28"/>
        </w:rPr>
        <w:t>(四) 结构材料选择</w:t>
      </w:r>
    </w:p>
    <w:p w:rsidR="001D3CC0" w:rsidRPr="001D3CC0" w:rsidP="001D3CC0" w14:paraId="02306BFB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在建筑结构材料的选择上，我们注重以下原则：</w:t>
      </w:r>
    </w:p>
    <w:p w:rsidR="001D3CC0" w:rsidRPr="001D3CC0" w:rsidP="001D3CC0" w14:paraId="379A365F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选择高质量的建筑材料，确保其耐久性和抗腐蚀性能。</w:t>
      </w:r>
    </w:p>
    <w:p w:rsidR="001D3CC0" w:rsidRPr="001D3CC0" w:rsidP="001D3CC0" w14:paraId="14F3B0CB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考虑建筑的用途和环境条件，选择适当的材料，以满足建筑的结构要求。</w:t>
      </w:r>
    </w:p>
    <w:p w:rsidR="001D3CC0" w:rsidRPr="001D3CC0" w:rsidP="001D3CC0" w14:paraId="4CE9ECD7" w14:textId="77777777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采用可持续和环保的材料，以减少对环境的影响。</w:t>
      </w:r>
    </w:p>
    <w:p w:rsidR="001D3CC0" w:rsidP="001D3CC0" w14:paraId="640BCCD5" w14:textId="5680C8A3">
      <w:pPr>
        <w:ind w:firstLine="560" w:firstLineChars="200"/>
        <w:rPr>
          <w:rFonts w:ascii="仿宋" w:eastAsia="仿宋" w:hAnsi="仿宋" w:hint="eastAsia"/>
          <w:sz w:val="28"/>
        </w:rPr>
      </w:pPr>
      <w:r w:rsidRPr="001D3CC0">
        <w:rPr>
          <w:rFonts w:ascii="仿宋" w:eastAsia="仿宋" w:hAnsi="仿宋" w:hint="eastAsia"/>
          <w:sz w:val="28"/>
        </w:rPr>
        <w:t>通过以上的基础设计和结构材料选择，我们将确保铁路罐车项目的建筑结构在安全、稳定和环保方面达到最佳标准。</w:t>
      </w:r>
    </w:p>
    <w:p w:rsidR="001D3CC0" w:rsidP="001D3CC0" w14:paraId="372DBAA8" w14:textId="705E823D">
      <w:pPr>
        <w:pStyle w:val="Heading2"/>
      </w:pPr>
      <w:bookmarkStart w:id="4" w:name="_Toc153693418"/>
      <w:r w:rsidRPr="001D3CC0">
        <w:t>(三)、建筑工程建设指标</w:t>
      </w:r>
      <w:bookmarkEnd w:id="4"/>
    </w:p>
    <w:p w:rsidR="001D3CC0" w:rsidP="001D3CC0" w14:paraId="39474BFC" w14:textId="0EB5A432">
      <w:pPr>
        <w:ind w:firstLine="560" w:firstLineChars="200"/>
        <w:rPr>
          <w:rFonts w:ascii="仿宋" w:eastAsia="仿宋" w:hAnsi="仿宋"/>
          <w:sz w:val="28"/>
        </w:rPr>
      </w:pPr>
      <w:r w:rsidRPr="001D3CC0">
        <w:rPr>
          <w:rFonts w:ascii="仿宋" w:eastAsia="仿宋" w:hAnsi="仿宋" w:hint="eastAsia"/>
          <w:sz w:val="28"/>
        </w:rPr>
        <w:t>本期铁路罐车项目建筑面积</w:t>
      </w:r>
      <w:r w:rsidRPr="001D3CC0">
        <w:rPr>
          <w:rFonts w:ascii="仿宋" w:eastAsia="仿宋" w:hAnsi="仿宋"/>
          <w:sz w:val="28"/>
        </w:rPr>
        <w:t>XXXm</w:t>
      </w:r>
      <w:r w:rsidRPr="001D3CC0">
        <w:rPr>
          <w:rFonts w:ascii="Calibri" w:eastAsia="仿宋" w:hAnsi="Calibri" w:cs="Calibri"/>
          <w:sz w:val="28"/>
        </w:rPr>
        <w:t>²</w:t>
      </w:r>
      <w:r w:rsidRPr="001D3CC0">
        <w:rPr>
          <w:rFonts w:ascii="仿宋" w:eastAsia="仿宋" w:hAnsi="仿宋"/>
          <w:sz w:val="28"/>
        </w:rPr>
        <w:t>, 其中：生产工程XXXm</w:t>
      </w:r>
      <w:r w:rsidRPr="001D3CC0">
        <w:rPr>
          <w:rFonts w:ascii="Calibri" w:eastAsia="仿宋" w:hAnsi="Calibri" w:cs="Calibri"/>
          <w:sz w:val="28"/>
        </w:rPr>
        <w:t>²</w:t>
      </w:r>
      <w:r w:rsidRPr="001D3CC0">
        <w:rPr>
          <w:rFonts w:ascii="仿宋" w:eastAsia="仿宋" w:hAnsi="仿宋"/>
          <w:sz w:val="28"/>
        </w:rPr>
        <w:t>, 仓储工程XXXm</w:t>
      </w:r>
      <w:r w:rsidRPr="001D3CC0">
        <w:rPr>
          <w:rFonts w:ascii="Calibri" w:eastAsia="仿宋" w:hAnsi="Calibri" w:cs="Calibri"/>
          <w:sz w:val="28"/>
        </w:rPr>
        <w:t>²</w:t>
      </w:r>
      <w:r w:rsidRPr="001D3CC0">
        <w:rPr>
          <w:rFonts w:ascii="仿宋" w:eastAsia="仿宋" w:hAnsi="仿宋"/>
          <w:sz w:val="28"/>
        </w:rPr>
        <w:t>, 行政办公及生活服务设施XXXm</w:t>
      </w:r>
      <w:r w:rsidRPr="001D3CC0">
        <w:rPr>
          <w:rFonts w:ascii="Calibri" w:eastAsia="仿宋" w:hAnsi="Calibri" w:cs="Calibri"/>
          <w:sz w:val="28"/>
        </w:rPr>
        <w:t>²</w:t>
      </w:r>
      <w:r w:rsidRPr="001D3CC0">
        <w:rPr>
          <w:rFonts w:ascii="仿宋" w:eastAsia="仿宋" w:hAnsi="仿宋"/>
          <w:sz w:val="28"/>
        </w:rPr>
        <w:t>, 公共工程XXXm</w:t>
      </w:r>
      <w:r w:rsidRPr="001D3CC0">
        <w:rPr>
          <w:rFonts w:ascii="Calibri" w:eastAsia="仿宋" w:hAnsi="Calibri" w:cs="Calibri"/>
          <w:sz w:val="28"/>
        </w:rPr>
        <w:t>²</w:t>
      </w:r>
      <w:r w:rsidRPr="001D3CC0">
        <w:rPr>
          <w:rFonts w:ascii="仿宋" w:eastAsia="仿宋" w:hAnsi="仿宋"/>
          <w:sz w:val="28"/>
        </w:rPr>
        <w:t>。</w:t>
      </w:r>
      <w:r>
        <w:rPr>
          <w:rFonts w:ascii="仿宋" w:eastAsia="仿宋" w:hAnsi="仿宋"/>
          <w:sz w:val="28"/>
        </w:rPr>
        <w:br/>
      </w:r>
      <w:r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https://d.book118.com/497026062165006030</w:t>
        </w:r>
      </w:hyperlink>
    </w:p>
    <w:p w:rsidR="001D3CC0" w:rsidP="001D3CC0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nextPage"/>
      <w:pgSz w:w="11906" w:h="16838"/>
      <w:pgMar w:top="1440" w:right="1800" w:bottom="1440" w:left="1800" w:header="851" w:footer="992" w:gutter="0"/>
      <w:pgNumType w:start="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paraId="18AF85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paraId="50C401F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paraId="209E5A13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D3CC0" w14:paraId="4CE45822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paraId="67A65D5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P="005E657C" w14:textId="6DD64C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D3CC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paraId="2329D0E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paraId="274014C6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paraId="380AFCD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:rsidRPr="001D3CC0" w:rsidP="001D3CC0" w14:textId="7457B249">
    <w:pPr>
      <w:pStyle w:val="Header"/>
      <w:rPr>
        <w:rFonts w:ascii="仿宋" w:eastAsia="仿宋" w:hAnsi="仿宋"/>
      </w:rPr>
    </w:pPr>
    <w:r w:rsidRPr="001D3CC0">
      <w:rPr>
        <w:rFonts w:ascii="仿宋" w:eastAsia="仿宋" w:hAnsi="仿宋" w:hint="eastAsia"/>
      </w:rPr>
      <w:t>铁路罐车项目效益评估报告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C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C0"/>
    <w:rsid w:val="000F3951"/>
    <w:rsid w:val="001D3CC0"/>
    <w:rsid w:val="005E657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3BF173"/>
  <w15:chartTrackingRefBased/>
  <w15:docId w15:val="{ED6EE412-3DEB-4FED-A47B-AFB31CF9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D3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D3C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D3CC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D3CC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D3C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D3CC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D3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D3CC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D3CC0"/>
  </w:style>
  <w:style w:type="paragraph" w:styleId="TOC1">
    <w:name w:val="toc 1"/>
    <w:basedOn w:val="Normal"/>
    <w:next w:val="Normal"/>
    <w:autoRedefine/>
    <w:uiPriority w:val="39"/>
    <w:unhideWhenUsed/>
    <w:rsid w:val="001D3CC0"/>
  </w:style>
  <w:style w:type="paragraph" w:styleId="TOC2">
    <w:name w:val="toc 2"/>
    <w:basedOn w:val="Normal"/>
    <w:next w:val="Normal"/>
    <w:autoRedefine/>
    <w:uiPriority w:val="39"/>
    <w:unhideWhenUsed/>
    <w:rsid w:val="001D3CC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yperlink" Target="https://d.book118.com/497026062165006030" TargetMode="Externa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3206</Words>
  <Characters>18280</Characters>
  <Application>Microsoft Office Word</Application>
  <DocSecurity>0</DocSecurity>
  <Lines>152</Lines>
  <Paragraphs>42</Paragraphs>
  <ScaleCrop>false</ScaleCrop>
  <Company/>
  <LinksUpToDate>false</LinksUpToDate>
  <CharactersWithSpaces>21444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2023-12-17T00:16:00Z</dcterms:created>
  <dcterms:modified xsi:type="dcterms:W3CDTF">2023-12-17T00:16:00Z</dcterms:modified>
</cp:coreProperties>
</file>