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15" w:line="183" w:lineRule="auto"/>
        <w:ind w:left="391"/>
        <w:rPr>
          <w:rFonts w:ascii="宋体" w:eastAsia="宋体" w:hAnsi="宋体" w:cs="宋体"/>
          <w:sz w:val="11"/>
          <w:szCs w:val="11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628015</wp:posOffset>
            </wp:positionH>
            <wp:positionV relativeFrom="page">
              <wp:posOffset>1847215</wp:posOffset>
            </wp:positionV>
            <wp:extent cx="4089400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9426" cy="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628015</wp:posOffset>
            </wp:positionH>
            <wp:positionV relativeFrom="page">
              <wp:posOffset>6635750</wp:posOffset>
            </wp:positionV>
            <wp:extent cx="4089400" cy="63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9426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pacing w:val="-3"/>
          <w:sz w:val="11"/>
          <w:szCs w:val="11"/>
        </w:rPr>
        <w:t>ICS</w:t>
      </w:r>
    </w:p>
    <w:p>
      <w:pPr>
        <w:spacing w:before="85" w:line="184" w:lineRule="auto"/>
        <w:ind w:left="391"/>
        <w:rPr>
          <w:rFonts w:ascii="宋体" w:eastAsia="宋体" w:hAnsi="宋体" w:cs="宋体"/>
          <w:sz w:val="11"/>
          <w:szCs w:val="11"/>
        </w:rPr>
      </w:pPr>
      <w:r>
        <w:rPr>
          <w:rFonts w:ascii="宋体" w:eastAsia="宋体" w:hAnsi="宋体" w:cs="宋体"/>
          <w:spacing w:val="-1"/>
          <w:sz w:val="11"/>
          <w:szCs w:val="11"/>
        </w:rPr>
        <w:t>V00/09</w:t>
      </w:r>
    </w:p>
    <w:p>
      <w:pPr>
        <w:spacing w:line="14" w:lineRule="auto"/>
        <w:rPr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3" w:line="184" w:lineRule="auto"/>
        <w:rPr>
          <w:rFonts w:ascii="宋体" w:eastAsia="宋体" w:hAnsi="宋体" w:cs="宋体"/>
          <w:sz w:val="11"/>
          <w:szCs w:val="11"/>
        </w:rPr>
      </w:pPr>
      <w:r>
        <w:rPr>
          <w:rFonts w:ascii="宋体" w:eastAsia="宋体" w:hAnsi="宋体" w:cs="宋体"/>
          <w:spacing w:val="-1"/>
          <w:sz w:val="11"/>
          <w:szCs w:val="11"/>
        </w:rPr>
        <w:t>03.120.10</w:t>
      </w:r>
    </w:p>
    <w:p>
      <w:pPr>
        <w:spacing w:line="184" w:lineRule="auto"/>
        <w:rPr>
          <w:rFonts w:ascii="宋体" w:eastAsia="宋体" w:hAnsi="宋体" w:cs="宋体"/>
          <w:sz w:val="11"/>
          <w:szCs w:val="11"/>
        </w:rPr>
        <w:sectPr>
          <w:pgSz w:w="11900" w:h="16840"/>
          <w:pgMar w:top="466" w:right="1785" w:bottom="0" w:left="708" w:header="0" w:footer="0" w:gutter="0"/>
          <w:cols w:num="2" w:space="708" w:equalWidth="0">
            <w:col w:w="758" w:space="100"/>
            <w:col w:w="8550" w:space="0"/>
          </w:cols>
        </w:sectPr>
      </w:pPr>
    </w:p>
    <w:p>
      <w:pPr>
        <w:spacing w:before="40"/>
      </w:pPr>
    </w:p>
    <w:p>
      <w:pPr>
        <w:spacing w:before="39"/>
      </w:pPr>
    </w:p>
    <w:p>
      <w:pPr>
        <w:sectPr>
          <w:type w:val="continuous"/>
          <w:pgSz w:w="11900" w:h="16840"/>
          <w:pgMar w:top="466" w:right="1785" w:bottom="0" w:left="708" w:header="0" w:footer="0" w:gutter="0"/>
          <w:pgNumType w:start="2"/>
          <w:cols w:num="1" w:space="708" w:equalWidth="0">
            <w:col w:w="9407" w:space="0"/>
          </w:cols>
        </w:sectPr>
      </w:pPr>
    </w:p>
    <w:p>
      <w:pPr>
        <w:spacing w:before="121" w:line="224" w:lineRule="auto"/>
        <w:ind w:left="470"/>
        <w:rPr>
          <w:rFonts w:ascii="黑体" w:eastAsia="黑体" w:hAnsi="黑体" w:cs="黑体"/>
          <w:sz w:val="59"/>
          <w:szCs w:val="59"/>
        </w:rPr>
      </w:pPr>
      <w:r>
        <w:rPr>
          <w:rFonts w:ascii="黑体" w:eastAsia="黑体" w:hAnsi="黑体" w:cs="黑体"/>
          <w:b/>
          <w:bCs/>
          <w:spacing w:val="-33"/>
          <w:sz w:val="59"/>
          <w:szCs w:val="59"/>
        </w:rPr>
        <w:t>团</w:t>
      </w:r>
      <w:r>
        <w:rPr>
          <w:rFonts w:ascii="黑体" w:eastAsia="黑体" w:hAnsi="黑体" w:cs="黑体"/>
          <w:spacing w:val="17"/>
          <w:sz w:val="59"/>
          <w:szCs w:val="59"/>
        </w:rPr>
        <w:t xml:space="preserve">    </w:t>
      </w:r>
      <w:r>
        <w:rPr>
          <w:rFonts w:ascii="黑体" w:eastAsia="黑体" w:hAnsi="黑体" w:cs="黑体"/>
          <w:b/>
          <w:bCs/>
          <w:spacing w:val="-33"/>
          <w:sz w:val="59"/>
          <w:szCs w:val="59"/>
        </w:rPr>
        <w:t>体</w:t>
      </w:r>
      <w:r>
        <w:rPr>
          <w:rFonts w:ascii="黑体" w:eastAsia="黑体" w:hAnsi="黑体" w:cs="黑体"/>
          <w:spacing w:val="27"/>
          <w:sz w:val="59"/>
          <w:szCs w:val="59"/>
        </w:rPr>
        <w:t xml:space="preserve">    </w:t>
      </w:r>
      <w:r>
        <w:rPr>
          <w:rFonts w:ascii="黑体" w:eastAsia="黑体" w:hAnsi="黑体" w:cs="黑体"/>
          <w:b/>
          <w:bCs/>
          <w:spacing w:val="-33"/>
          <w:sz w:val="59"/>
          <w:szCs w:val="59"/>
        </w:rPr>
        <w:t>标</w:t>
      </w:r>
    </w:p>
    <w:p>
      <w:pPr>
        <w:spacing w:line="14" w:lineRule="auto"/>
        <w:rPr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18" w:line="224" w:lineRule="auto"/>
        <w:ind w:left="1028"/>
        <w:rPr>
          <w:rFonts w:ascii="黑体" w:eastAsia="黑体" w:hAnsi="黑体" w:cs="黑体"/>
          <w:sz w:val="59"/>
          <w:szCs w:val="59"/>
        </w:rPr>
      </w:pPr>
      <w:r>
        <w:rPr>
          <w:rFonts w:ascii="黑体" w:eastAsia="黑体" w:hAnsi="黑体" w:cs="黑体"/>
          <w:b/>
          <w:bCs/>
          <w:spacing w:val="-7"/>
          <w:sz w:val="59"/>
          <w:szCs w:val="59"/>
        </w:rPr>
        <w:t>准</w:t>
      </w:r>
    </w:p>
    <w:p>
      <w:pPr>
        <w:spacing w:before="275" w:line="184" w:lineRule="auto"/>
        <w:rPr>
          <w:rFonts w:ascii="宋体" w:eastAsia="宋体" w:hAnsi="宋体" w:cs="宋体"/>
          <w:sz w:val="15"/>
          <w:szCs w:val="15"/>
        </w:rPr>
      </w:pPr>
      <w:r>
        <w:rPr>
          <w:rFonts w:ascii="宋体" w:eastAsia="宋体" w:hAnsi="宋体" w:cs="宋体"/>
          <w:spacing w:val="-1"/>
          <w:sz w:val="15"/>
          <w:szCs w:val="15"/>
        </w:rPr>
        <w:t>T/CSAA</w:t>
      </w:r>
      <w:r>
        <w:rPr>
          <w:rFonts w:ascii="宋体" w:eastAsia="宋体" w:hAnsi="宋体" w:cs="宋体"/>
          <w:spacing w:val="8"/>
          <w:sz w:val="15"/>
          <w:szCs w:val="15"/>
        </w:rPr>
        <w:t xml:space="preserve">      </w:t>
      </w:r>
      <w:r>
        <w:rPr>
          <w:rFonts w:ascii="宋体" w:eastAsia="宋体" w:hAnsi="宋体" w:cs="宋体"/>
          <w:spacing w:val="-1"/>
          <w:sz w:val="15"/>
          <w:szCs w:val="15"/>
        </w:rPr>
        <w:t>24.1—2023</w:t>
      </w:r>
    </w:p>
    <w:p>
      <w:pPr>
        <w:spacing w:line="184" w:lineRule="auto"/>
        <w:rPr>
          <w:rFonts w:ascii="宋体" w:eastAsia="宋体" w:hAnsi="宋体" w:cs="宋体"/>
          <w:sz w:val="15"/>
          <w:szCs w:val="15"/>
        </w:rPr>
        <w:sectPr>
          <w:type w:val="continuous"/>
          <w:pgSz w:w="11900" w:h="16840"/>
          <w:pgMar w:top="466" w:right="1785" w:bottom="0" w:left="708" w:header="0" w:footer="0" w:gutter="0"/>
          <w:pgNumType w:start="3"/>
          <w:cols w:num="2" w:space="708" w:equalWidth="0">
            <w:col w:w="4842" w:space="100"/>
            <w:col w:w="4465" w:space="0"/>
          </w:cols>
        </w:sectPr>
      </w:pPr>
    </w:p>
    <w:p>
      <w:pPr>
        <w:spacing w:line="253" w:lineRule="auto"/>
      </w:pPr>
    </w:p>
    <w:p>
      <w:pPr>
        <w:spacing w:line="253" w:lineRule="auto"/>
      </w:pPr>
    </w:p>
    <w:p>
      <w:pPr>
        <w:spacing w:line="253" w:lineRule="auto"/>
      </w:pPr>
    </w:p>
    <w:p>
      <w:pPr>
        <w:spacing w:line="253" w:lineRule="auto"/>
      </w:pPr>
    </w:p>
    <w:p>
      <w:pPr>
        <w:spacing w:line="253" w:lineRule="auto"/>
      </w:pPr>
    </w:p>
    <w:p>
      <w:pPr>
        <w:spacing w:line="253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before="102" w:line="561" w:lineRule="exact"/>
        <w:ind w:left="1141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27"/>
          <w:position w:val="18"/>
          <w:sz w:val="31"/>
          <w:szCs w:val="31"/>
        </w:rPr>
        <w:t>基础研究项目综合绩效评价指南</w:t>
      </w:r>
    </w:p>
    <w:p>
      <w:pPr>
        <w:spacing w:before="1" w:line="221" w:lineRule="auto"/>
        <w:ind w:left="1651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22"/>
          <w:sz w:val="31"/>
          <w:szCs w:val="31"/>
        </w:rPr>
        <w:t>第 1部分：评价指标体系</w:t>
      </w:r>
    </w:p>
    <w:p>
      <w:pPr>
        <w:pStyle w:val="BodyText"/>
        <w:spacing w:before="127" w:line="319" w:lineRule="exact"/>
        <w:ind w:left="591"/>
      </w:pPr>
      <w:r>
        <w:rPr>
          <w:position w:val="9"/>
        </w:rPr>
        <w:t>Guidelines</w:t>
      </w:r>
      <w:r>
        <w:rPr>
          <w:spacing w:val="2"/>
          <w:position w:val="9"/>
        </w:rPr>
        <w:t xml:space="preserve">  </w:t>
      </w:r>
      <w:r>
        <w:rPr>
          <w:position w:val="9"/>
        </w:rPr>
        <w:t>for</w:t>
      </w:r>
      <w:r>
        <w:rPr>
          <w:spacing w:val="2"/>
          <w:position w:val="9"/>
        </w:rPr>
        <w:t xml:space="preserve">  </w:t>
      </w:r>
      <w:r>
        <w:rPr>
          <w:position w:val="9"/>
        </w:rPr>
        <w:t>comprehensive</w:t>
      </w:r>
      <w:r>
        <w:rPr>
          <w:spacing w:val="2"/>
          <w:position w:val="9"/>
        </w:rPr>
        <w:t xml:space="preserve">  </w:t>
      </w:r>
      <w:r>
        <w:rPr>
          <w:position w:val="9"/>
        </w:rPr>
        <w:t>performance</w:t>
      </w:r>
      <w:r>
        <w:rPr>
          <w:spacing w:val="2"/>
          <w:position w:val="9"/>
        </w:rPr>
        <w:t xml:space="preserve">  </w:t>
      </w:r>
      <w:r>
        <w:rPr>
          <w:position w:val="9"/>
        </w:rPr>
        <w:t>evaluation</w:t>
      </w:r>
      <w:r>
        <w:rPr>
          <w:spacing w:val="9"/>
          <w:position w:val="9"/>
        </w:rPr>
        <w:t xml:space="preserve">  </w:t>
      </w:r>
      <w:r>
        <w:rPr>
          <w:position w:val="9"/>
        </w:rPr>
        <w:t>of</w:t>
      </w:r>
    </w:p>
    <w:p>
      <w:pPr>
        <w:pStyle w:val="BodyText"/>
        <w:spacing w:line="192" w:lineRule="auto"/>
        <w:ind w:left="2351"/>
      </w:pPr>
      <w:r>
        <w:t>basic  research</w:t>
      </w:r>
      <w:r>
        <w:rPr>
          <w:spacing w:val="59"/>
        </w:rPr>
        <w:t xml:space="preserve"> </w:t>
      </w:r>
      <w:r>
        <w:t>proj</w:t>
      </w:r>
      <w:r>
        <w:rPr>
          <w:spacing w:val="-1"/>
        </w:rPr>
        <w:t>ects</w:t>
      </w:r>
    </w:p>
    <w:p>
      <w:pPr>
        <w:pStyle w:val="BodyText"/>
        <w:spacing w:before="309" w:line="192" w:lineRule="auto"/>
        <w:ind w:left="1871"/>
      </w:pPr>
      <w:r>
        <w:rPr>
          <w:spacing w:val="-2"/>
        </w:rPr>
        <w:t>Part</w:t>
      </w:r>
      <w:r>
        <w:rPr>
          <w:spacing w:val="26"/>
        </w:rPr>
        <w:t xml:space="preserve">  </w:t>
      </w:r>
      <w:r>
        <w:rPr>
          <w:spacing w:val="-2"/>
        </w:rPr>
        <w:t>1:Evaluation</w:t>
      </w:r>
      <w:r>
        <w:rPr>
          <w:spacing w:val="14"/>
        </w:rPr>
        <w:t xml:space="preserve">  </w:t>
      </w:r>
      <w:r>
        <w:rPr>
          <w:spacing w:val="-2"/>
        </w:rPr>
        <w:t>index</w:t>
      </w:r>
      <w:r>
        <w:rPr>
          <w:spacing w:val="17"/>
        </w:rPr>
        <w:t xml:space="preserve">  </w:t>
      </w:r>
      <w:r>
        <w:rPr>
          <w:spacing w:val="-2"/>
        </w:rPr>
        <w:t>system</w:t>
      </w: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ectPr>
          <w:type w:val="continuous"/>
          <w:pgSz w:w="11900" w:h="16840"/>
          <w:pgMar w:top="466" w:right="1785" w:bottom="0" w:left="708" w:header="0" w:footer="0" w:gutter="0"/>
          <w:pgNumType w:start="4"/>
          <w:cols w:num="1" w:space="708" w:equalWidth="0">
            <w:col w:w="9407" w:space="0"/>
          </w:cols>
        </w:sectPr>
      </w:pPr>
    </w:p>
    <w:p>
      <w:pPr>
        <w:spacing w:before="66" w:line="181" w:lineRule="auto"/>
        <w:ind w:left="394"/>
        <w:rPr>
          <w:rFonts w:ascii="黑体" w:eastAsia="黑体" w:hAnsi="黑体" w:cs="黑体"/>
          <w:sz w:val="19"/>
          <w:szCs w:val="19"/>
        </w:rPr>
      </w:pPr>
      <w:r>
        <w:rPr>
          <w:rFonts w:ascii="黑体" w:eastAsia="黑体" w:hAnsi="黑体" w:cs="黑体"/>
          <w:b/>
          <w:bCs/>
          <w:spacing w:val="-3"/>
          <w:sz w:val="19"/>
          <w:szCs w:val="19"/>
        </w:rPr>
        <w:t>2023-12-26</w:t>
      </w:r>
    </w:p>
    <w:p>
      <w:pPr>
        <w:spacing w:line="14" w:lineRule="auto"/>
        <w:rPr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37" w:line="208" w:lineRule="auto"/>
        <w:rPr>
          <w:rFonts w:ascii="黑体" w:eastAsia="黑体" w:hAnsi="黑体" w:cs="黑体"/>
          <w:sz w:val="19"/>
          <w:szCs w:val="19"/>
        </w:rPr>
      </w:pPr>
      <w:r>
        <w:rPr>
          <w:rFonts w:ascii="黑体" w:eastAsia="黑体" w:hAnsi="黑体" w:cs="黑体"/>
          <w:b/>
          <w:bCs/>
          <w:spacing w:val="18"/>
          <w:sz w:val="19"/>
          <w:szCs w:val="19"/>
        </w:rPr>
        <w:t>发布</w:t>
      </w:r>
    </w:p>
    <w:p>
      <w:pPr>
        <w:spacing w:line="14" w:lineRule="auto"/>
        <w:rPr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187" w:lineRule="auto"/>
        <w:rPr>
          <w:rFonts w:ascii="黑体" w:eastAsia="黑体" w:hAnsi="黑体" w:cs="黑体"/>
          <w:sz w:val="19"/>
          <w:szCs w:val="19"/>
        </w:rPr>
      </w:pPr>
      <w:r>
        <w:rPr>
          <w:rFonts w:ascii="黑体" w:eastAsia="黑体" w:hAnsi="黑体" w:cs="黑体"/>
          <w:b/>
          <w:bCs/>
          <w:spacing w:val="-3"/>
          <w:sz w:val="19"/>
          <w:szCs w:val="19"/>
        </w:rPr>
        <w:t>2024-2-1</w:t>
      </w:r>
      <w:r>
        <w:rPr>
          <w:rFonts w:ascii="黑体" w:eastAsia="黑体" w:hAnsi="黑体" w:cs="黑体"/>
          <w:spacing w:val="-3"/>
          <w:sz w:val="19"/>
          <w:szCs w:val="19"/>
        </w:rPr>
        <w:t xml:space="preserve">  </w:t>
      </w:r>
      <w:r>
        <w:rPr>
          <w:rFonts w:ascii="黑体" w:eastAsia="黑体" w:hAnsi="黑体" w:cs="黑体"/>
          <w:b/>
          <w:bCs/>
          <w:spacing w:val="-3"/>
          <w:sz w:val="19"/>
          <w:szCs w:val="19"/>
        </w:rPr>
        <w:t>实</w:t>
      </w:r>
      <w:r>
        <w:rPr>
          <w:rFonts w:ascii="黑体" w:eastAsia="黑体" w:hAnsi="黑体" w:cs="黑体"/>
          <w:spacing w:val="-31"/>
          <w:sz w:val="19"/>
          <w:szCs w:val="19"/>
        </w:rPr>
        <w:t xml:space="preserve"> </w:t>
      </w:r>
      <w:r>
        <w:rPr>
          <w:rFonts w:ascii="黑体" w:eastAsia="黑体" w:hAnsi="黑体" w:cs="黑体"/>
          <w:b/>
          <w:bCs/>
          <w:spacing w:val="-3"/>
          <w:sz w:val="19"/>
          <w:szCs w:val="19"/>
        </w:rPr>
        <w:t>施</w:t>
      </w:r>
    </w:p>
    <w:p>
      <w:pPr>
        <w:spacing w:line="187" w:lineRule="auto"/>
        <w:rPr>
          <w:rFonts w:ascii="黑体" w:eastAsia="黑体" w:hAnsi="黑体" w:cs="黑体"/>
          <w:sz w:val="19"/>
          <w:szCs w:val="19"/>
        </w:rPr>
        <w:sectPr>
          <w:type w:val="continuous"/>
          <w:pgSz w:w="11900" w:h="16840"/>
          <w:pgMar w:top="466" w:right="1785" w:bottom="0" w:left="708" w:header="0" w:footer="0" w:gutter="0"/>
          <w:pgNumType w:start="5"/>
          <w:cols w:num="3" w:space="708" w:equalWidth="0">
            <w:col w:w="1455" w:space="100"/>
            <w:col w:w="3570" w:space="100"/>
            <w:col w:w="4183" w:space="0"/>
          </w:cols>
        </w:sectPr>
      </w:pPr>
    </w:p>
    <w:p>
      <w:pPr>
        <w:spacing w:line="293" w:lineRule="auto"/>
      </w:pPr>
    </w:p>
    <w:p>
      <w:pPr>
        <w:spacing w:before="62" w:line="187" w:lineRule="auto"/>
        <w:ind w:left="2614"/>
        <w:rPr>
          <w:rFonts w:ascii="黑体" w:eastAsia="黑体" w:hAnsi="黑体" w:cs="黑体"/>
          <w:sz w:val="19"/>
          <w:szCs w:val="19"/>
        </w:rPr>
      </w:pPr>
      <w:r>
        <w:rPr>
          <w:rFonts w:ascii="黑体" w:eastAsia="黑体" w:hAnsi="黑体" w:cs="黑体"/>
          <w:b/>
          <w:bCs/>
          <w:spacing w:val="28"/>
          <w:sz w:val="19"/>
          <w:szCs w:val="19"/>
        </w:rPr>
        <w:t>中国航空学会发布</w:t>
      </w:r>
    </w:p>
    <w:p>
      <w:pPr>
        <w:spacing w:line="187" w:lineRule="auto"/>
        <w:rPr>
          <w:rFonts w:ascii="黑体" w:eastAsia="黑体" w:hAnsi="黑体" w:cs="黑体"/>
          <w:sz w:val="19"/>
          <w:szCs w:val="19"/>
        </w:rPr>
        <w:sectPr>
          <w:type w:val="continuous"/>
          <w:pgSz w:w="11900" w:h="16840"/>
          <w:pgMar w:top="466" w:right="1785" w:bottom="0" w:left="708" w:header="0" w:footer="0" w:gutter="0"/>
          <w:pgNumType w:start="6"/>
          <w:cols w:num="1" w:space="708" w:equalWidth="0">
            <w:col w:w="9407" w:space="0"/>
          </w:cols>
        </w:sectPr>
      </w:pPr>
    </w:p>
    <w:p>
      <w:pPr>
        <w:spacing w:line="16827" w:lineRule="exact"/>
      </w:pPr>
      <w:r>
        <w:rPr>
          <w:position w:val="-336"/>
        </w:rPr>
        <w:drawing>
          <wp:inline distT="0" distB="0" distL="0" distR="0">
            <wp:extent cx="7556500" cy="1068514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27" w:lineRule="exact"/>
        <w:sectPr>
          <w:headerReference w:type="default" r:id="rId8"/>
          <w:footerReference w:type="default" r:id="rId9"/>
          <w:pgSz w:w="11900" w:h="16840"/>
          <w:pgMar w:top="1" w:right="0" w:bottom="1" w:left="0" w:header="0" w:footer="0" w:gutter="0"/>
          <w:pgNumType w:start="7"/>
          <w:cols w:num="1" w:space="720"/>
        </w:sectPr>
      </w:pPr>
    </w:p>
    <w:p>
      <w:pPr>
        <w:spacing w:line="280" w:lineRule="auto"/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628015</wp:posOffset>
            </wp:positionH>
            <wp:positionV relativeFrom="page">
              <wp:posOffset>6870700</wp:posOffset>
            </wp:positionV>
            <wp:extent cx="4070350" cy="635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70384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81" w:lineRule="auto"/>
      </w:pPr>
    </w:p>
    <w:p>
      <w:pPr>
        <w:spacing w:before="42" w:line="224" w:lineRule="auto"/>
        <w:ind w:left="11"/>
        <w:outlineLvl w:val="0"/>
        <w:rPr>
          <w:rFonts w:ascii="宋体" w:eastAsia="宋体" w:hAnsi="宋体" w:cs="宋体"/>
          <w:sz w:val="13"/>
          <w:szCs w:val="13"/>
        </w:rPr>
      </w:pPr>
      <w:r>
        <w:rPr>
          <w:rFonts w:ascii="宋体" w:eastAsia="宋体" w:hAnsi="宋体" w:cs="宋体"/>
          <w:b/>
          <w:bCs/>
          <w:spacing w:val="-2"/>
          <w:sz w:val="13"/>
          <w:szCs w:val="13"/>
        </w:rPr>
        <w:t>T/CSAA24.1-2023</w:t>
      </w:r>
    </w:p>
    <w:p>
      <w:pPr>
        <w:spacing w:line="295" w:lineRule="auto"/>
      </w:pPr>
    </w:p>
    <w:p>
      <w:pPr>
        <w:spacing w:before="42" w:line="219" w:lineRule="auto"/>
        <w:ind w:left="270"/>
        <w:rPr>
          <w:rFonts w:ascii="宋体" w:eastAsia="宋体" w:hAnsi="宋体" w:cs="宋体"/>
          <w:sz w:val="13"/>
          <w:szCs w:val="13"/>
        </w:rPr>
      </w:pPr>
      <w:r>
        <w:rPr>
          <w:rFonts w:ascii="宋体" w:eastAsia="宋体" w:hAnsi="宋体" w:cs="宋体"/>
          <w:spacing w:val="19"/>
          <w:sz w:val="13"/>
          <w:szCs w:val="13"/>
        </w:rPr>
        <w:t>中国航空学会(英文简称</w:t>
      </w:r>
      <w:r>
        <w:rPr>
          <w:rFonts w:ascii="宋体" w:eastAsia="宋体" w:hAnsi="宋体" w:cs="宋体"/>
          <w:sz w:val="13"/>
          <w:szCs w:val="13"/>
        </w:rPr>
        <w:t>CSAA</w:t>
      </w:r>
      <w:r>
        <w:rPr>
          <w:rFonts w:ascii="宋体" w:eastAsia="宋体" w:hAnsi="宋体" w:cs="宋体"/>
          <w:spacing w:val="19"/>
          <w:sz w:val="13"/>
          <w:szCs w:val="13"/>
        </w:rPr>
        <w:t>)   是具备开展国内、国际标准化活动资</w:t>
      </w:r>
      <w:r>
        <w:rPr>
          <w:rFonts w:ascii="宋体" w:eastAsia="宋体" w:hAnsi="宋体" w:cs="宋体"/>
          <w:spacing w:val="18"/>
          <w:sz w:val="13"/>
          <w:szCs w:val="13"/>
        </w:rPr>
        <w:t>质的全国性社会团体。</w:t>
      </w:r>
    </w:p>
    <w:p>
      <w:pPr>
        <w:spacing w:before="76" w:line="230" w:lineRule="exact"/>
        <w:ind w:left="9"/>
        <w:rPr>
          <w:rFonts w:ascii="宋体" w:eastAsia="宋体" w:hAnsi="宋体" w:cs="宋体"/>
          <w:sz w:val="13"/>
          <w:szCs w:val="13"/>
        </w:rPr>
      </w:pPr>
      <w:r>
        <w:rPr>
          <w:rFonts w:ascii="宋体" w:eastAsia="宋体" w:hAnsi="宋体" w:cs="宋体"/>
          <w:spacing w:val="18"/>
          <w:position w:val="7"/>
          <w:sz w:val="13"/>
          <w:szCs w:val="13"/>
        </w:rPr>
        <w:t>制定中国航空学会团体标准，以满足企业、市场需求和社会发展需要，推动航空技术创新和航空应</w:t>
      </w:r>
    </w:p>
    <w:p>
      <w:pPr>
        <w:spacing w:line="218" w:lineRule="auto"/>
        <w:ind w:left="9"/>
        <w:rPr>
          <w:rFonts w:ascii="宋体" w:eastAsia="宋体" w:hAnsi="宋体" w:cs="宋体"/>
          <w:sz w:val="13"/>
          <w:szCs w:val="13"/>
        </w:rPr>
      </w:pPr>
      <w:r>
        <w:rPr>
          <w:rFonts w:ascii="宋体" w:eastAsia="宋体" w:hAnsi="宋体" w:cs="宋体"/>
          <w:spacing w:val="17"/>
          <w:sz w:val="13"/>
          <w:szCs w:val="13"/>
        </w:rPr>
        <w:t>用新模式，是中国航空学会标准化工作内容之一</w:t>
      </w:r>
      <w:r>
        <w:rPr>
          <w:rFonts w:ascii="宋体" w:eastAsia="宋体" w:hAnsi="宋体" w:cs="宋体"/>
          <w:spacing w:val="-27"/>
          <w:sz w:val="13"/>
          <w:szCs w:val="13"/>
        </w:rPr>
        <w:t xml:space="preserve"> </w:t>
      </w:r>
      <w:r>
        <w:rPr>
          <w:rFonts w:ascii="宋体" w:eastAsia="宋体" w:hAnsi="宋体" w:cs="宋体"/>
          <w:spacing w:val="17"/>
          <w:sz w:val="13"/>
          <w:szCs w:val="13"/>
        </w:rPr>
        <w:t>。中国境内的团体和个人，均可提出制、修订中国</w:t>
      </w:r>
    </w:p>
    <w:p>
      <w:pPr>
        <w:spacing w:before="75" w:line="219" w:lineRule="auto"/>
        <w:ind w:left="9"/>
        <w:rPr>
          <w:rFonts w:ascii="宋体" w:eastAsia="宋体" w:hAnsi="宋体" w:cs="宋体"/>
          <w:sz w:val="13"/>
          <w:szCs w:val="13"/>
        </w:rPr>
      </w:pPr>
      <w:r>
        <w:rPr>
          <w:rFonts w:ascii="宋体" w:eastAsia="宋体" w:hAnsi="宋体" w:cs="宋体"/>
          <w:spacing w:val="16"/>
          <w:sz w:val="13"/>
          <w:szCs w:val="13"/>
        </w:rPr>
        <w:t>航空学会团体标准的建议并参与有关工作。</w:t>
      </w:r>
    </w:p>
    <w:p>
      <w:pPr>
        <w:spacing w:before="66" w:line="219" w:lineRule="auto"/>
        <w:ind w:left="270"/>
        <w:rPr>
          <w:rFonts w:ascii="宋体" w:eastAsia="宋体" w:hAnsi="宋体" w:cs="宋体"/>
          <w:sz w:val="13"/>
          <w:szCs w:val="13"/>
        </w:rPr>
      </w:pPr>
      <w:r>
        <w:rPr>
          <w:rFonts w:ascii="宋体" w:eastAsia="宋体" w:hAnsi="宋体" w:cs="宋体"/>
          <w:spacing w:val="18"/>
          <w:sz w:val="13"/>
          <w:szCs w:val="13"/>
        </w:rPr>
        <w:t>中国航空学会团体标准按《中国航空学会团</w:t>
      </w:r>
      <w:r>
        <w:rPr>
          <w:rFonts w:ascii="宋体" w:eastAsia="宋体" w:hAnsi="宋体" w:cs="宋体"/>
          <w:spacing w:val="17"/>
          <w:sz w:val="13"/>
          <w:szCs w:val="13"/>
        </w:rPr>
        <w:t>体标准管理办法》进行制定和管理。</w:t>
      </w:r>
    </w:p>
    <w:p>
      <w:pPr>
        <w:spacing w:before="56" w:line="230" w:lineRule="exact"/>
        <w:ind w:left="270"/>
        <w:rPr>
          <w:rFonts w:ascii="宋体" w:eastAsia="宋体" w:hAnsi="宋体" w:cs="宋体"/>
          <w:sz w:val="13"/>
          <w:szCs w:val="13"/>
        </w:rPr>
      </w:pPr>
      <w:r>
        <w:rPr>
          <w:rFonts w:ascii="宋体" w:eastAsia="宋体" w:hAnsi="宋体" w:cs="宋体"/>
          <w:spacing w:val="18"/>
          <w:position w:val="7"/>
          <w:sz w:val="13"/>
          <w:szCs w:val="13"/>
        </w:rPr>
        <w:t>中国航空学会团体标准草案经向社会公开征求意见、专家评审、公开公示等流程</w:t>
      </w:r>
      <w:r>
        <w:rPr>
          <w:rFonts w:ascii="宋体" w:eastAsia="宋体" w:hAnsi="宋体" w:cs="宋体"/>
          <w:spacing w:val="17"/>
          <w:position w:val="7"/>
          <w:sz w:val="13"/>
          <w:szCs w:val="13"/>
        </w:rPr>
        <w:t>，方可由中国</w:t>
      </w:r>
    </w:p>
    <w:p>
      <w:pPr>
        <w:spacing w:before="1" w:line="218" w:lineRule="auto"/>
        <w:ind w:left="9"/>
        <w:rPr>
          <w:rFonts w:ascii="宋体" w:eastAsia="宋体" w:hAnsi="宋体" w:cs="宋体"/>
          <w:sz w:val="13"/>
          <w:szCs w:val="13"/>
        </w:rPr>
      </w:pPr>
      <w:r>
        <w:rPr>
          <w:rFonts w:ascii="宋体" w:eastAsia="宋体" w:hAnsi="宋体" w:cs="宋体"/>
          <w:spacing w:val="20"/>
          <w:sz w:val="13"/>
          <w:szCs w:val="13"/>
        </w:rPr>
        <w:t>航空学会予以发布</w:t>
      </w:r>
    </w:p>
    <w:p>
      <w:pPr>
        <w:spacing w:before="26" w:line="270" w:lineRule="exact"/>
        <w:ind w:left="270"/>
        <w:rPr>
          <w:rFonts w:ascii="宋体" w:eastAsia="宋体" w:hAnsi="宋体" w:cs="宋体"/>
          <w:sz w:val="13"/>
          <w:szCs w:val="13"/>
        </w:rPr>
      </w:pPr>
      <w:r>
        <w:rPr>
          <w:rFonts w:ascii="宋体" w:eastAsia="宋体" w:hAnsi="宋体" w:cs="宋体"/>
          <w:spacing w:val="18"/>
          <w:position w:val="10"/>
          <w:sz w:val="13"/>
          <w:szCs w:val="13"/>
        </w:rPr>
        <w:t>在本标准实施过程中，如发现需要修改或补充之处，请将意见和有关资料寄给中国航空学会团</w:t>
      </w:r>
    </w:p>
    <w:p>
      <w:pPr>
        <w:spacing w:line="218" w:lineRule="auto"/>
        <w:ind w:left="9"/>
        <w:rPr>
          <w:rFonts w:ascii="宋体" w:eastAsia="宋体" w:hAnsi="宋体" w:cs="宋体"/>
          <w:sz w:val="13"/>
          <w:szCs w:val="13"/>
        </w:rPr>
      </w:pPr>
      <w:r>
        <w:rPr>
          <w:rFonts w:ascii="宋体" w:eastAsia="宋体" w:hAnsi="宋体" w:cs="宋体"/>
          <w:spacing w:val="14"/>
          <w:sz w:val="13"/>
          <w:szCs w:val="13"/>
        </w:rPr>
        <w:t>体标准推进工作委员会。</w:t>
      </w: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334" w:lineRule="auto"/>
      </w:pPr>
    </w:p>
    <w:p>
      <w:pPr>
        <w:spacing w:before="36" w:line="184" w:lineRule="auto"/>
        <w:ind w:left="6360"/>
        <w:rPr>
          <w:rFonts w:ascii="宋体" w:eastAsia="宋体" w:hAnsi="宋体" w:cs="宋体"/>
          <w:sz w:val="11"/>
          <w:szCs w:val="11"/>
        </w:rPr>
      </w:pPr>
      <w:r>
        <w:rPr>
          <w:rFonts w:ascii="宋体" w:eastAsia="宋体" w:hAnsi="宋体" w:cs="宋体"/>
          <w:sz w:val="11"/>
          <w:szCs w:val="11"/>
        </w:rPr>
        <w:t>1</w:t>
      </w:r>
    </w:p>
    <w:p>
      <w:pPr>
        <w:spacing w:line="184" w:lineRule="auto"/>
        <w:rPr>
          <w:rFonts w:ascii="宋体" w:eastAsia="宋体" w:hAnsi="宋体" w:cs="宋体"/>
          <w:sz w:val="11"/>
          <w:szCs w:val="11"/>
        </w:rPr>
      </w:pPr>
      <w:r>
        <w:rPr>
          <w:rFonts w:ascii="宋体" w:eastAsia="宋体" w:hAnsi="宋体" w:cs="宋体"/>
          <w:sz w:val="11"/>
          <w:szCs w:val="11"/>
        </w:rPr>
        <w:br/>
      </w:r>
      <w:r>
        <w:rPr>
          <w:rFonts w:ascii="宋体" w:eastAsia="宋体" w:hAnsi="宋体" w:cs="宋体"/>
          <w:sz w:val="11"/>
          <w:szCs w:val="11"/>
        </w:rP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1" w:history="1">
        <w:r>
          <w:rPr>
            <w:rFonts w:ascii="SimSun" w:eastAsia="SimSun" w:hAnsi="SimSun" w:cs="SimSun"/>
            <w:b/>
            <w:bCs/>
            <w:snapToGrid/>
            <w:color w:val="0000EE"/>
            <w:kern w:val="0"/>
            <w:sz w:val="30"/>
            <w:szCs w:val="30"/>
            <w:u w:val="single" w:color="0000EE"/>
          </w:rPr>
          <w:t>https://d.book118.com/497124164163006033</w:t>
        </w:r>
      </w:hyperlink>
    </w:p>
    <w:p>
      <w:pPr>
        <w:spacing w:line="184" w:lineRule="auto"/>
        <w:rPr>
          <w:rFonts w:ascii="宋体" w:eastAsia="宋体" w:hAnsi="宋体" w:cs="宋体"/>
          <w:sz w:val="11"/>
          <w:szCs w:val="11"/>
        </w:rPr>
      </w:pPr>
    </w:p>
    <w:sectPr>
      <w:headerReference w:type="default" r:id="rId12"/>
      <w:footerReference w:type="default" r:id="rId13"/>
      <w:pgSz w:w="11900" w:h="16840"/>
      <w:pgMar w:top="400" w:right="1785" w:bottom="400" w:left="989" w:header="0" w:footer="0" w:gutter="0"/>
      <w:pgNumType w:start="8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61826F3"/>
  </w:rsids>
  <w:docVars>
    <w:docVar w:name="commondata" w:val="eyJoZGlkIjoiNmMyZDQyZjkyN2JkMGVmYjA4YTRmY2I3ODdlN2I3ZDI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semiHidden/>
    <w:qFormat/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Pr>
      <w:rFonts w:ascii="宋体" w:eastAsia="宋体" w:hAnsi="宋体" w:cs="宋体"/>
      <w:sz w:val="13"/>
      <w:szCs w:val="13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hyperlink" Target="https://d.book118.com/497124164163006033" TargetMode="External" /><Relationship Id="rId12" Type="http://schemas.openxmlformats.org/officeDocument/2006/relationships/header" Target="header2.xm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丹丹</cp:lastModifiedBy>
  <cp:revision>0</cp:revision>
  <dcterms:created xsi:type="dcterms:W3CDTF">2024-01-24T14:58:00Z</dcterms:created>
  <dcterms:modified xsi:type="dcterms:W3CDTF">2024-01-24T08:43:55Z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2024-01-24T14:58:06Z</vt:filetime>
  </property>
  <property fmtid="{D5CDD505-2E9C-101B-9397-08002B2CF9AE}" pid="3" name="CRO">
    <vt:lpwstr>wqlLaW5nc29mdCBQREYgdG8gV1BTIDkw</vt:lpwstr>
  </property>
  <property fmtid="{D5CDD505-2E9C-101B-9397-08002B2CF9AE}" pid="4" name="ICV">
    <vt:lpwstr>2B73C158A925489DB90CAC46B2DB012B_12</vt:lpwstr>
  </property>
  <property fmtid="{D5CDD505-2E9C-101B-9397-08002B2CF9AE}" pid="5" name="KSOProductBuildVer">
    <vt:lpwstr>2052-12.1.0.16250</vt:lpwstr>
  </property>
  <property fmtid="{D5CDD505-2E9C-101B-9397-08002B2CF9AE}" pid="6" name="UsrData">
    <vt:lpwstr>65b0b4f60eb9d8001f5b7f6dwl</vt:lpwstr>
  </property>
</Properties>
</file>