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67555">
        <w:rPr>
          <w:rFonts w:ascii="微软雅黑" w:eastAsia="微软雅黑" w:hAnsi="微软雅黑"/>
          <w:sz w:val="28"/>
          <w:szCs w:val="28"/>
        </w:rPr>
        <w:t>最新化学键教学设计新教材(16篇)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化学键教学设计新教材篇1</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一、说明</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江苏省学业水平测试的指导思想为：“以化学必修科目所要求的基础知识、基本技能、基本思想和基本方法为主要考查内容，注重考查学生基本的化学科学素养，同时兼顾考查学生分析、解决问题的能力和初步的科学探究能力，引导学生关注与化学有关的科学技术、社会经济和生态环境的协调发展，促进学生在知识与技能、过程与方法、情感态度与价值观等方面的全面发展。”这就要求我们的教学要紧紧围绕该指导思想展开。我们参加学业水平测试的学生绝大部分将不再专门学习化学这门学科，所以我们在做好学业水平测试的要求外，还要培养学生的化学学科观念和自然科学的一些基本思想，为学生的未来生活服务。本节课是我上的一节市级公开课，虽然为学业水平测试的复习，但参加交流的老师都积极性很高，对我们的课堂教学、学业水平测试复习的定位及化学学科的教学提出了很多宝贵见解，我将其稍作整理，与大家交流。</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367555">
        <w:rPr>
          <w:rFonts w:ascii="微软雅黑" w:eastAsia="微软雅黑" w:hAnsi="微软雅黑"/>
          <w:sz w:val="24"/>
          <w:szCs w:val="24"/>
        </w:rPr>
        <w:t xml:space="preserve"> 化学键的学习有利于学生对物质微观结构理论有一个较为系统完整的认识，但本部分内容抽象、理论性强，研究对象为微观粒子，直观性不强。如果用传统的教学方法，大部分学生理解困难，少部分学生基本听不懂，就更谈不上知识的建构了。如果把基本理论的复习建立在具体事例的基础上，学生的学习就有了立足点，学生会结合事例反复揣摩，逐步加深对概念的理解。化学三重表征包括三重外部表征和三重内部表征，其是指宏观知识、微观知识及符号知识外在的呈现形式和在头脑中的加工与呈现形式。学生对化学键有关概念的理解，难点往往就在于缺乏三重表征的理解，这就意味着在中学化学教学中要促进学生对三重表征的理解，实现概念的升华。</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二、教学设计</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1.目标要求</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1）学业水平测试要求：认识化学键的含义（B）；知道离子键和共价键的形成（A）；知道离子化合物、共价化合物的概念（A）；能识别典型的离子化合物和共价化合物（A）；能写出结构简单的常见离子、原子、单质、化合物的电子式（B）；能从化学键变化的角度认识化学反应的实质（B）。</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2）其他目标：通过对离子键和共价键的再认识，培养学生对微观粒子运动的想象力；通过表格归纳，在学生理清有关概念的联系的.同时培养学生归纳整理知识的能力及事件普遍联系的哲学观点；培养学生自主复习的能力。</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2.教学重点</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化学键的相关概念及它们之间的联系</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3.设计思路</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选择事例→围绕事例复习概念→建构概念间关联→实战训练→小结、反思</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4.教学过程</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（1）情境引入：电解水（含少量氢氧化钠）（学生先独立思考，再讨论汇报）</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①氢原子与氧原子靠何种相互作用稳定而牢固的结合在一起成为水分子？</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②水在常温下就可以挥发成水蒸气，此时克服的是何种相互作用？</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③水分子变成氢分子和氧分子的过程中除了原子的重新组合，化学键发生了怎样的变化？</w:t>
        <w:br/>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w:t>
      </w:r>
      <w:r w:rsidR="00367555">
        <w:rPr>
          <w:rFonts w:ascii="微软雅黑" w:eastAsia="微软雅黑" w:hAnsi="微软雅黑"/>
          <w:sz w:val="24"/>
          <w:szCs w:val="24"/>
        </w:rPr>
        <w:t xml:space="preserve"> ④将最后的残余溶液蒸发结晶，该过程有化学键的变化吗？氢氧化钠晶体中有哪些相互作用？</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https://d.book118.com/497140023000006033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67555"/>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9714002300000603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4295</Words>
  <Characters>24485</Characters>
  <Application>Microsoft Office Word</Application>
  <DocSecurity>0</DocSecurity>
  <Lines>204</Lines>
  <Paragraphs>57</Paragraphs>
  <ScaleCrop>false</ScaleCrop>
  <Company/>
  <LinksUpToDate>false</LinksUpToDate>
  <CharactersWithSpaces>28723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