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3"/>
        <w:spacing w:line="450" w:lineRule="exact"/>
        <w:ind w:left="558"/>
        <w:jc w:val="center"/>
        <w:rPr>
          <w:rFonts w:ascii="微软雅黑" w:eastAsia="微软雅黑"/>
        </w:rPr>
      </w:pPr>
      <w:r>
        <w:rPr>
          <w:rFonts w:ascii="微软雅黑" w:eastAsia="微软雅黑"/>
          <w:spacing w:val="-1"/>
        </w:rPr>
        <w:t>关于六合中等专业学校加工中心等设备公开招标采购公告</w:t>
      </w:r>
    </w:p>
    <w:p>
      <w:pPr>
        <w:pStyle w:val="BodyText"/>
        <w:spacing w:line="242" w:lineRule="exact"/>
        <w:ind w:left="674"/>
      </w:pPr>
      <w:r>
        <w:rPr>
          <w:spacing w:val="-2"/>
        </w:rPr>
        <w:t>南京市六合区政府采购中心（以下简称“采购中心”）受南京六合中等专业学校（以下简称“采购人</w:t>
      </w:r>
      <w:r>
        <w:rPr>
          <w:spacing w:val="-5"/>
        </w:rPr>
        <w:t>”）</w:t>
      </w:r>
    </w:p>
    <w:p>
      <w:pPr>
        <w:pStyle w:val="BodyText"/>
        <w:spacing w:before="11"/>
        <w:ind w:left="254"/>
      </w:pPr>
      <w:r>
        <w:rPr>
          <w:spacing w:val="-1"/>
        </w:rPr>
        <w:t>的委托，对加工中心等设备项目进行国内公开招标，兹邀请符合资格条件供货商投标。</w:t>
      </w:r>
    </w:p>
    <w:p>
      <w:pPr>
        <w:pStyle w:val="ListParagraph"/>
        <w:numPr>
          <w:ilvl w:val="0"/>
          <w:numId w:val="45"/>
        </w:numPr>
        <w:tabs>
          <w:tab w:val="left" w:pos="885"/>
        </w:tabs>
        <w:spacing w:before="11" w:after="0" w:line="240" w:lineRule="auto"/>
        <w:ind w:left="885" w:right="0" w:hanging="211"/>
        <w:jc w:val="left"/>
        <w:rPr>
          <w:sz w:val="19"/>
        </w:rPr>
      </w:pPr>
      <w:r>
        <w:rPr>
          <w:sz w:val="21"/>
        </w:rPr>
        <w:t>项目编号：LHZC-</w:t>
      </w:r>
      <w:r>
        <w:rPr>
          <w:spacing w:val="-2"/>
          <w:sz w:val="21"/>
        </w:rPr>
        <w:t>2014G22</w:t>
      </w:r>
    </w:p>
    <w:p>
      <w:pPr>
        <w:pStyle w:val="ListParagraph"/>
        <w:numPr>
          <w:ilvl w:val="0"/>
          <w:numId w:val="45"/>
        </w:numPr>
        <w:tabs>
          <w:tab w:val="left" w:pos="885"/>
        </w:tabs>
        <w:spacing w:before="11" w:after="0" w:line="249" w:lineRule="auto"/>
        <w:ind w:left="1934" w:right="4345" w:hanging="1260"/>
        <w:jc w:val="left"/>
        <w:rPr>
          <w:sz w:val="19"/>
        </w:rPr>
      </w:pPr>
      <w:r>
        <w:rPr>
          <w:spacing w:val="-2"/>
          <w:sz w:val="21"/>
        </w:rPr>
        <w:t>项目名称：包一：加工中心（四轴）、加工中心（五轴</w:t>
      </w:r>
      <w:r>
        <w:rPr>
          <w:spacing w:val="-2"/>
          <w:sz w:val="21"/>
        </w:rPr>
        <w:t>）</w:t>
      </w:r>
      <w:r>
        <w:rPr>
          <w:spacing w:val="-2"/>
          <w:sz w:val="21"/>
        </w:rPr>
        <w:t>包二：硬件检测维修综合实训系统综合平台</w:t>
      </w:r>
    </w:p>
    <w:p>
      <w:pPr>
        <w:pStyle w:val="ListParagraph"/>
        <w:numPr>
          <w:ilvl w:val="0"/>
          <w:numId w:val="45"/>
        </w:numPr>
        <w:tabs>
          <w:tab w:val="left" w:pos="885"/>
        </w:tabs>
        <w:spacing w:before="0" w:after="0" w:line="240" w:lineRule="auto"/>
        <w:ind w:left="885" w:right="0" w:hanging="211"/>
        <w:jc w:val="left"/>
        <w:rPr>
          <w:sz w:val="19"/>
        </w:rPr>
      </w:pPr>
      <w:r>
        <w:rPr>
          <w:spacing w:val="-1"/>
          <w:sz w:val="21"/>
        </w:rPr>
        <w:t>供应商应具备下列资格条件：</w:t>
      </w:r>
    </w:p>
    <w:p>
      <w:pPr>
        <w:pStyle w:val="ListParagraph"/>
        <w:numPr>
          <w:ilvl w:val="1"/>
          <w:numId w:val="45"/>
        </w:numPr>
        <w:tabs>
          <w:tab w:val="left" w:pos="1094"/>
        </w:tabs>
        <w:spacing w:before="11" w:after="0" w:line="240" w:lineRule="auto"/>
        <w:ind w:left="1094" w:right="0" w:hanging="420"/>
        <w:jc w:val="left"/>
        <w:rPr>
          <w:sz w:val="21"/>
        </w:rPr>
      </w:pPr>
      <w:r>
        <w:rPr>
          <w:spacing w:val="-1"/>
          <w:sz w:val="21"/>
        </w:rPr>
        <w:t>《中华人民共和国政府采购法》规定的条件:</w:t>
      </w:r>
    </w:p>
    <w:p>
      <w:pPr>
        <w:pStyle w:val="ListParagraph"/>
        <w:numPr>
          <w:ilvl w:val="0"/>
          <w:numId w:val="44"/>
        </w:numPr>
        <w:tabs>
          <w:tab w:val="left" w:pos="1200"/>
        </w:tabs>
        <w:spacing w:before="11" w:after="0" w:line="240" w:lineRule="auto"/>
        <w:ind w:left="1200" w:right="0" w:hanging="526"/>
        <w:jc w:val="left"/>
        <w:rPr>
          <w:sz w:val="21"/>
        </w:rPr>
      </w:pPr>
      <w:r>
        <w:rPr>
          <w:spacing w:val="-1"/>
          <w:sz w:val="21"/>
        </w:rPr>
        <w:t>具有独立承担民事责任的能力；</w:t>
      </w:r>
    </w:p>
    <w:p>
      <w:pPr>
        <w:pStyle w:val="ListParagraph"/>
        <w:numPr>
          <w:ilvl w:val="0"/>
          <w:numId w:val="44"/>
        </w:numPr>
        <w:tabs>
          <w:tab w:val="left" w:pos="1200"/>
        </w:tabs>
        <w:spacing w:before="11" w:after="0" w:line="240" w:lineRule="auto"/>
        <w:ind w:left="1200" w:right="0" w:hanging="526"/>
        <w:jc w:val="left"/>
        <w:rPr>
          <w:sz w:val="21"/>
        </w:rPr>
      </w:pPr>
      <w:r>
        <w:rPr>
          <w:spacing w:val="-1"/>
          <w:sz w:val="21"/>
        </w:rPr>
        <w:t>具有良好的商业信誉和健全的财务会计制度；</w:t>
      </w:r>
    </w:p>
    <w:p>
      <w:pPr>
        <w:pStyle w:val="ListParagraph"/>
        <w:numPr>
          <w:ilvl w:val="0"/>
          <w:numId w:val="44"/>
        </w:numPr>
        <w:tabs>
          <w:tab w:val="left" w:pos="1200"/>
        </w:tabs>
        <w:spacing w:before="11" w:after="0" w:line="240" w:lineRule="auto"/>
        <w:ind w:left="1200" w:right="0" w:hanging="526"/>
        <w:jc w:val="left"/>
        <w:rPr>
          <w:sz w:val="21"/>
        </w:rPr>
      </w:pPr>
      <w:r>
        <w:rPr>
          <w:spacing w:val="-1"/>
          <w:sz w:val="21"/>
        </w:rPr>
        <w:t>具有履行合同所必需的设备和专业技术能力；</w:t>
      </w:r>
    </w:p>
    <w:p>
      <w:pPr>
        <w:pStyle w:val="ListParagraph"/>
        <w:numPr>
          <w:ilvl w:val="0"/>
          <w:numId w:val="44"/>
        </w:numPr>
        <w:tabs>
          <w:tab w:val="left" w:pos="1200"/>
        </w:tabs>
        <w:spacing w:before="11" w:after="0" w:line="240" w:lineRule="auto"/>
        <w:ind w:left="1200" w:right="0" w:hanging="526"/>
        <w:jc w:val="left"/>
        <w:rPr>
          <w:sz w:val="21"/>
        </w:rPr>
      </w:pPr>
      <w:r>
        <w:rPr>
          <w:spacing w:val="-1"/>
          <w:sz w:val="21"/>
        </w:rPr>
        <w:t>参加政府采购活动前三年内，在经营活动中没有重大违法记录；</w:t>
      </w:r>
    </w:p>
    <w:p>
      <w:pPr>
        <w:pStyle w:val="ListParagraph"/>
        <w:numPr>
          <w:ilvl w:val="0"/>
          <w:numId w:val="44"/>
        </w:numPr>
        <w:tabs>
          <w:tab w:val="left" w:pos="1200"/>
        </w:tabs>
        <w:spacing w:before="10" w:after="0" w:line="236" w:lineRule="exact"/>
        <w:ind w:left="1200" w:right="0" w:hanging="526"/>
        <w:jc w:val="left"/>
        <w:rPr>
          <w:sz w:val="21"/>
        </w:rPr>
      </w:pPr>
      <w:r>
        <w:rPr>
          <w:spacing w:val="-1"/>
          <w:sz w:val="21"/>
        </w:rPr>
        <w:t>法律、行政法规规定的其他条件。</w:t>
      </w:r>
    </w:p>
    <w:p>
      <w:pPr>
        <w:pStyle w:val="ListParagraph"/>
        <w:numPr>
          <w:ilvl w:val="1"/>
          <w:numId w:val="45"/>
        </w:numPr>
        <w:tabs>
          <w:tab w:val="left" w:pos="1094"/>
        </w:tabs>
        <w:spacing w:before="0" w:after="0" w:line="335" w:lineRule="exact"/>
        <w:ind w:left="1094" w:right="0" w:hanging="420"/>
        <w:jc w:val="left"/>
        <w:rPr>
          <w:sz w:val="21"/>
        </w:rPr>
      </w:pPr>
      <w:r>
        <w:rPr>
          <w:sz w:val="21"/>
        </w:rPr>
        <w:t>采购人根据采购项目的特殊要求规定的特定条件</w:t>
      </w:r>
      <w:r>
        <w:rPr>
          <w:rFonts w:ascii="微软雅黑" w:eastAsia="微软雅黑"/>
          <w:b/>
          <w:sz w:val="21"/>
        </w:rPr>
        <w:t>，</w:t>
      </w:r>
      <w:r>
        <w:rPr>
          <w:spacing w:val="-1"/>
          <w:sz w:val="21"/>
        </w:rPr>
        <w:t>并提供相关证明文件：无</w:t>
      </w:r>
    </w:p>
    <w:p>
      <w:pPr>
        <w:pStyle w:val="ListParagraph"/>
        <w:numPr>
          <w:ilvl w:val="0"/>
          <w:numId w:val="45"/>
        </w:numPr>
        <w:tabs>
          <w:tab w:val="left" w:pos="927"/>
        </w:tabs>
        <w:spacing w:before="0" w:after="0" w:line="251" w:lineRule="exact"/>
        <w:ind w:left="927" w:right="0" w:hanging="211"/>
        <w:jc w:val="left"/>
        <w:rPr>
          <w:sz w:val="19"/>
        </w:rPr>
      </w:pPr>
      <w:r>
        <w:rPr>
          <w:spacing w:val="-1"/>
          <w:sz w:val="21"/>
        </w:rPr>
        <w:t>是否接受进口产品：不接受。</w:t>
      </w:r>
    </w:p>
    <w:p>
      <w:pPr>
        <w:pStyle w:val="ListParagraph"/>
        <w:numPr>
          <w:ilvl w:val="0"/>
          <w:numId w:val="45"/>
        </w:numPr>
        <w:tabs>
          <w:tab w:val="left" w:pos="927"/>
        </w:tabs>
        <w:spacing w:before="11" w:after="0" w:line="249" w:lineRule="auto"/>
        <w:ind w:left="254" w:right="252" w:firstLine="462"/>
        <w:jc w:val="both"/>
        <w:rPr>
          <w:sz w:val="19"/>
        </w:rPr>
      </w:pPr>
      <w:r>
        <w:rPr>
          <w:spacing w:val="-2"/>
          <w:sz w:val="21"/>
        </w:rPr>
        <w:t>投标保证金数额及交纳办法：投标人应从本单位基本帐户支付投标保证金，保证金包一：人民币叁万元整；包二：人民币伍仟元整。采取转账支票、汇票、本票等方式交纳（拒绝现金和现金支票）。未按要求</w:t>
      </w:r>
      <w:r>
        <w:rPr>
          <w:spacing w:val="-2"/>
          <w:sz w:val="21"/>
        </w:rPr>
        <w:t>交纳投标保证金的，投标文件将被拒绝接收。（保证金不需封装在投标文件中，单独随投标文件一并送达）</w:t>
      </w:r>
    </w:p>
    <w:p>
      <w:pPr>
        <w:pStyle w:val="ListParagraph"/>
        <w:numPr>
          <w:ilvl w:val="0"/>
          <w:numId w:val="45"/>
        </w:numPr>
        <w:tabs>
          <w:tab w:val="left" w:pos="885"/>
        </w:tabs>
        <w:spacing w:before="1" w:after="0" w:line="240" w:lineRule="auto"/>
        <w:ind w:left="885" w:right="0" w:hanging="211"/>
        <w:jc w:val="left"/>
        <w:rPr>
          <w:sz w:val="19"/>
        </w:rPr>
      </w:pPr>
      <w:r>
        <w:rPr>
          <w:spacing w:val="-1"/>
          <w:sz w:val="21"/>
        </w:rPr>
        <w:t>招标文件获取办法：在南京市政府采购中心{区县采购}网站免费下载。</w:t>
      </w:r>
    </w:p>
    <w:p>
      <w:pPr>
        <w:pStyle w:val="ListParagraph"/>
        <w:numPr>
          <w:ilvl w:val="0"/>
          <w:numId w:val="45"/>
        </w:numPr>
        <w:tabs>
          <w:tab w:val="left" w:pos="885"/>
        </w:tabs>
        <w:spacing w:before="11" w:after="0" w:line="241" w:lineRule="exact"/>
        <w:ind w:left="885" w:right="0" w:hanging="211"/>
        <w:jc w:val="left"/>
        <w:rPr>
          <w:sz w:val="19"/>
        </w:rPr>
      </w:pPr>
      <w:r>
        <w:rPr>
          <w:sz w:val="21"/>
        </w:rPr>
        <w:t>投标文件份数：一式柒份（壹份正本、陆份副本），</w:t>
      </w:r>
      <w:r>
        <w:rPr>
          <w:spacing w:val="-1"/>
          <w:sz w:val="21"/>
        </w:rPr>
        <w:t>每份投标文件须清楚标明“正本”或“副本”</w:t>
      </w:r>
    </w:p>
    <w:p>
      <w:pPr>
        <w:pStyle w:val="ListParagraph"/>
        <w:numPr>
          <w:ilvl w:val="0"/>
          <w:numId w:val="45"/>
        </w:numPr>
        <w:tabs>
          <w:tab w:val="left" w:pos="885"/>
          <w:tab w:val="left" w:pos="3408"/>
          <w:tab w:val="left" w:pos="4198"/>
          <w:tab w:val="left" w:pos="4619"/>
        </w:tabs>
        <w:spacing w:before="0" w:after="0" w:line="305" w:lineRule="exact"/>
        <w:ind w:left="885" w:right="0" w:hanging="211"/>
        <w:jc w:val="left"/>
        <w:rPr>
          <w:color w:val="FF0000"/>
          <w:sz w:val="19"/>
        </w:rPr>
      </w:pPr>
      <w:r>
        <w:rPr>
          <w:color w:val="FF0000"/>
          <w:spacing w:val="-10"/>
          <w:sz w:val="21"/>
        </w:rPr>
        <w:t>投</w:t>
      </w:r>
      <w:r>
        <w:rPr>
          <w:color w:val="FF0000"/>
          <w:spacing w:val="-10"/>
          <w:sz w:val="21"/>
        </w:rPr>
        <w:t>标</w:t>
      </w:r>
      <w:r>
        <w:rPr>
          <w:color w:val="FF0000"/>
          <w:spacing w:val="-10"/>
          <w:sz w:val="21"/>
        </w:rPr>
        <w:t>开</w:t>
      </w:r>
      <w:r>
        <w:rPr>
          <w:color w:val="FF0000"/>
          <w:spacing w:val="-10"/>
          <w:sz w:val="21"/>
        </w:rPr>
        <w:t>始</w:t>
      </w:r>
      <w:r>
        <w:rPr>
          <w:color w:val="FF0000"/>
          <w:spacing w:val="-10"/>
          <w:sz w:val="21"/>
        </w:rPr>
        <w:t>时</w:t>
      </w:r>
      <w:r>
        <w:rPr>
          <w:color w:val="FF0000"/>
          <w:spacing w:val="-10"/>
          <w:sz w:val="21"/>
        </w:rPr>
        <w:t>间</w:t>
      </w:r>
      <w:r>
        <w:rPr>
          <w:color w:val="FF0000"/>
          <w:spacing w:val="-10"/>
          <w:sz w:val="21"/>
        </w:rPr>
        <w:t>：</w:t>
      </w:r>
      <w:r>
        <w:rPr>
          <w:rFonts w:ascii="微软雅黑" w:eastAsia="微软雅黑"/>
          <w:b/>
          <w:color w:val="FF0000"/>
          <w:spacing w:val="-10"/>
          <w:sz w:val="21"/>
        </w:rPr>
        <w:t>2014</w:t>
      </w:r>
      <w:r>
        <w:rPr>
          <w:rFonts w:ascii="微软雅黑" w:eastAsia="微软雅黑"/>
          <w:b/>
          <w:color w:val="FF0000"/>
          <w:sz w:val="21"/>
        </w:rPr>
        <w:t xml:space="preserve"> </w:t>
      </w:r>
      <w:r>
        <w:rPr>
          <w:rFonts w:ascii="微软雅黑" w:eastAsia="微软雅黑"/>
          <w:b/>
          <w:color w:val="FF0000"/>
          <w:spacing w:val="-10"/>
          <w:sz w:val="21"/>
        </w:rPr>
        <w:t>年</w:t>
      </w:r>
      <w:r>
        <w:rPr>
          <w:rFonts w:ascii="微软雅黑" w:eastAsia="微软雅黑"/>
          <w:b/>
          <w:color w:val="FF0000"/>
          <w:spacing w:val="1"/>
          <w:sz w:val="21"/>
        </w:rPr>
        <w:t xml:space="preserve"> </w:t>
      </w:r>
      <w:r>
        <w:rPr>
          <w:rFonts w:ascii="微软雅黑" w:eastAsia="微软雅黑"/>
          <w:b/>
          <w:color w:val="FF0000"/>
          <w:spacing w:val="-10"/>
          <w:sz w:val="21"/>
        </w:rPr>
        <w:t>9</w:t>
      </w:r>
      <w:r>
        <w:rPr>
          <w:rFonts w:ascii="微软雅黑" w:eastAsia="微软雅黑"/>
          <w:b/>
          <w:color w:val="FF0000"/>
          <w:sz w:val="21"/>
        </w:rPr>
        <w:tab/>
        <w:t>月</w:t>
      </w:r>
      <w:r>
        <w:rPr>
          <w:rFonts w:ascii="微软雅黑" w:eastAsia="微软雅黑"/>
          <w:b/>
          <w:color w:val="FF0000"/>
          <w:spacing w:val="-10"/>
          <w:sz w:val="21"/>
        </w:rPr>
        <w:t xml:space="preserve"> </w:t>
      </w:r>
      <w:r>
        <w:rPr>
          <w:rFonts w:ascii="微软雅黑" w:eastAsia="微软雅黑"/>
          <w:b/>
          <w:color w:val="FF0000"/>
          <w:spacing w:val="-5"/>
          <w:sz w:val="21"/>
        </w:rPr>
        <w:t>30</w:t>
      </w:r>
      <w:r>
        <w:rPr>
          <w:rFonts w:ascii="微软雅黑" w:eastAsia="微软雅黑"/>
          <w:b/>
          <w:color w:val="FF0000"/>
          <w:sz w:val="21"/>
        </w:rPr>
        <w:tab/>
      </w:r>
      <w:r>
        <w:rPr>
          <w:rFonts w:ascii="微软雅黑" w:eastAsia="微软雅黑"/>
          <w:b/>
          <w:color w:val="FF0000"/>
          <w:spacing w:val="-10"/>
          <w:sz w:val="21"/>
        </w:rPr>
        <w:t>日</w:t>
      </w:r>
      <w:r>
        <w:rPr>
          <w:rFonts w:ascii="微软雅黑" w:eastAsia="微软雅黑"/>
          <w:b/>
          <w:color w:val="FF0000"/>
          <w:sz w:val="21"/>
        </w:rPr>
        <w:tab/>
        <w:t>下午</w:t>
      </w:r>
      <w:r>
        <w:rPr>
          <w:rFonts w:ascii="微软雅黑" w:eastAsia="微软雅黑"/>
          <w:b/>
          <w:color w:val="FF0000"/>
          <w:spacing w:val="-10"/>
          <w:sz w:val="21"/>
        </w:rPr>
        <w:t xml:space="preserve"> </w:t>
      </w:r>
      <w:r>
        <w:rPr>
          <w:rFonts w:ascii="微软雅黑" w:eastAsia="微软雅黑"/>
          <w:b/>
          <w:color w:val="FF0000"/>
          <w:spacing w:val="-4"/>
          <w:w w:val="76"/>
          <w:sz w:val="21"/>
        </w:rPr>
        <w:t>2</w:t>
      </w:r>
      <w:r>
        <w:rPr>
          <w:rFonts w:ascii="微软雅黑" w:eastAsia="微软雅黑"/>
          <w:b/>
          <w:color w:val="FF0000"/>
          <w:spacing w:val="-4"/>
          <w:w w:val="170"/>
          <w:sz w:val="21"/>
        </w:rPr>
        <w:t>:</w:t>
      </w:r>
      <w:r>
        <w:rPr>
          <w:rFonts w:ascii="微软雅黑" w:eastAsia="微软雅黑"/>
          <w:b/>
          <w:color w:val="FF0000"/>
          <w:spacing w:val="-4"/>
          <w:w w:val="76"/>
          <w:sz w:val="21"/>
        </w:rPr>
        <w:t>30</w:t>
      </w:r>
    </w:p>
    <w:p>
      <w:pPr>
        <w:spacing w:before="0" w:line="314" w:lineRule="exact"/>
        <w:ind w:left="892" w:right="0" w:firstLine="0"/>
        <w:jc w:val="left"/>
        <w:rPr>
          <w:rFonts w:ascii="微软雅黑" w:eastAsia="微软雅黑"/>
          <w:b/>
          <w:sz w:val="21"/>
        </w:rPr>
      </w:pPr>
      <w:r>
        <w:rPr>
          <w:color w:val="FF0000"/>
          <w:sz w:val="21"/>
        </w:rPr>
        <w:t>投标截止时间及开标时间：</w:t>
      </w:r>
      <w:r>
        <w:rPr>
          <w:rFonts w:ascii="微软雅黑" w:eastAsia="微软雅黑"/>
          <w:b/>
          <w:color w:val="FF0000"/>
          <w:sz w:val="21"/>
        </w:rPr>
        <w:t>2014</w:t>
      </w:r>
      <w:r>
        <w:rPr>
          <w:rFonts w:ascii="微软雅黑" w:eastAsia="微软雅黑"/>
          <w:b/>
          <w:color w:val="FF0000"/>
          <w:spacing w:val="-4"/>
          <w:sz w:val="21"/>
        </w:rPr>
        <w:t xml:space="preserve"> 年 </w:t>
      </w:r>
      <w:r>
        <w:rPr>
          <w:rFonts w:ascii="微软雅黑" w:eastAsia="微软雅黑"/>
          <w:b/>
          <w:color w:val="FF0000"/>
          <w:sz w:val="21"/>
        </w:rPr>
        <w:t>9</w:t>
      </w:r>
      <w:r>
        <w:rPr>
          <w:rFonts w:ascii="微软雅黑" w:eastAsia="微软雅黑"/>
          <w:b/>
          <w:color w:val="FF0000"/>
          <w:spacing w:val="5"/>
          <w:sz w:val="21"/>
        </w:rPr>
        <w:t xml:space="preserve"> 月 </w:t>
      </w:r>
      <w:r>
        <w:rPr>
          <w:rFonts w:ascii="微软雅黑" w:eastAsia="微软雅黑"/>
          <w:b/>
          <w:color w:val="FF0000"/>
          <w:sz w:val="21"/>
        </w:rPr>
        <w:t xml:space="preserve">30 日 下午 </w:t>
      </w:r>
      <w:r>
        <w:rPr>
          <w:rFonts w:ascii="微软雅黑" w:eastAsia="微软雅黑"/>
          <w:b/>
          <w:color w:val="FF0000"/>
          <w:spacing w:val="-4"/>
          <w:w w:val="76"/>
          <w:sz w:val="21"/>
        </w:rPr>
        <w:t>3</w:t>
      </w:r>
      <w:r>
        <w:rPr>
          <w:rFonts w:ascii="微软雅黑" w:eastAsia="微软雅黑"/>
          <w:b/>
          <w:color w:val="FF0000"/>
          <w:spacing w:val="-4"/>
          <w:w w:val="170"/>
          <w:sz w:val="21"/>
        </w:rPr>
        <w:t>:</w:t>
      </w:r>
      <w:r>
        <w:rPr>
          <w:rFonts w:ascii="微软雅黑" w:eastAsia="微软雅黑"/>
          <w:b/>
          <w:color w:val="FF0000"/>
          <w:spacing w:val="-4"/>
          <w:w w:val="76"/>
          <w:sz w:val="21"/>
        </w:rPr>
        <w:t>00</w:t>
      </w:r>
    </w:p>
    <w:p>
      <w:pPr>
        <w:pStyle w:val="ListParagraph"/>
        <w:numPr>
          <w:ilvl w:val="0"/>
          <w:numId w:val="45"/>
        </w:numPr>
        <w:tabs>
          <w:tab w:val="left" w:pos="885"/>
        </w:tabs>
        <w:spacing w:before="0" w:after="0" w:line="249" w:lineRule="exact"/>
        <w:ind w:left="885" w:right="0" w:hanging="211"/>
        <w:jc w:val="left"/>
        <w:rPr>
          <w:sz w:val="19"/>
        </w:rPr>
      </w:pPr>
      <w:r>
        <w:rPr>
          <w:spacing w:val="-1"/>
          <w:sz w:val="21"/>
        </w:rPr>
        <w:t>投标地点及开标地点：南京市六合区政务中心七楼开标室，届时请投标人法定代表人或其授权代表出</w:t>
      </w:r>
    </w:p>
    <w:p>
      <w:pPr>
        <w:pStyle w:val="BodyText"/>
        <w:spacing w:before="11"/>
        <w:ind w:left="254"/>
      </w:pPr>
      <w:r>
        <w:rPr>
          <w:spacing w:val="-2"/>
        </w:rPr>
        <w:t>席开标仪式。</w:t>
      </w:r>
    </w:p>
    <w:p>
      <w:pPr>
        <w:pStyle w:val="BodyText"/>
        <w:spacing w:before="43" w:line="285" w:lineRule="auto"/>
        <w:ind w:left="254" w:right="252" w:firstLine="420"/>
      </w:pPr>
      <w:r>
        <w:rPr>
          <w:spacing w:val="-2"/>
        </w:rPr>
        <w:t>10、拟参加投标人必须带本人身份证及投标单位授权书到采购中心报名，本次招标只接受按时参加报名</w:t>
      </w:r>
      <w:r>
        <w:rPr>
          <w:spacing w:val="-2"/>
        </w:rPr>
        <w:t>的投标人。</w:t>
      </w:r>
    </w:p>
    <w:p>
      <w:pPr>
        <w:pStyle w:val="BodyText"/>
        <w:spacing w:line="285" w:lineRule="auto"/>
        <w:ind w:left="569" w:right="250"/>
      </w:pPr>
      <w:r>
        <w:t>报名时间：</w:t>
      </w:r>
      <w:r>
        <w:rPr>
          <w:color w:val="FF0000"/>
        </w:rPr>
        <w:t>2014</w:t>
      </w:r>
      <w:r>
        <w:rPr>
          <w:color w:val="FF0000"/>
          <w:spacing w:val="-23"/>
        </w:rPr>
        <w:t xml:space="preserve"> 年 </w:t>
      </w:r>
      <w:r>
        <w:rPr>
          <w:color w:val="FF0000"/>
        </w:rPr>
        <w:t>9</w:t>
      </w:r>
      <w:r>
        <w:rPr>
          <w:color w:val="FF0000"/>
          <w:spacing w:val="-3"/>
        </w:rPr>
        <w:t xml:space="preserve"> 月 </w:t>
      </w:r>
      <w:r>
        <w:rPr>
          <w:color w:val="FF0000"/>
        </w:rPr>
        <w:t>11</w:t>
      </w:r>
      <w:r>
        <w:rPr>
          <w:color w:val="FF0000"/>
          <w:spacing w:val="-12"/>
        </w:rPr>
        <w:t xml:space="preserve"> 日---</w:t>
      </w:r>
      <w:r>
        <w:rPr>
          <w:color w:val="FF0000"/>
        </w:rPr>
        <w:t>2014</w:t>
      </w:r>
      <w:r>
        <w:rPr>
          <w:color w:val="FF0000"/>
          <w:spacing w:val="-20"/>
        </w:rPr>
        <w:t xml:space="preserve"> 年 </w:t>
      </w:r>
      <w:r>
        <w:rPr>
          <w:color w:val="FF0000"/>
        </w:rPr>
        <w:t>9</w:t>
      </w:r>
      <w:r>
        <w:rPr>
          <w:color w:val="FF0000"/>
          <w:spacing w:val="-20"/>
        </w:rPr>
        <w:t xml:space="preserve"> 月 </w:t>
      </w:r>
      <w:r>
        <w:rPr>
          <w:color w:val="FF0000"/>
        </w:rPr>
        <w:t>19</w:t>
      </w:r>
      <w:r>
        <w:rPr>
          <w:color w:val="FF0000"/>
          <w:spacing w:val="-12"/>
        </w:rPr>
        <w:t xml:space="preserve"> 日 上午 </w:t>
      </w:r>
      <w:r>
        <w:rPr>
          <w:color w:val="FF0000"/>
        </w:rPr>
        <w:t>9:00-11:30，</w:t>
      </w:r>
      <w:r>
        <w:rPr>
          <w:color w:val="FF0000"/>
          <w:spacing w:val="-18"/>
        </w:rPr>
        <w:t xml:space="preserve">下午 </w:t>
      </w:r>
      <w:r>
        <w:rPr>
          <w:color w:val="FF0000"/>
        </w:rPr>
        <w:t>2:30-5:00</w:t>
      </w:r>
      <w:r>
        <w:t>（节假日除外</w:t>
      </w:r>
      <w:r>
        <w:t>）</w:t>
      </w:r>
      <w:r>
        <w:rPr>
          <w:spacing w:val="-2"/>
        </w:rPr>
        <w:t xml:space="preserve">报名地点：南京市六合区政务中心 </w:t>
      </w:r>
      <w:r>
        <w:t>805</w:t>
      </w:r>
      <w:r>
        <w:rPr>
          <w:spacing w:val="-11"/>
        </w:rPr>
        <w:t xml:space="preserve"> 室</w:t>
      </w:r>
    </w:p>
    <w:p>
      <w:pPr>
        <w:pStyle w:val="BodyText"/>
        <w:spacing w:line="237" w:lineRule="exact"/>
        <w:ind w:left="674"/>
      </w:pPr>
      <w:r>
        <w:t>11</w:t>
      </w:r>
      <w:r>
        <w:rPr>
          <w:spacing w:val="-1"/>
        </w:rPr>
        <w:t xml:space="preserve">、付款方式：合同签订后，无预付款，货到安装，经采购人验收合格后，支付合同总价款的 </w:t>
      </w:r>
      <w:r>
        <w:t>95</w:t>
      </w:r>
      <w:r>
        <w:rPr>
          <w:spacing w:val="-4"/>
        </w:rPr>
        <w:t>％，正</w:t>
      </w:r>
    </w:p>
    <w:p>
      <w:pPr>
        <w:pStyle w:val="BodyText"/>
        <w:spacing w:before="10" w:line="249" w:lineRule="auto"/>
        <w:ind w:left="254" w:right="251"/>
      </w:pPr>
      <w:r>
        <w:rPr>
          <w:spacing w:val="-12"/>
        </w:rPr>
        <w:t xml:space="preserve">常使用 </w:t>
      </w:r>
      <w:r>
        <w:rPr>
          <w:spacing w:val="-2"/>
        </w:rPr>
        <w:t>1</w:t>
      </w:r>
      <w:r>
        <w:rPr>
          <w:spacing w:val="-21"/>
        </w:rPr>
        <w:t xml:space="preserve"> 年后 </w:t>
      </w:r>
      <w:r>
        <w:rPr>
          <w:spacing w:val="-2"/>
        </w:rPr>
        <w:t>10</w:t>
      </w:r>
      <w:r>
        <w:rPr>
          <w:spacing w:val="-8"/>
        </w:rPr>
        <w:t xml:space="preserve"> 个工作日内，未发现质量问题，支付余款，如质保期不能履约或出现质量问题视情况扣除余</w:t>
      </w:r>
      <w:r>
        <w:rPr>
          <w:spacing w:val="-6"/>
        </w:rPr>
        <w:t>款。</w:t>
      </w:r>
    </w:p>
    <w:p>
      <w:pPr>
        <w:pStyle w:val="BodyText"/>
        <w:tabs>
          <w:tab w:val="left" w:pos="3298"/>
        </w:tabs>
        <w:spacing w:before="1"/>
        <w:ind w:left="674"/>
      </w:pPr>
      <w:r>
        <w:t>12、交货时间：见第四</w:t>
      </w:r>
      <w:r>
        <w:rPr>
          <w:spacing w:val="-10"/>
        </w:rPr>
        <w:t>章</w:t>
      </w:r>
      <w:r>
        <w:tab/>
        <w:t>交货地点：采购人指定的地</w:t>
      </w:r>
      <w:r>
        <w:rPr>
          <w:spacing w:val="-10"/>
        </w:rPr>
        <w:t>点</w:t>
      </w:r>
    </w:p>
    <w:p>
      <w:pPr>
        <w:pStyle w:val="BodyText"/>
        <w:spacing w:before="11"/>
        <w:ind w:left="674"/>
      </w:pPr>
      <w:r>
        <w:t>13</w:t>
      </w:r>
      <w:r>
        <w:rPr>
          <w:spacing w:val="-8"/>
        </w:rPr>
        <w:t xml:space="preserve">、本次采购分 </w:t>
      </w:r>
      <w:r>
        <w:t>2</w:t>
      </w:r>
      <w:r>
        <w:rPr>
          <w:spacing w:val="-9"/>
        </w:rPr>
        <w:t xml:space="preserve"> 个包，请欲投标在投标文件封面中注明所投包。</w:t>
      </w:r>
    </w:p>
    <w:p>
      <w:pPr>
        <w:pStyle w:val="BodyText"/>
        <w:spacing w:before="11" w:line="249" w:lineRule="auto"/>
        <w:ind w:left="254" w:right="252" w:firstLine="420"/>
      </w:pPr>
      <w:r>
        <w:rPr>
          <w:spacing w:val="-2"/>
        </w:rPr>
        <w:t>以上若有变更将通过原招标公告媒体发布，投标人应在投标截止时间前关注南京市政府采购网站有关本</w:t>
      </w:r>
      <w:r>
        <w:rPr>
          <w:spacing w:val="-2"/>
        </w:rPr>
        <w:t>招标项目有无变更公告。如果没有及时关注本网站公告导致误投标，其责任由投标人自行承担。</w:t>
      </w:r>
    </w:p>
    <w:p>
      <w:pPr>
        <w:pStyle w:val="BodyText"/>
        <w:spacing w:line="249" w:lineRule="auto"/>
        <w:ind w:left="674" w:right="4870"/>
      </w:pPr>
      <w:r>
        <w:rPr>
          <w:spacing w:val="-2"/>
        </w:rPr>
        <w:t>采购单位联系人：王镇刚，联系电话</w:t>
      </w:r>
      <w:r>
        <w:rPr>
          <w:spacing w:val="-2"/>
        </w:rPr>
        <w:t>：18921411188；集中采购机构：南京市六合区政府采购中心</w:t>
      </w:r>
    </w:p>
    <w:p>
      <w:pPr>
        <w:pStyle w:val="BodyText"/>
        <w:tabs>
          <w:tab w:val="left" w:pos="1303"/>
          <w:tab w:val="left" w:pos="2773"/>
        </w:tabs>
        <w:spacing w:line="249" w:lineRule="auto"/>
        <w:ind w:left="674" w:right="6340"/>
      </w:pPr>
      <w:r>
        <w:rPr>
          <w:spacing w:val="-10"/>
        </w:rPr>
        <w:t>地</w:t>
      </w:r>
      <w:r>
        <w:tab/>
      </w:r>
      <w:r>
        <w:rPr>
          <w:spacing w:val="-2"/>
        </w:rPr>
        <w:t>址</w:t>
      </w:r>
      <w:r>
        <w:rPr>
          <w:spacing w:val="-2"/>
        </w:rPr>
        <w:t>：</w:t>
      </w:r>
      <w:r>
        <w:rPr>
          <w:spacing w:val="-2"/>
        </w:rPr>
        <w:t>南</w:t>
      </w:r>
      <w:r>
        <w:rPr>
          <w:spacing w:val="-2"/>
        </w:rPr>
        <w:t>京</w:t>
      </w:r>
      <w:r>
        <w:rPr>
          <w:spacing w:val="-2"/>
        </w:rPr>
        <w:t>市</w:t>
      </w:r>
      <w:r>
        <w:rPr>
          <w:spacing w:val="-2"/>
        </w:rPr>
        <w:t>六</w:t>
      </w:r>
      <w:r>
        <w:rPr>
          <w:spacing w:val="-2"/>
        </w:rPr>
        <w:t>合</w:t>
      </w:r>
      <w:r>
        <w:rPr>
          <w:spacing w:val="-2"/>
        </w:rPr>
        <w:t>区</w:t>
      </w:r>
      <w:r>
        <w:rPr>
          <w:spacing w:val="-2"/>
        </w:rPr>
        <w:t>雄</w:t>
      </w:r>
      <w:r>
        <w:rPr>
          <w:spacing w:val="-2"/>
        </w:rPr>
        <w:t>州</w:t>
      </w:r>
      <w:r>
        <w:rPr>
          <w:spacing w:val="-2"/>
        </w:rPr>
        <w:t>东</w:t>
      </w:r>
      <w:r>
        <w:rPr>
          <w:spacing w:val="-2"/>
        </w:rPr>
        <w:t>路</w:t>
      </w:r>
      <w:r>
        <w:rPr>
          <w:spacing w:val="-2"/>
        </w:rPr>
        <w:t>1</w:t>
      </w:r>
      <w:r>
        <w:rPr>
          <w:spacing w:val="-2"/>
        </w:rPr>
        <w:t>号</w:t>
      </w:r>
      <w:r>
        <w:t>联 系 人： 沈筱波</w:t>
        <w:tab/>
      </w:r>
      <w:r>
        <w:rPr>
          <w:spacing w:val="-4"/>
        </w:rPr>
        <w:t>汪</w:t>
      </w:r>
      <w:r>
        <w:rPr>
          <w:spacing w:val="-4"/>
        </w:rPr>
        <w:t>菊</w:t>
      </w:r>
      <w:r>
        <w:rPr>
          <w:spacing w:val="-4"/>
        </w:rPr>
        <w:t>花</w:t>
      </w:r>
    </w:p>
    <w:p>
      <w:pPr>
        <w:pStyle w:val="BodyText"/>
        <w:tabs>
          <w:tab w:val="left" w:pos="3613"/>
          <w:tab w:val="left" w:pos="4243"/>
        </w:tabs>
        <w:spacing w:before="1"/>
        <w:ind w:left="674"/>
      </w:pPr>
      <w:r>
        <w:t>联系电话：025-</w:t>
      </w:r>
      <w:r>
        <w:rPr>
          <w:spacing w:val="-2"/>
        </w:rPr>
        <w:t>57130508</w:t>
      </w:r>
      <w:r>
        <w:tab/>
      </w:r>
      <w:r>
        <w:rPr>
          <w:spacing w:val="-10"/>
        </w:rPr>
        <w:t>传</w:t>
      </w:r>
      <w:r>
        <w:tab/>
        <w:t>真：025-</w:t>
      </w:r>
      <w:r>
        <w:rPr>
          <w:spacing w:val="-2"/>
        </w:rPr>
        <w:t>57130517</w:t>
      </w:r>
    </w:p>
    <w:p>
      <w:pPr>
        <w:pStyle w:val="BodyText"/>
        <w:spacing w:before="11"/>
        <w:ind w:left="254"/>
      </w:pPr>
      <w:r>
        <w:rPr>
          <w:spacing w:val="-2"/>
        </w:rPr>
        <w:t>保证金收款信息：</w:t>
      </w:r>
    </w:p>
    <w:p>
      <w:pPr>
        <w:pStyle w:val="BodyText"/>
        <w:spacing w:before="10"/>
        <w:ind w:left="674"/>
      </w:pPr>
      <w:r>
        <w:rPr>
          <w:spacing w:val="-1"/>
        </w:rPr>
        <w:t>保证金收款单位：南京市六合区政务中心</w:t>
      </w:r>
    </w:p>
    <w:p>
      <w:pPr>
        <w:pStyle w:val="BodyText"/>
        <w:spacing w:before="11" w:line="249" w:lineRule="auto"/>
        <w:ind w:left="674" w:right="3925"/>
      </w:pPr>
      <w:r>
        <w:rPr>
          <w:spacing w:val="-2"/>
        </w:rPr>
        <w:t>保证金收款开户银行：中国工商银行股份有限公司南京六合支行</w:t>
      </w:r>
      <w:r>
        <w:rPr>
          <w:spacing w:val="-2"/>
        </w:rPr>
        <w:t>保证金收款帐号：4301015709001800623</w:t>
      </w:r>
    </w:p>
    <w:p>
      <w:pPr>
        <w:pStyle w:val="BodyText"/>
        <w:spacing w:before="1"/>
        <w:ind w:left="7600"/>
      </w:pPr>
      <w:r>
        <w:rPr>
          <w:spacing w:val="-1"/>
        </w:rPr>
        <w:t>南京市六合区政府采购中心</w:t>
      </w:r>
    </w:p>
    <w:p>
      <w:pPr>
        <w:pStyle w:val="BodyText"/>
        <w:spacing w:before="11"/>
        <w:ind w:left="8546"/>
      </w:pPr>
      <w:r>
        <w:t>2014年9月3</w:t>
      </w:r>
      <w:r>
        <w:rPr>
          <w:spacing w:val="-10"/>
        </w:rPr>
        <w:t>日</w:t>
      </w:r>
    </w:p>
    <w:p>
      <w:pPr>
        <w:spacing w:after="0"/>
        <w:sectPr>
          <w:headerReference w:type="default" r:id="rId4"/>
          <w:footerReference w:type="default" r:id="rId5"/>
          <w:type w:val="continuous"/>
          <w:pgSz w:w="12240" w:h="15840"/>
          <w:pgMar w:top="1080" w:right="880" w:bottom="920" w:left="880" w:header="748" w:footer="731"/>
          <w:pgNumType w:start="1"/>
          <w:cols w:space="708"/>
        </w:sectPr>
      </w:pPr>
    </w:p>
    <w:p>
      <w:pPr>
        <w:pStyle w:val="BodyText"/>
        <w:rPr>
          <w:sz w:val="20"/>
        </w:rPr>
      </w:pPr>
    </w:p>
    <w:p>
      <w:pPr>
        <w:pStyle w:val="BodyText"/>
        <w:rPr>
          <w:sz w:val="20"/>
        </w:rPr>
      </w:pPr>
    </w:p>
    <w:p>
      <w:pPr>
        <w:pStyle w:val="BodyText"/>
        <w:rPr>
          <w:sz w:val="20"/>
        </w:rPr>
      </w:pPr>
    </w:p>
    <w:p>
      <w:pPr>
        <w:pStyle w:val="BodyText"/>
        <w:spacing w:before="9"/>
        <w:rPr>
          <w:sz w:val="14"/>
        </w:rPr>
      </w:pPr>
    </w:p>
    <w:p>
      <w:pPr>
        <w:pStyle w:val="Title"/>
      </w:pPr>
      <w:r>
        <w:rPr>
          <w:spacing w:val="-2"/>
        </w:rPr>
        <w:t>公开招标文件</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9"/>
        <w:rPr>
          <w:rFonts w:ascii="黑体"/>
          <w:sz w:val="19"/>
        </w:rPr>
      </w:pPr>
    </w:p>
    <w:p>
      <w:pPr>
        <w:spacing w:before="38"/>
        <w:ind w:left="1474" w:right="0" w:firstLine="0"/>
        <w:jc w:val="left"/>
        <w:rPr>
          <w:rFonts w:ascii="黑体" w:eastAsia="黑体"/>
          <w:sz w:val="44"/>
        </w:rPr>
      </w:pPr>
      <w:r>
        <w:rPr>
          <w:rFonts w:ascii="黑体" w:eastAsia="黑体"/>
          <w:sz w:val="44"/>
        </w:rPr>
        <w:t>项目编号：LHZC-</w:t>
      </w:r>
      <w:r>
        <w:rPr>
          <w:rFonts w:ascii="黑体" w:eastAsia="黑体"/>
          <w:spacing w:val="-2"/>
          <w:sz w:val="44"/>
        </w:rPr>
        <w:t>2014G22</w:t>
      </w:r>
    </w:p>
    <w:p>
      <w:pPr>
        <w:pStyle w:val="BodyText"/>
        <w:spacing w:before="1"/>
        <w:rPr>
          <w:rFonts w:ascii="黑体"/>
          <w:sz w:val="45"/>
        </w:rPr>
      </w:pPr>
    </w:p>
    <w:p>
      <w:pPr>
        <w:pStyle w:val="Heading3"/>
        <w:spacing w:line="529" w:lineRule="exact"/>
        <w:ind w:left="1474"/>
      </w:pPr>
      <w:r>
        <w:rPr>
          <w:rFonts w:ascii="黑体" w:eastAsia="黑体"/>
          <w:b w:val="0"/>
          <w:sz w:val="44"/>
        </w:rPr>
        <w:t>项目名称：</w:t>
      </w:r>
      <w:r>
        <w:t>包一：加工中心（四轴）、加工中心（五轴</w:t>
      </w:r>
      <w:r>
        <w:rPr>
          <w:spacing w:val="-10"/>
        </w:rPr>
        <w:t>）</w:t>
      </w:r>
    </w:p>
    <w:p>
      <w:pPr>
        <w:spacing w:before="0" w:line="462" w:lineRule="exact"/>
        <w:ind w:left="3644" w:right="0" w:firstLine="0"/>
        <w:jc w:val="left"/>
        <w:rPr>
          <w:rFonts w:ascii="Microsoft JhengHei" w:eastAsia="Microsoft JhengHei"/>
          <w:b/>
          <w:sz w:val="28"/>
        </w:rPr>
      </w:pPr>
      <w:r>
        <w:rPr>
          <w:rFonts w:ascii="Microsoft JhengHei" w:eastAsia="Microsoft JhengHei"/>
          <w:b/>
          <w:spacing w:val="-1"/>
          <w:sz w:val="28"/>
        </w:rPr>
        <w:t>包二：硬件检测维修综合实训系统综合平台</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7"/>
        <w:rPr>
          <w:rFonts w:ascii="Microsoft JhengHei"/>
          <w:b/>
          <w:sz w:val="24"/>
        </w:rPr>
      </w:pPr>
    </w:p>
    <w:p>
      <w:pPr>
        <w:spacing w:before="39" w:line="242" w:lineRule="auto"/>
        <w:ind w:left="3920" w:right="2599" w:hanging="1320"/>
        <w:jc w:val="left"/>
        <w:rPr>
          <w:rFonts w:ascii="黑体" w:eastAsia="黑体" w:hAnsi="黑体"/>
          <w:sz w:val="44"/>
        </w:rPr>
      </w:pPr>
      <w:r>
        <w:rPr>
          <w:rFonts w:ascii="黑体" w:eastAsia="黑体" w:hAnsi="黑体"/>
          <w:spacing w:val="-2"/>
          <w:sz w:val="44"/>
        </w:rPr>
        <w:t>南京市六合区政府采购中心</w:t>
      </w:r>
      <w:r>
        <w:rPr>
          <w:rFonts w:ascii="黑体" w:eastAsia="黑体" w:hAnsi="黑体"/>
          <w:spacing w:val="-2"/>
          <w:sz w:val="44"/>
        </w:rPr>
        <w:t>二○一四年九月</w:t>
      </w:r>
    </w:p>
    <w:p>
      <w:pPr>
        <w:spacing w:after="0" w:line="242" w:lineRule="auto"/>
        <w:jc w:val="left"/>
        <w:rPr>
          <w:rFonts w:ascii="黑体" w:eastAsia="黑体" w:hAnsi="黑体"/>
          <w:sz w:val="44"/>
        </w:rPr>
        <w:sectPr>
          <w:headerReference w:type="default" r:id="rId6"/>
          <w:footerReference w:type="default" r:id="rId7"/>
          <w:pgSz w:w="12240" w:h="15840"/>
          <w:pgMar w:top="1080" w:right="880" w:bottom="920" w:left="880" w:header="748" w:footer="731"/>
          <w:pgNumType w:start="2"/>
          <w:cols w:space="708"/>
        </w:sectPr>
      </w:pPr>
    </w:p>
    <w:p>
      <w:pPr>
        <w:pStyle w:val="BodyText"/>
        <w:spacing w:before="4"/>
        <w:rPr>
          <w:rFonts w:ascii="黑体"/>
          <w:sz w:val="22"/>
        </w:rPr>
      </w:pPr>
    </w:p>
    <w:p>
      <w:pPr>
        <w:pStyle w:val="Heading2"/>
        <w:spacing w:before="50"/>
        <w:ind w:left="0"/>
        <w:jc w:val="center"/>
      </w:pPr>
      <w:r>
        <w:rPr>
          <w:spacing w:val="-2"/>
        </w:rPr>
        <w:t>第一章 投标邀请</w:t>
      </w:r>
    </w:p>
    <w:p>
      <w:pPr>
        <w:pStyle w:val="BodyText"/>
        <w:spacing w:before="14" w:line="249" w:lineRule="auto"/>
        <w:ind w:left="254" w:right="146" w:firstLine="420"/>
      </w:pPr>
      <w:r>
        <w:rPr>
          <w:spacing w:val="-2"/>
        </w:rPr>
        <w:t>南京市六合区政府采购中心（以下简称“采购中心”）受南京六合中等专业学校（以下简称“采购人”</w:t>
      </w:r>
      <w:r>
        <w:rPr>
          <w:spacing w:val="-2"/>
        </w:rPr>
        <w:t>）</w:t>
      </w:r>
      <w:r>
        <w:rPr>
          <w:spacing w:val="-2"/>
        </w:rPr>
        <w:t>的委托，对加工中心等设备项目进行国内公开招标，兹邀请符合资格条件供货商投标。</w:t>
      </w:r>
    </w:p>
    <w:p>
      <w:pPr>
        <w:pStyle w:val="ListParagraph"/>
        <w:numPr>
          <w:ilvl w:val="0"/>
          <w:numId w:val="43"/>
        </w:numPr>
        <w:tabs>
          <w:tab w:val="left" w:pos="885"/>
        </w:tabs>
        <w:spacing w:before="0" w:after="0" w:line="240" w:lineRule="auto"/>
        <w:ind w:left="885" w:right="0" w:hanging="211"/>
        <w:jc w:val="left"/>
        <w:rPr>
          <w:sz w:val="19"/>
        </w:rPr>
      </w:pPr>
      <w:r>
        <w:rPr>
          <w:sz w:val="21"/>
        </w:rPr>
        <w:t>项目编号：LHZC-</w:t>
      </w:r>
      <w:r>
        <w:rPr>
          <w:spacing w:val="-2"/>
          <w:sz w:val="21"/>
        </w:rPr>
        <w:t>2014G22</w:t>
      </w:r>
    </w:p>
    <w:p>
      <w:pPr>
        <w:pStyle w:val="ListParagraph"/>
        <w:numPr>
          <w:ilvl w:val="0"/>
          <w:numId w:val="43"/>
        </w:numPr>
        <w:tabs>
          <w:tab w:val="left" w:pos="885"/>
        </w:tabs>
        <w:spacing w:before="11" w:after="0" w:line="249" w:lineRule="auto"/>
        <w:ind w:left="1934" w:right="4345" w:hanging="1260"/>
        <w:jc w:val="left"/>
        <w:rPr>
          <w:sz w:val="19"/>
        </w:rPr>
      </w:pPr>
      <w:r>
        <w:rPr>
          <w:spacing w:val="-2"/>
          <w:sz w:val="21"/>
        </w:rPr>
        <w:t>项目名称：包一：加工中心（四轴）、加工中心（五轴</w:t>
      </w:r>
      <w:r>
        <w:rPr>
          <w:spacing w:val="-2"/>
          <w:sz w:val="21"/>
        </w:rPr>
        <w:t>）</w:t>
      </w:r>
      <w:r>
        <w:rPr>
          <w:spacing w:val="-2"/>
          <w:sz w:val="21"/>
        </w:rPr>
        <w:t>包二：硬件检测维修综合实训系统综合平台</w:t>
      </w:r>
    </w:p>
    <w:p>
      <w:pPr>
        <w:pStyle w:val="ListParagraph"/>
        <w:numPr>
          <w:ilvl w:val="0"/>
          <w:numId w:val="43"/>
        </w:numPr>
        <w:tabs>
          <w:tab w:val="left" w:pos="885"/>
        </w:tabs>
        <w:spacing w:before="0" w:after="0" w:line="240" w:lineRule="auto"/>
        <w:ind w:left="885" w:right="0" w:hanging="211"/>
        <w:jc w:val="left"/>
        <w:rPr>
          <w:sz w:val="19"/>
        </w:rPr>
      </w:pPr>
      <w:r>
        <w:rPr>
          <w:spacing w:val="-1"/>
          <w:sz w:val="21"/>
        </w:rPr>
        <w:t>供应商应具备下列资格条件：</w:t>
      </w:r>
    </w:p>
    <w:p>
      <w:pPr>
        <w:pStyle w:val="ListParagraph"/>
        <w:numPr>
          <w:ilvl w:val="1"/>
          <w:numId w:val="43"/>
        </w:numPr>
        <w:tabs>
          <w:tab w:val="left" w:pos="1094"/>
        </w:tabs>
        <w:spacing w:before="11" w:after="0" w:line="240" w:lineRule="auto"/>
        <w:ind w:left="1094" w:right="0" w:hanging="420"/>
        <w:jc w:val="left"/>
        <w:rPr>
          <w:sz w:val="21"/>
        </w:rPr>
      </w:pPr>
      <w:r>
        <w:rPr>
          <w:spacing w:val="-1"/>
          <w:sz w:val="21"/>
        </w:rPr>
        <w:t>《中华人民共和国政府采购法》规定的条件:</w:t>
      </w:r>
    </w:p>
    <w:p>
      <w:pPr>
        <w:pStyle w:val="ListParagraph"/>
        <w:numPr>
          <w:ilvl w:val="0"/>
          <w:numId w:val="42"/>
        </w:numPr>
        <w:tabs>
          <w:tab w:val="left" w:pos="1200"/>
        </w:tabs>
        <w:spacing w:before="11" w:after="0" w:line="240" w:lineRule="auto"/>
        <w:ind w:left="1200" w:right="0" w:hanging="526"/>
        <w:jc w:val="left"/>
        <w:rPr>
          <w:sz w:val="21"/>
        </w:rPr>
      </w:pPr>
      <w:r>
        <w:rPr>
          <w:spacing w:val="-1"/>
          <w:sz w:val="21"/>
        </w:rPr>
        <w:t>具有独立承担民事责任的能力；</w:t>
      </w:r>
    </w:p>
    <w:p>
      <w:pPr>
        <w:pStyle w:val="ListParagraph"/>
        <w:numPr>
          <w:ilvl w:val="0"/>
          <w:numId w:val="42"/>
        </w:numPr>
        <w:tabs>
          <w:tab w:val="left" w:pos="1200"/>
        </w:tabs>
        <w:spacing w:before="11" w:after="0" w:line="240" w:lineRule="auto"/>
        <w:ind w:left="1200" w:right="0" w:hanging="526"/>
        <w:jc w:val="left"/>
        <w:rPr>
          <w:sz w:val="21"/>
        </w:rPr>
      </w:pPr>
      <w:r>
        <w:rPr>
          <w:spacing w:val="-1"/>
          <w:sz w:val="21"/>
        </w:rPr>
        <w:t>具有良好的商业信誉和健全的财务会计制度；</w:t>
      </w:r>
    </w:p>
    <w:p>
      <w:pPr>
        <w:pStyle w:val="ListParagraph"/>
        <w:numPr>
          <w:ilvl w:val="0"/>
          <w:numId w:val="42"/>
        </w:numPr>
        <w:tabs>
          <w:tab w:val="left" w:pos="1200"/>
        </w:tabs>
        <w:spacing w:before="11" w:after="0" w:line="240" w:lineRule="auto"/>
        <w:ind w:left="1200" w:right="0" w:hanging="526"/>
        <w:jc w:val="left"/>
        <w:rPr>
          <w:sz w:val="21"/>
        </w:rPr>
      </w:pPr>
      <w:r>
        <w:rPr>
          <w:spacing w:val="-1"/>
          <w:sz w:val="21"/>
        </w:rPr>
        <w:t>具有履行合同所必需的设备和专业技术能力；</w:t>
      </w:r>
    </w:p>
    <w:p>
      <w:pPr>
        <w:pStyle w:val="ListParagraph"/>
        <w:numPr>
          <w:ilvl w:val="0"/>
          <w:numId w:val="42"/>
        </w:numPr>
        <w:tabs>
          <w:tab w:val="left" w:pos="1200"/>
        </w:tabs>
        <w:spacing w:before="11" w:after="0" w:line="240" w:lineRule="auto"/>
        <w:ind w:left="1200" w:right="0" w:hanging="526"/>
        <w:jc w:val="left"/>
        <w:rPr>
          <w:sz w:val="21"/>
        </w:rPr>
      </w:pPr>
      <w:r>
        <w:rPr>
          <w:spacing w:val="-1"/>
          <w:sz w:val="21"/>
        </w:rPr>
        <w:t>参加政府采购活动前三年内，在经营活动中没有重大违法记录；</w:t>
      </w:r>
    </w:p>
    <w:p>
      <w:pPr>
        <w:pStyle w:val="ListParagraph"/>
        <w:numPr>
          <w:ilvl w:val="0"/>
          <w:numId w:val="42"/>
        </w:numPr>
        <w:tabs>
          <w:tab w:val="left" w:pos="1200"/>
        </w:tabs>
        <w:spacing w:before="11" w:after="0" w:line="236" w:lineRule="exact"/>
        <w:ind w:left="1200" w:right="0" w:hanging="526"/>
        <w:jc w:val="left"/>
        <w:rPr>
          <w:sz w:val="21"/>
        </w:rPr>
      </w:pPr>
      <w:r>
        <w:rPr>
          <w:spacing w:val="-1"/>
          <w:sz w:val="21"/>
        </w:rPr>
        <w:t>法律、行政法规规定的其他条件。</w:t>
      </w:r>
    </w:p>
    <w:p>
      <w:pPr>
        <w:pStyle w:val="ListParagraph"/>
        <w:numPr>
          <w:ilvl w:val="1"/>
          <w:numId w:val="43"/>
        </w:numPr>
        <w:tabs>
          <w:tab w:val="left" w:pos="1094"/>
        </w:tabs>
        <w:spacing w:before="0" w:after="0" w:line="335" w:lineRule="exact"/>
        <w:ind w:left="1094" w:right="0" w:hanging="420"/>
        <w:jc w:val="left"/>
        <w:rPr>
          <w:sz w:val="21"/>
        </w:rPr>
      </w:pPr>
      <w:r>
        <w:rPr>
          <w:sz w:val="21"/>
        </w:rPr>
        <w:t>采购人根据采购项目的特殊要求规定的特定条件</w:t>
      </w:r>
      <w:r>
        <w:rPr>
          <w:rFonts w:ascii="微软雅黑" w:eastAsia="微软雅黑"/>
          <w:b/>
          <w:sz w:val="21"/>
        </w:rPr>
        <w:t>，</w:t>
      </w:r>
      <w:r>
        <w:rPr>
          <w:spacing w:val="-1"/>
          <w:sz w:val="21"/>
        </w:rPr>
        <w:t>并提供相关证明文件：无</w:t>
      </w:r>
    </w:p>
    <w:p>
      <w:pPr>
        <w:pStyle w:val="ListParagraph"/>
        <w:numPr>
          <w:ilvl w:val="0"/>
          <w:numId w:val="43"/>
        </w:numPr>
        <w:tabs>
          <w:tab w:val="left" w:pos="927"/>
        </w:tabs>
        <w:spacing w:before="0" w:after="0" w:line="251" w:lineRule="exact"/>
        <w:ind w:left="927" w:right="0" w:hanging="211"/>
        <w:jc w:val="left"/>
        <w:rPr>
          <w:sz w:val="19"/>
        </w:rPr>
      </w:pPr>
      <w:r>
        <w:rPr>
          <w:spacing w:val="-1"/>
          <w:sz w:val="21"/>
        </w:rPr>
        <w:t>是否接受进口产品：不接受。</w:t>
      </w:r>
    </w:p>
    <w:p>
      <w:pPr>
        <w:pStyle w:val="ListParagraph"/>
        <w:numPr>
          <w:ilvl w:val="0"/>
          <w:numId w:val="43"/>
        </w:numPr>
        <w:tabs>
          <w:tab w:val="left" w:pos="927"/>
        </w:tabs>
        <w:spacing w:before="11" w:after="0" w:line="249" w:lineRule="auto"/>
        <w:ind w:left="254" w:right="252" w:firstLine="462"/>
        <w:jc w:val="both"/>
        <w:rPr>
          <w:sz w:val="19"/>
        </w:rPr>
      </w:pPr>
      <w:r>
        <w:rPr>
          <w:spacing w:val="-2"/>
          <w:sz w:val="21"/>
        </w:rPr>
        <w:t>投标保证金数额及交纳办法：投标人应从本单位基本帐户支付投标保证金，保证金包一：人民币叁万元整；包二：人民币伍仟元整。采取转账支票、汇票、本票等方式交纳（拒绝现金和现金支票）。未按要求</w:t>
      </w:r>
      <w:r>
        <w:rPr>
          <w:spacing w:val="-2"/>
          <w:sz w:val="21"/>
        </w:rPr>
        <w:t>交纳投标保证金的，投标文件将被拒绝接收。（保证金不需封装在投标文件中，单独随投标文件一并送达）</w:t>
      </w:r>
    </w:p>
    <w:p>
      <w:pPr>
        <w:pStyle w:val="ListParagraph"/>
        <w:numPr>
          <w:ilvl w:val="0"/>
          <w:numId w:val="43"/>
        </w:numPr>
        <w:tabs>
          <w:tab w:val="left" w:pos="885"/>
        </w:tabs>
        <w:spacing w:before="0" w:after="0" w:line="240" w:lineRule="auto"/>
        <w:ind w:left="885" w:right="0" w:hanging="211"/>
        <w:jc w:val="left"/>
        <w:rPr>
          <w:sz w:val="19"/>
        </w:rPr>
      </w:pPr>
      <w:r>
        <w:rPr>
          <w:spacing w:val="-1"/>
          <w:sz w:val="21"/>
        </w:rPr>
        <w:t>招标文件获取办法：在南京市政府采购中心{区县采购}网站免费下载。</w:t>
      </w:r>
    </w:p>
    <w:p>
      <w:pPr>
        <w:pStyle w:val="ListParagraph"/>
        <w:numPr>
          <w:ilvl w:val="0"/>
          <w:numId w:val="43"/>
        </w:numPr>
        <w:tabs>
          <w:tab w:val="left" w:pos="885"/>
        </w:tabs>
        <w:spacing w:before="11" w:after="0" w:line="241" w:lineRule="exact"/>
        <w:ind w:left="885" w:right="0" w:hanging="211"/>
        <w:jc w:val="left"/>
        <w:rPr>
          <w:sz w:val="19"/>
        </w:rPr>
      </w:pPr>
      <w:r>
        <w:rPr>
          <w:sz w:val="21"/>
        </w:rPr>
        <w:t>投标文件份数：一式柒份（壹份正本、陆份副本），</w:t>
      </w:r>
      <w:r>
        <w:rPr>
          <w:spacing w:val="-1"/>
          <w:sz w:val="21"/>
        </w:rPr>
        <w:t>每份投标文件须清楚标明“正本”或“副本”</w:t>
      </w:r>
    </w:p>
    <w:p>
      <w:pPr>
        <w:pStyle w:val="ListParagraph"/>
        <w:numPr>
          <w:ilvl w:val="0"/>
          <w:numId w:val="43"/>
        </w:numPr>
        <w:tabs>
          <w:tab w:val="left" w:pos="885"/>
          <w:tab w:val="left" w:pos="3408"/>
          <w:tab w:val="left" w:pos="4198"/>
          <w:tab w:val="left" w:pos="4619"/>
        </w:tabs>
        <w:spacing w:before="0" w:after="0" w:line="305" w:lineRule="exact"/>
        <w:ind w:left="885" w:right="0" w:hanging="211"/>
        <w:jc w:val="left"/>
        <w:rPr>
          <w:color w:val="FF0000"/>
          <w:sz w:val="19"/>
        </w:rPr>
      </w:pPr>
      <w:r>
        <w:rPr>
          <w:color w:val="FF0000"/>
          <w:spacing w:val="-10"/>
          <w:sz w:val="21"/>
        </w:rPr>
        <w:t>投</w:t>
      </w:r>
      <w:r>
        <w:rPr>
          <w:color w:val="FF0000"/>
          <w:spacing w:val="-10"/>
          <w:sz w:val="21"/>
        </w:rPr>
        <w:t>标</w:t>
      </w:r>
      <w:r>
        <w:rPr>
          <w:color w:val="FF0000"/>
          <w:spacing w:val="-10"/>
          <w:sz w:val="21"/>
        </w:rPr>
        <w:t>开</w:t>
      </w:r>
      <w:r>
        <w:rPr>
          <w:color w:val="FF0000"/>
          <w:spacing w:val="-10"/>
          <w:sz w:val="21"/>
        </w:rPr>
        <w:t>始</w:t>
      </w:r>
      <w:r>
        <w:rPr>
          <w:color w:val="FF0000"/>
          <w:spacing w:val="-10"/>
          <w:sz w:val="21"/>
        </w:rPr>
        <w:t>时</w:t>
      </w:r>
      <w:r>
        <w:rPr>
          <w:color w:val="FF0000"/>
          <w:spacing w:val="-10"/>
          <w:sz w:val="21"/>
        </w:rPr>
        <w:t>间</w:t>
      </w:r>
      <w:r>
        <w:rPr>
          <w:color w:val="FF0000"/>
          <w:spacing w:val="-10"/>
          <w:sz w:val="21"/>
        </w:rPr>
        <w:t>：</w:t>
      </w:r>
      <w:r>
        <w:rPr>
          <w:rFonts w:ascii="微软雅黑" w:eastAsia="微软雅黑"/>
          <w:b/>
          <w:color w:val="FF0000"/>
          <w:spacing w:val="-10"/>
          <w:sz w:val="21"/>
        </w:rPr>
        <w:t>2014</w:t>
      </w:r>
      <w:r>
        <w:rPr>
          <w:rFonts w:ascii="微软雅黑" w:eastAsia="微软雅黑"/>
          <w:b/>
          <w:color w:val="FF0000"/>
          <w:sz w:val="21"/>
        </w:rPr>
        <w:t xml:space="preserve"> </w:t>
      </w:r>
      <w:r>
        <w:rPr>
          <w:rFonts w:ascii="微软雅黑" w:eastAsia="微软雅黑"/>
          <w:b/>
          <w:color w:val="FF0000"/>
          <w:spacing w:val="-10"/>
          <w:sz w:val="21"/>
        </w:rPr>
        <w:t>年</w:t>
      </w:r>
      <w:r>
        <w:rPr>
          <w:rFonts w:ascii="微软雅黑" w:eastAsia="微软雅黑"/>
          <w:b/>
          <w:color w:val="FF0000"/>
          <w:spacing w:val="1"/>
          <w:sz w:val="21"/>
        </w:rPr>
        <w:t xml:space="preserve"> </w:t>
      </w:r>
      <w:r>
        <w:rPr>
          <w:rFonts w:ascii="微软雅黑" w:eastAsia="微软雅黑"/>
          <w:b/>
          <w:color w:val="FF0000"/>
          <w:spacing w:val="-10"/>
          <w:sz w:val="21"/>
        </w:rPr>
        <w:t>9</w:t>
      </w:r>
      <w:r>
        <w:rPr>
          <w:rFonts w:ascii="微软雅黑" w:eastAsia="微软雅黑"/>
          <w:b/>
          <w:color w:val="FF0000"/>
          <w:sz w:val="21"/>
        </w:rPr>
        <w:tab/>
        <w:t>月</w:t>
      </w:r>
      <w:r>
        <w:rPr>
          <w:rFonts w:ascii="微软雅黑" w:eastAsia="微软雅黑"/>
          <w:b/>
          <w:color w:val="FF0000"/>
          <w:spacing w:val="-10"/>
          <w:sz w:val="21"/>
        </w:rPr>
        <w:t xml:space="preserve"> </w:t>
      </w:r>
      <w:r>
        <w:rPr>
          <w:rFonts w:ascii="微软雅黑" w:eastAsia="微软雅黑"/>
          <w:b/>
          <w:color w:val="FF0000"/>
          <w:spacing w:val="-5"/>
          <w:sz w:val="21"/>
        </w:rPr>
        <w:t>30</w:t>
      </w:r>
      <w:r>
        <w:rPr>
          <w:rFonts w:ascii="微软雅黑" w:eastAsia="微软雅黑"/>
          <w:b/>
          <w:color w:val="FF0000"/>
          <w:sz w:val="21"/>
        </w:rPr>
        <w:tab/>
      </w:r>
      <w:r>
        <w:rPr>
          <w:rFonts w:ascii="微软雅黑" w:eastAsia="微软雅黑"/>
          <w:b/>
          <w:color w:val="FF0000"/>
          <w:spacing w:val="-10"/>
          <w:sz w:val="21"/>
        </w:rPr>
        <w:t>日</w:t>
      </w:r>
      <w:r>
        <w:rPr>
          <w:rFonts w:ascii="微软雅黑" w:eastAsia="微软雅黑"/>
          <w:b/>
          <w:color w:val="FF0000"/>
          <w:sz w:val="21"/>
        </w:rPr>
        <w:tab/>
        <w:t>下午</w:t>
      </w:r>
      <w:r>
        <w:rPr>
          <w:rFonts w:ascii="微软雅黑" w:eastAsia="微软雅黑"/>
          <w:b/>
          <w:color w:val="FF0000"/>
          <w:spacing w:val="-10"/>
          <w:sz w:val="21"/>
        </w:rPr>
        <w:t xml:space="preserve"> </w:t>
      </w:r>
      <w:r>
        <w:rPr>
          <w:rFonts w:ascii="微软雅黑" w:eastAsia="微软雅黑"/>
          <w:b/>
          <w:color w:val="FF0000"/>
          <w:spacing w:val="-4"/>
          <w:w w:val="76"/>
          <w:sz w:val="21"/>
        </w:rPr>
        <w:t>2</w:t>
      </w:r>
      <w:r>
        <w:rPr>
          <w:rFonts w:ascii="微软雅黑" w:eastAsia="微软雅黑"/>
          <w:b/>
          <w:color w:val="FF0000"/>
          <w:spacing w:val="-4"/>
          <w:w w:val="170"/>
          <w:sz w:val="21"/>
        </w:rPr>
        <w:t>:</w:t>
      </w:r>
      <w:r>
        <w:rPr>
          <w:rFonts w:ascii="微软雅黑" w:eastAsia="微软雅黑"/>
          <w:b/>
          <w:color w:val="FF0000"/>
          <w:spacing w:val="-4"/>
          <w:w w:val="76"/>
          <w:sz w:val="21"/>
        </w:rPr>
        <w:t>30</w:t>
      </w:r>
    </w:p>
    <w:p>
      <w:pPr>
        <w:spacing w:before="0" w:line="314" w:lineRule="exact"/>
        <w:ind w:left="892" w:right="0" w:firstLine="0"/>
        <w:jc w:val="left"/>
        <w:rPr>
          <w:rFonts w:ascii="微软雅黑" w:eastAsia="微软雅黑"/>
          <w:b/>
          <w:sz w:val="21"/>
        </w:rPr>
      </w:pPr>
      <w:r>
        <w:rPr>
          <w:color w:val="FF0000"/>
          <w:sz w:val="21"/>
        </w:rPr>
        <w:t>投标截止时间及开标时间：</w:t>
      </w:r>
      <w:r>
        <w:rPr>
          <w:rFonts w:ascii="微软雅黑" w:eastAsia="微软雅黑"/>
          <w:b/>
          <w:color w:val="FF0000"/>
          <w:sz w:val="21"/>
        </w:rPr>
        <w:t>2014</w:t>
      </w:r>
      <w:r>
        <w:rPr>
          <w:rFonts w:ascii="微软雅黑" w:eastAsia="微软雅黑"/>
          <w:b/>
          <w:color w:val="FF0000"/>
          <w:spacing w:val="-4"/>
          <w:sz w:val="21"/>
        </w:rPr>
        <w:t xml:space="preserve"> 年 </w:t>
      </w:r>
      <w:r>
        <w:rPr>
          <w:rFonts w:ascii="微软雅黑" w:eastAsia="微软雅黑"/>
          <w:b/>
          <w:color w:val="FF0000"/>
          <w:sz w:val="21"/>
        </w:rPr>
        <w:t>9</w:t>
      </w:r>
      <w:r>
        <w:rPr>
          <w:rFonts w:ascii="微软雅黑" w:eastAsia="微软雅黑"/>
          <w:b/>
          <w:color w:val="FF0000"/>
          <w:spacing w:val="5"/>
          <w:sz w:val="21"/>
        </w:rPr>
        <w:t xml:space="preserve"> 月 </w:t>
      </w:r>
      <w:r>
        <w:rPr>
          <w:rFonts w:ascii="微软雅黑" w:eastAsia="微软雅黑"/>
          <w:b/>
          <w:color w:val="FF0000"/>
          <w:sz w:val="21"/>
        </w:rPr>
        <w:t xml:space="preserve">30 日 下午 </w:t>
      </w:r>
      <w:r>
        <w:rPr>
          <w:rFonts w:ascii="微软雅黑" w:eastAsia="微软雅黑"/>
          <w:b/>
          <w:color w:val="FF0000"/>
          <w:spacing w:val="-4"/>
          <w:w w:val="76"/>
          <w:sz w:val="21"/>
        </w:rPr>
        <w:t>3</w:t>
      </w:r>
      <w:r>
        <w:rPr>
          <w:rFonts w:ascii="微软雅黑" w:eastAsia="微软雅黑"/>
          <w:b/>
          <w:color w:val="FF0000"/>
          <w:spacing w:val="-4"/>
          <w:w w:val="170"/>
          <w:sz w:val="21"/>
        </w:rPr>
        <w:t>:</w:t>
      </w:r>
      <w:r>
        <w:rPr>
          <w:rFonts w:ascii="微软雅黑" w:eastAsia="微软雅黑"/>
          <w:b/>
          <w:color w:val="FF0000"/>
          <w:spacing w:val="-4"/>
          <w:w w:val="76"/>
          <w:sz w:val="21"/>
        </w:rPr>
        <w:t>00</w:t>
      </w:r>
    </w:p>
    <w:p>
      <w:pPr>
        <w:pStyle w:val="ListParagraph"/>
        <w:numPr>
          <w:ilvl w:val="0"/>
          <w:numId w:val="43"/>
        </w:numPr>
        <w:tabs>
          <w:tab w:val="left" w:pos="885"/>
        </w:tabs>
        <w:spacing w:before="0" w:after="0" w:line="249" w:lineRule="exact"/>
        <w:ind w:left="885" w:right="0" w:hanging="211"/>
        <w:jc w:val="left"/>
        <w:rPr>
          <w:sz w:val="19"/>
        </w:rPr>
      </w:pPr>
      <w:r>
        <w:rPr>
          <w:spacing w:val="-1"/>
          <w:sz w:val="21"/>
        </w:rPr>
        <w:t>投标地点及开标地点：南京市六合区政务中心七楼开标室，届时请投标人法定代表人或其授权代表出</w:t>
      </w:r>
    </w:p>
    <w:p>
      <w:pPr>
        <w:pStyle w:val="BodyText"/>
        <w:spacing w:before="11"/>
        <w:ind w:left="254"/>
      </w:pPr>
      <w:r>
        <w:rPr>
          <w:spacing w:val="-2"/>
        </w:rPr>
        <w:t>席开标仪式。</w:t>
      </w:r>
    </w:p>
    <w:p>
      <w:pPr>
        <w:pStyle w:val="BodyText"/>
        <w:spacing w:before="43" w:line="285" w:lineRule="auto"/>
        <w:ind w:left="254" w:right="252" w:firstLine="420"/>
      </w:pPr>
      <w:r>
        <w:rPr>
          <w:spacing w:val="-2"/>
        </w:rPr>
        <w:t>10、拟参加投标人必须带本人身份证及投标单位授权书到采购中心报名，本次招标只接受按时参加报名</w:t>
      </w:r>
      <w:r>
        <w:rPr>
          <w:spacing w:val="-2"/>
        </w:rPr>
        <w:t>的投标人。</w:t>
      </w:r>
    </w:p>
    <w:p>
      <w:pPr>
        <w:pStyle w:val="BodyText"/>
        <w:spacing w:line="285" w:lineRule="auto"/>
        <w:ind w:left="569" w:right="250"/>
      </w:pPr>
      <w:r>
        <w:t>报名时间：</w:t>
      </w:r>
      <w:r>
        <w:rPr>
          <w:color w:val="FF0000"/>
        </w:rPr>
        <w:t>2014</w:t>
      </w:r>
      <w:r>
        <w:rPr>
          <w:color w:val="FF0000"/>
          <w:spacing w:val="-23"/>
        </w:rPr>
        <w:t xml:space="preserve"> 年 </w:t>
      </w:r>
      <w:r>
        <w:rPr>
          <w:color w:val="FF0000"/>
        </w:rPr>
        <w:t>9</w:t>
      </w:r>
      <w:r>
        <w:rPr>
          <w:color w:val="FF0000"/>
          <w:spacing w:val="-3"/>
        </w:rPr>
        <w:t xml:space="preserve"> 月 </w:t>
      </w:r>
      <w:r>
        <w:rPr>
          <w:color w:val="FF0000"/>
        </w:rPr>
        <w:t>11</w:t>
      </w:r>
      <w:r>
        <w:rPr>
          <w:color w:val="FF0000"/>
          <w:spacing w:val="-12"/>
        </w:rPr>
        <w:t xml:space="preserve"> 日---</w:t>
      </w:r>
      <w:r>
        <w:rPr>
          <w:color w:val="FF0000"/>
        </w:rPr>
        <w:t>2014</w:t>
      </w:r>
      <w:r>
        <w:rPr>
          <w:color w:val="FF0000"/>
          <w:spacing w:val="-20"/>
        </w:rPr>
        <w:t xml:space="preserve"> 年 </w:t>
      </w:r>
      <w:r>
        <w:rPr>
          <w:color w:val="FF0000"/>
        </w:rPr>
        <w:t>9</w:t>
      </w:r>
      <w:r>
        <w:rPr>
          <w:color w:val="FF0000"/>
          <w:spacing w:val="-20"/>
        </w:rPr>
        <w:t xml:space="preserve"> 月 </w:t>
      </w:r>
      <w:r>
        <w:rPr>
          <w:color w:val="FF0000"/>
        </w:rPr>
        <w:t>19</w:t>
      </w:r>
      <w:r>
        <w:rPr>
          <w:color w:val="FF0000"/>
          <w:spacing w:val="-12"/>
        </w:rPr>
        <w:t xml:space="preserve"> 日 上午 </w:t>
      </w:r>
      <w:r>
        <w:rPr>
          <w:color w:val="FF0000"/>
        </w:rPr>
        <w:t>9:00-11:30，</w:t>
      </w:r>
      <w:r>
        <w:rPr>
          <w:color w:val="FF0000"/>
          <w:spacing w:val="-18"/>
        </w:rPr>
        <w:t xml:space="preserve">下午 </w:t>
      </w:r>
      <w:r>
        <w:rPr>
          <w:color w:val="FF0000"/>
        </w:rPr>
        <w:t>2:30-5:00</w:t>
      </w:r>
      <w:r>
        <w:t>（节假日除外</w:t>
      </w:r>
      <w:r>
        <w:t>）</w:t>
      </w:r>
      <w:r>
        <w:rPr>
          <w:spacing w:val="-2"/>
        </w:rPr>
        <w:t xml:space="preserve">报名地点：南京市六合区政务中心 </w:t>
      </w:r>
      <w:r>
        <w:t>805</w:t>
      </w:r>
      <w:r>
        <w:rPr>
          <w:spacing w:val="-11"/>
        </w:rPr>
        <w:t xml:space="preserve"> 室</w:t>
      </w:r>
    </w:p>
    <w:p>
      <w:pPr>
        <w:pStyle w:val="BodyText"/>
        <w:spacing w:line="237" w:lineRule="exact"/>
        <w:ind w:left="674"/>
      </w:pPr>
      <w:r>
        <w:t>11</w:t>
      </w:r>
      <w:r>
        <w:rPr>
          <w:spacing w:val="-1"/>
        </w:rPr>
        <w:t xml:space="preserve">、付款方式：合同签订后，无预付款，货到安装，经采购人验收合格后，支付合同总价款的 </w:t>
      </w:r>
      <w:r>
        <w:t>95</w:t>
      </w:r>
      <w:r>
        <w:rPr>
          <w:spacing w:val="-4"/>
        </w:rPr>
        <w:t>％，正</w:t>
      </w:r>
    </w:p>
    <w:p>
      <w:pPr>
        <w:pStyle w:val="BodyText"/>
        <w:spacing w:before="11" w:line="249" w:lineRule="auto"/>
        <w:ind w:left="254" w:right="251"/>
      </w:pPr>
      <w:r>
        <w:rPr>
          <w:spacing w:val="-12"/>
        </w:rPr>
        <w:t xml:space="preserve">常使用 </w:t>
      </w:r>
      <w:r>
        <w:rPr>
          <w:spacing w:val="-2"/>
        </w:rPr>
        <w:t>1</w:t>
      </w:r>
      <w:r>
        <w:rPr>
          <w:spacing w:val="-21"/>
        </w:rPr>
        <w:t xml:space="preserve"> 年后 </w:t>
      </w:r>
      <w:r>
        <w:rPr>
          <w:spacing w:val="-2"/>
        </w:rPr>
        <w:t>10</w:t>
      </w:r>
      <w:r>
        <w:rPr>
          <w:spacing w:val="-8"/>
        </w:rPr>
        <w:t xml:space="preserve"> 个工作日内，未发现质量问题，支付余款，如质保期不能履约或出现质量问题视情况扣除余</w:t>
      </w:r>
      <w:r>
        <w:rPr>
          <w:spacing w:val="-6"/>
        </w:rPr>
        <w:t>款。</w:t>
      </w:r>
    </w:p>
    <w:p>
      <w:pPr>
        <w:pStyle w:val="BodyText"/>
        <w:tabs>
          <w:tab w:val="left" w:pos="3298"/>
        </w:tabs>
        <w:ind w:left="674"/>
      </w:pPr>
      <w:r>
        <w:t>12、交货时间：见第四</w:t>
      </w:r>
      <w:r>
        <w:rPr>
          <w:spacing w:val="-10"/>
        </w:rPr>
        <w:t>章</w:t>
      </w:r>
      <w:r>
        <w:tab/>
        <w:t>交货地点：采购人指定的地</w:t>
      </w:r>
      <w:r>
        <w:rPr>
          <w:spacing w:val="-10"/>
        </w:rPr>
        <w:t>点</w:t>
      </w:r>
    </w:p>
    <w:p>
      <w:pPr>
        <w:pStyle w:val="BodyText"/>
        <w:spacing w:before="11"/>
        <w:ind w:left="674"/>
      </w:pPr>
      <w:r>
        <w:t>13</w:t>
      </w:r>
      <w:r>
        <w:rPr>
          <w:spacing w:val="-8"/>
        </w:rPr>
        <w:t xml:space="preserve">、本次采购分 </w:t>
      </w:r>
      <w:r>
        <w:t>2</w:t>
      </w:r>
      <w:r>
        <w:rPr>
          <w:spacing w:val="-9"/>
        </w:rPr>
        <w:t xml:space="preserve"> 个包，请欲投标在投标文件封面中注明所投包。</w:t>
      </w:r>
    </w:p>
    <w:p>
      <w:pPr>
        <w:pStyle w:val="BodyText"/>
        <w:spacing w:before="11" w:line="249" w:lineRule="auto"/>
        <w:ind w:left="254" w:right="252" w:firstLine="420"/>
      </w:pPr>
      <w:r>
        <w:rPr>
          <w:spacing w:val="-2"/>
        </w:rPr>
        <w:t>以上若有变更将通过原招标公告媒体发布，投标人应在投标截止时间前关注南京市政府采购网站有关本</w:t>
      </w:r>
      <w:r>
        <w:rPr>
          <w:spacing w:val="-2"/>
        </w:rPr>
        <w:t>招标项目有无变更公告。如果没有及时关注本网站公告导致误投标，其责任由投标人自行承担。</w:t>
      </w:r>
    </w:p>
    <w:p>
      <w:pPr>
        <w:pStyle w:val="BodyText"/>
        <w:spacing w:line="249" w:lineRule="auto"/>
        <w:ind w:left="674" w:right="4870"/>
      </w:pPr>
      <w:r>
        <w:rPr>
          <w:spacing w:val="-2"/>
        </w:rPr>
        <w:t>采购单位联系人：王镇刚，联系电话</w:t>
      </w:r>
      <w:r>
        <w:rPr>
          <w:spacing w:val="-2"/>
        </w:rPr>
        <w:t>：18921411188；集中采购机构：南京市六合区政府采购中心</w:t>
      </w:r>
    </w:p>
    <w:p>
      <w:pPr>
        <w:pStyle w:val="BodyText"/>
        <w:tabs>
          <w:tab w:val="left" w:pos="1303"/>
          <w:tab w:val="left" w:pos="2773"/>
        </w:tabs>
        <w:spacing w:before="1" w:line="249" w:lineRule="auto"/>
        <w:ind w:left="674" w:right="6340"/>
      </w:pPr>
      <w:r>
        <w:rPr>
          <w:spacing w:val="-10"/>
        </w:rPr>
        <w:t>地</w:t>
      </w:r>
      <w:r>
        <w:tab/>
      </w:r>
      <w:r>
        <w:rPr>
          <w:spacing w:val="-2"/>
        </w:rPr>
        <w:t>址</w:t>
      </w:r>
      <w:r>
        <w:rPr>
          <w:spacing w:val="-2"/>
        </w:rPr>
        <w:t>：</w:t>
      </w:r>
      <w:r>
        <w:rPr>
          <w:spacing w:val="-2"/>
        </w:rPr>
        <w:t>南</w:t>
      </w:r>
      <w:r>
        <w:rPr>
          <w:spacing w:val="-2"/>
        </w:rPr>
        <w:t>京</w:t>
      </w:r>
      <w:r>
        <w:rPr>
          <w:spacing w:val="-2"/>
        </w:rPr>
        <w:t>市</w:t>
      </w:r>
      <w:r>
        <w:rPr>
          <w:spacing w:val="-2"/>
        </w:rPr>
        <w:t>六</w:t>
      </w:r>
      <w:r>
        <w:rPr>
          <w:spacing w:val="-2"/>
        </w:rPr>
        <w:t>合</w:t>
      </w:r>
      <w:r>
        <w:rPr>
          <w:spacing w:val="-2"/>
        </w:rPr>
        <w:t>区</w:t>
      </w:r>
      <w:r>
        <w:rPr>
          <w:spacing w:val="-2"/>
        </w:rPr>
        <w:t>雄</w:t>
      </w:r>
      <w:r>
        <w:rPr>
          <w:spacing w:val="-2"/>
        </w:rPr>
        <w:t>州</w:t>
      </w:r>
      <w:r>
        <w:rPr>
          <w:spacing w:val="-2"/>
        </w:rPr>
        <w:t>东</w:t>
      </w:r>
      <w:r>
        <w:rPr>
          <w:spacing w:val="-2"/>
        </w:rPr>
        <w:t>路</w:t>
      </w:r>
      <w:r>
        <w:rPr>
          <w:spacing w:val="-2"/>
        </w:rPr>
        <w:t>1</w:t>
      </w:r>
      <w:r>
        <w:rPr>
          <w:spacing w:val="-2"/>
        </w:rPr>
        <w:t>号</w:t>
      </w:r>
      <w:r>
        <w:t>联 系 人： 沈筱波</w:t>
        <w:tab/>
      </w:r>
      <w:r>
        <w:rPr>
          <w:spacing w:val="-4"/>
        </w:rPr>
        <w:t>汪</w:t>
      </w:r>
      <w:r>
        <w:rPr>
          <w:spacing w:val="-4"/>
        </w:rPr>
        <w:t>菊</w:t>
      </w:r>
      <w:r>
        <w:rPr>
          <w:spacing w:val="-4"/>
        </w:rPr>
        <w:t>花</w:t>
      </w:r>
    </w:p>
    <w:p>
      <w:pPr>
        <w:pStyle w:val="BodyText"/>
        <w:tabs>
          <w:tab w:val="left" w:pos="3613"/>
          <w:tab w:val="left" w:pos="4243"/>
        </w:tabs>
        <w:ind w:left="674"/>
      </w:pPr>
      <w:r>
        <w:t>联系电话：025-</w:t>
      </w:r>
      <w:r>
        <w:rPr>
          <w:spacing w:val="-2"/>
        </w:rPr>
        <w:t>57130508</w:t>
      </w:r>
      <w:r>
        <w:tab/>
      </w:r>
      <w:r>
        <w:rPr>
          <w:spacing w:val="-10"/>
        </w:rPr>
        <w:t>传</w:t>
      </w:r>
      <w:r>
        <w:tab/>
        <w:t>真：025-</w:t>
      </w:r>
      <w:r>
        <w:rPr>
          <w:spacing w:val="-2"/>
        </w:rPr>
        <w:t>57130517</w:t>
      </w:r>
    </w:p>
    <w:p>
      <w:pPr>
        <w:pStyle w:val="BodyText"/>
        <w:spacing w:before="11"/>
        <w:ind w:left="254"/>
      </w:pPr>
      <w:r>
        <w:rPr>
          <w:spacing w:val="-2"/>
        </w:rPr>
        <w:t>保证金收款信息：</w:t>
      </w:r>
    </w:p>
    <w:p>
      <w:pPr>
        <w:pStyle w:val="BodyText"/>
        <w:spacing w:before="11"/>
        <w:ind w:left="674"/>
      </w:pPr>
      <w:r>
        <w:rPr>
          <w:spacing w:val="-1"/>
        </w:rPr>
        <w:t>保证金收款单位：南京市六合区政务中心</w:t>
      </w:r>
    </w:p>
    <w:p>
      <w:pPr>
        <w:pStyle w:val="BodyText"/>
        <w:spacing w:before="11" w:line="249" w:lineRule="auto"/>
        <w:ind w:left="674" w:right="3925"/>
      </w:pPr>
      <w:r>
        <w:rPr>
          <w:spacing w:val="-2"/>
        </w:rPr>
        <w:t>保证金收款开户银行：中国工商银行股份有限公司南京六合支行</w:t>
      </w:r>
      <w:r>
        <w:rPr>
          <w:spacing w:val="-2"/>
        </w:rPr>
        <w:t>保证金收款帐号：4301015709001800623</w:t>
      </w:r>
    </w:p>
    <w:p>
      <w:pPr>
        <w:spacing w:after="0" w:line="249" w:lineRule="auto"/>
        <w:sectPr>
          <w:headerReference w:type="default" r:id="rId8"/>
          <w:footerReference w:type="default" r:id="rId9"/>
          <w:pgSz w:w="12240" w:h="15840"/>
          <w:pgMar w:top="1080" w:right="880" w:bottom="920" w:left="880" w:header="748" w:footer="731"/>
          <w:pgNumType w:start="3"/>
          <w:cols w:space="708"/>
        </w:sectPr>
      </w:pPr>
    </w:p>
    <w:p>
      <w:pPr>
        <w:pStyle w:val="BodyText"/>
        <w:rPr>
          <w:sz w:val="20"/>
        </w:rPr>
      </w:pPr>
    </w:p>
    <w:p>
      <w:pPr>
        <w:pStyle w:val="BodyText"/>
        <w:spacing w:before="5"/>
        <w:rPr>
          <w:sz w:val="24"/>
        </w:rPr>
      </w:pPr>
    </w:p>
    <w:p>
      <w:pPr>
        <w:pStyle w:val="Heading2"/>
        <w:tabs>
          <w:tab w:val="left" w:pos="1859"/>
        </w:tabs>
        <w:spacing w:before="49"/>
        <w:ind w:left="420"/>
        <w:jc w:val="center"/>
      </w:pPr>
      <w:r>
        <w:t>第二</w:t>
      </w:r>
      <w:r>
        <w:rPr>
          <w:spacing w:val="-10"/>
        </w:rPr>
        <w:t>章</w:t>
      </w:r>
      <w:r>
        <w:tab/>
        <w:t>投标人须</w:t>
      </w:r>
      <w:r>
        <w:rPr>
          <w:spacing w:val="-10"/>
        </w:rPr>
        <w:t>知</w:t>
      </w:r>
    </w:p>
    <w:p>
      <w:pPr>
        <w:pStyle w:val="Heading5"/>
        <w:tabs>
          <w:tab w:val="left" w:pos="1726"/>
        </w:tabs>
        <w:spacing w:before="177" w:line="364" w:lineRule="exact"/>
      </w:pPr>
      <w:r>
        <w:t>一、</w:t>
      </w:r>
      <w:r>
        <w:rPr>
          <w:spacing w:val="-10"/>
        </w:rPr>
        <w:t>总</w:t>
      </w:r>
      <w:r>
        <w:tab/>
      </w:r>
      <w:r>
        <w:rPr>
          <w:spacing w:val="-10"/>
        </w:rPr>
        <w:t>则</w:t>
      </w:r>
    </w:p>
    <w:p>
      <w:pPr>
        <w:pStyle w:val="ListParagraph"/>
        <w:numPr>
          <w:ilvl w:val="1"/>
          <w:numId w:val="41"/>
        </w:numPr>
        <w:tabs>
          <w:tab w:val="left" w:pos="1042"/>
        </w:tabs>
        <w:spacing w:before="0" w:after="0" w:line="247" w:lineRule="exact"/>
        <w:ind w:left="1041" w:right="0" w:hanging="368"/>
        <w:jc w:val="left"/>
        <w:rPr>
          <w:sz w:val="21"/>
        </w:rPr>
      </w:pPr>
      <w:r>
        <w:rPr>
          <w:spacing w:val="-7"/>
          <w:sz w:val="21"/>
        </w:rPr>
        <w:t>《中华人民共和国政府采购法》、《政府采购货物和服务招标投标管理办法》等有关法律、规章和规</w:t>
      </w:r>
    </w:p>
    <w:p>
      <w:pPr>
        <w:pStyle w:val="BodyText"/>
        <w:spacing w:before="4" w:line="236" w:lineRule="exact"/>
        <w:ind w:left="254"/>
      </w:pPr>
      <w:r>
        <w:rPr>
          <w:spacing w:val="-4"/>
        </w:rPr>
        <w:t>定等。</w:t>
      </w:r>
    </w:p>
    <w:p>
      <w:pPr>
        <w:pStyle w:val="Heading5"/>
        <w:spacing w:line="331" w:lineRule="exact"/>
      </w:pPr>
      <w:r>
        <w:rPr>
          <w:spacing w:val="-8"/>
        </w:rPr>
        <w:t>2</w:t>
      </w:r>
      <w:r>
        <w:rPr>
          <w:spacing w:val="-10"/>
        </w:rPr>
        <w:t>、定义</w:t>
      </w:r>
    </w:p>
    <w:p>
      <w:pPr>
        <w:pStyle w:val="ListParagraph"/>
        <w:numPr>
          <w:ilvl w:val="1"/>
          <w:numId w:val="40"/>
        </w:numPr>
        <w:tabs>
          <w:tab w:val="left" w:pos="1094"/>
        </w:tabs>
        <w:spacing w:before="0" w:after="0" w:line="214" w:lineRule="exact"/>
        <w:ind w:left="1094" w:right="0" w:hanging="420"/>
        <w:jc w:val="left"/>
        <w:rPr>
          <w:sz w:val="21"/>
        </w:rPr>
      </w:pPr>
      <w:r>
        <w:rPr>
          <w:spacing w:val="-1"/>
          <w:sz w:val="21"/>
        </w:rPr>
        <w:t>“供应商”是指参加投标竞争，并符合招标文件规定资格条件的法人、其他组织或者自然人。</w:t>
      </w:r>
    </w:p>
    <w:p>
      <w:pPr>
        <w:pStyle w:val="ListParagraph"/>
        <w:numPr>
          <w:ilvl w:val="1"/>
          <w:numId w:val="40"/>
        </w:numPr>
        <w:tabs>
          <w:tab w:val="left" w:pos="1042"/>
        </w:tabs>
        <w:spacing w:before="48" w:after="0" w:line="170" w:lineRule="auto"/>
        <w:ind w:left="254" w:right="252" w:firstLine="420"/>
        <w:jc w:val="left"/>
        <w:rPr>
          <w:sz w:val="21"/>
        </w:rPr>
      </w:pPr>
      <w:r>
        <w:rPr>
          <w:spacing w:val="-2"/>
          <w:sz w:val="21"/>
        </w:rPr>
        <w:t>“货物和服务”指本招标文件中所述产品及相关服务。</w:t>
      </w:r>
      <w:r>
        <w:rPr>
          <w:rFonts w:ascii="Microsoft JhengHei" w:eastAsia="Microsoft JhengHei" w:hAnsi="Microsoft JhengHei"/>
          <w:b/>
          <w:spacing w:val="-2"/>
          <w:sz w:val="21"/>
        </w:rPr>
        <w:t>本次招标除在“投标邀请”中说明外不接受进</w:t>
      </w:r>
      <w:r>
        <w:rPr>
          <w:rFonts w:ascii="Microsoft JhengHei" w:eastAsia="Microsoft JhengHei" w:hAnsi="Microsoft JhengHei"/>
          <w:b/>
          <w:spacing w:val="-2"/>
          <w:sz w:val="21"/>
        </w:rPr>
        <w:t>口产品投标</w:t>
      </w:r>
      <w:r>
        <w:rPr>
          <w:spacing w:val="-2"/>
          <w:sz w:val="21"/>
        </w:rPr>
        <w:t>，进口产品是指通过中国海关报关验放进入中国境内且产自关境外的产品。</w:t>
      </w:r>
    </w:p>
    <w:p>
      <w:pPr>
        <w:pStyle w:val="ListParagraph"/>
        <w:numPr>
          <w:ilvl w:val="1"/>
          <w:numId w:val="40"/>
        </w:numPr>
        <w:tabs>
          <w:tab w:val="left" w:pos="1094"/>
        </w:tabs>
        <w:spacing w:before="0" w:after="0" w:line="221" w:lineRule="exact"/>
        <w:ind w:left="1094" w:right="0" w:hanging="420"/>
        <w:jc w:val="left"/>
        <w:rPr>
          <w:sz w:val="21"/>
        </w:rPr>
      </w:pPr>
      <w:r>
        <w:rPr>
          <w:spacing w:val="-1"/>
          <w:sz w:val="21"/>
        </w:rPr>
        <w:t>“用户或使用单位”是指使用货物的单位。</w:t>
      </w:r>
    </w:p>
    <w:p>
      <w:pPr>
        <w:pStyle w:val="Heading5"/>
        <w:spacing w:line="296" w:lineRule="exact"/>
      </w:pPr>
      <w:r>
        <w:rPr>
          <w:spacing w:val="-6"/>
        </w:rPr>
        <w:t>3</w:t>
      </w:r>
      <w:r>
        <w:rPr>
          <w:spacing w:val="-7"/>
        </w:rPr>
        <w:t>、政策功能</w:t>
      </w:r>
    </w:p>
    <w:p>
      <w:pPr>
        <w:pStyle w:val="ListParagraph"/>
        <w:numPr>
          <w:ilvl w:val="1"/>
          <w:numId w:val="39"/>
        </w:numPr>
        <w:tabs>
          <w:tab w:val="left" w:pos="1042"/>
        </w:tabs>
        <w:spacing w:before="12" w:after="0" w:line="180" w:lineRule="auto"/>
        <w:ind w:left="254" w:right="251" w:firstLine="420"/>
        <w:jc w:val="both"/>
        <w:rPr>
          <w:sz w:val="21"/>
        </w:rPr>
      </w:pPr>
      <w:r>
        <w:rPr>
          <w:spacing w:val="-2"/>
          <w:sz w:val="21"/>
        </w:rPr>
        <w:t>强制采购节能产品、信息安全产品，优先采购环境标志产品。</w:t>
      </w:r>
      <w:r>
        <w:rPr>
          <w:rFonts w:ascii="Microsoft JhengHei" w:eastAsia="Microsoft JhengHei"/>
          <w:b/>
          <w:spacing w:val="-2"/>
          <w:sz w:val="21"/>
        </w:rPr>
        <w:t>节能产品</w:t>
      </w:r>
      <w:r>
        <w:rPr>
          <w:spacing w:val="-2"/>
          <w:sz w:val="21"/>
        </w:rPr>
        <w:t>是指列入财政部、国家发展和</w:t>
      </w:r>
      <w:r>
        <w:rPr>
          <w:spacing w:val="-2"/>
          <w:sz w:val="21"/>
        </w:rPr>
        <w:t>改革委员会制定的《节能产品政府采购清单》，且经过认定的节能产品；</w:t>
      </w:r>
      <w:r>
        <w:rPr>
          <w:rFonts w:ascii="Microsoft JhengHei" w:eastAsia="Microsoft JhengHei"/>
          <w:b/>
          <w:spacing w:val="-2"/>
          <w:sz w:val="21"/>
        </w:rPr>
        <w:t>信息安全产品</w:t>
      </w:r>
      <w:r>
        <w:rPr>
          <w:spacing w:val="-2"/>
          <w:sz w:val="21"/>
        </w:rPr>
        <w:t>是指列入国家质检总</w:t>
      </w:r>
      <w:r>
        <w:rPr>
          <w:spacing w:val="-6"/>
          <w:sz w:val="21"/>
        </w:rPr>
        <w:t>局 国家认监委《信息安全产品强制性认证目录》，并获得强制性产品认证证书的产品；</w:t>
      </w:r>
      <w:r>
        <w:rPr>
          <w:rFonts w:ascii="Microsoft JhengHei" w:eastAsia="Microsoft JhengHei"/>
          <w:b/>
          <w:sz w:val="21"/>
        </w:rPr>
        <w:t>环境标志产品</w:t>
      </w:r>
      <w:r>
        <w:rPr>
          <w:sz w:val="21"/>
        </w:rPr>
        <w:t>是指列</w:t>
      </w:r>
      <w:r>
        <w:rPr>
          <w:spacing w:val="-2"/>
          <w:sz w:val="21"/>
        </w:rPr>
        <w:t>入财政部、国家环保总局制定的《环境标志产品政府采购清单》，且经过认证的环境标志产品。</w:t>
      </w:r>
    </w:p>
    <w:p>
      <w:pPr>
        <w:pStyle w:val="ListParagraph"/>
        <w:numPr>
          <w:ilvl w:val="1"/>
          <w:numId w:val="39"/>
        </w:numPr>
        <w:tabs>
          <w:tab w:val="left" w:pos="1042"/>
        </w:tabs>
        <w:spacing w:before="19" w:after="0" w:line="242" w:lineRule="auto"/>
        <w:ind w:left="254" w:right="251" w:firstLine="420"/>
        <w:jc w:val="left"/>
        <w:rPr>
          <w:sz w:val="21"/>
        </w:rPr>
      </w:pPr>
      <w:r>
        <w:rPr>
          <w:spacing w:val="-2"/>
          <w:sz w:val="21"/>
        </w:rPr>
        <w:t>投标产品属于信息安全产品的，投标人应当选择经国家认证的信息安全产品投标，并提供由中国信息</w:t>
      </w:r>
      <w:r>
        <w:rPr>
          <w:spacing w:val="-2"/>
          <w:sz w:val="21"/>
        </w:rPr>
        <w:t>安全认证中心按国家标准认证颁发的有效认证证书复印件。</w:t>
      </w:r>
    </w:p>
    <w:p>
      <w:pPr>
        <w:pStyle w:val="ListParagraph"/>
        <w:numPr>
          <w:ilvl w:val="1"/>
          <w:numId w:val="39"/>
        </w:numPr>
        <w:tabs>
          <w:tab w:val="left" w:pos="1042"/>
        </w:tabs>
        <w:spacing w:before="1" w:after="0" w:line="242" w:lineRule="auto"/>
        <w:ind w:left="254" w:right="196" w:firstLine="420"/>
        <w:jc w:val="left"/>
        <w:rPr>
          <w:sz w:val="21"/>
        </w:rPr>
      </w:pPr>
      <w:r>
        <w:rPr>
          <w:spacing w:val="-2"/>
          <w:sz w:val="21"/>
        </w:rPr>
        <w:t>投标产品属于政府强制采购节能产品的，投标人应当选择《节能产品政府采购清单》中的产品投标，</w:t>
      </w:r>
      <w:r>
        <w:rPr>
          <w:spacing w:val="-2"/>
          <w:sz w:val="21"/>
        </w:rPr>
        <w:t>并提供有效的节能产品认证证书复印件。</w:t>
      </w:r>
    </w:p>
    <w:p>
      <w:pPr>
        <w:pStyle w:val="Heading5"/>
        <w:numPr>
          <w:ilvl w:val="1"/>
          <w:numId w:val="39"/>
        </w:numPr>
        <w:tabs>
          <w:tab w:val="left" w:pos="1045"/>
        </w:tabs>
        <w:spacing w:before="13" w:after="0" w:line="170" w:lineRule="auto"/>
        <w:ind w:left="254" w:right="252" w:firstLine="420"/>
        <w:jc w:val="both"/>
      </w:pPr>
      <w:r>
        <w:rPr>
          <w:spacing w:val="-2"/>
        </w:rPr>
        <w:t>招标文件中要求的产品品牌或型号，是采购人根据项目所要实现的功能推荐的品牌或型号，并不是限</w:t>
      </w:r>
      <w:r>
        <w:rPr>
          <w:spacing w:val="-4"/>
        </w:rPr>
        <w:t>制条件。</w:t>
      </w:r>
    </w:p>
    <w:p>
      <w:pPr>
        <w:pStyle w:val="ListParagraph"/>
        <w:numPr>
          <w:ilvl w:val="1"/>
          <w:numId w:val="39"/>
        </w:numPr>
        <w:tabs>
          <w:tab w:val="left" w:pos="1086"/>
        </w:tabs>
        <w:spacing w:before="0" w:after="0" w:line="254" w:lineRule="exact"/>
        <w:ind w:left="1085" w:right="0" w:hanging="421"/>
        <w:jc w:val="both"/>
        <w:rPr>
          <w:sz w:val="21"/>
        </w:rPr>
      </w:pPr>
      <w:r>
        <w:rPr>
          <w:spacing w:val="-4"/>
          <w:sz w:val="21"/>
        </w:rPr>
        <w:t>中小企业（含中型、小型、微型企业）</w:t>
      </w:r>
      <w:r>
        <w:rPr>
          <w:spacing w:val="-5"/>
          <w:sz w:val="21"/>
        </w:rPr>
        <w:t>提供本企业制造的货物、承担的工程或者服务，或者提供其他</w:t>
      </w:r>
    </w:p>
    <w:p>
      <w:pPr>
        <w:pStyle w:val="BodyText"/>
        <w:spacing w:before="55" w:line="180" w:lineRule="auto"/>
        <w:ind w:left="254" w:right="251"/>
        <w:jc w:val="both"/>
        <w:rPr>
          <w:rFonts w:ascii="Microsoft JhengHei" w:eastAsia="Microsoft JhengHei" w:hAnsi="Microsoft JhengHei"/>
          <w:b/>
        </w:rPr>
      </w:pPr>
      <w:r>
        <w:rPr>
          <w:spacing w:val="-2"/>
        </w:rPr>
        <w:t>中小企业制造的货物在评标时将获得优势（本项所称货物不包括使用大型企业注册商标的货物）。参加投标</w:t>
      </w:r>
      <w:r>
        <w:rPr>
          <w:spacing w:val="-17"/>
        </w:rPr>
        <w:t>的中小企业，应当提供《中小企业声明函》</w:t>
      </w:r>
      <w:r>
        <w:rPr>
          <w:spacing w:val="-2"/>
        </w:rPr>
        <w:t>（“</w:t>
      </w:r>
      <w:r>
        <w:rPr>
          <w:spacing w:val="-12"/>
        </w:rPr>
        <w:t>中小企业划型标准”详见南京市政府采购中心网站政策法规</w:t>
      </w:r>
      <w:r>
        <w:rPr>
          <w:rFonts w:ascii="Microsoft JhengHei" w:eastAsia="Microsoft JhengHei" w:hAnsi="Microsoft JhengHei"/>
          <w:b/>
          <w:spacing w:val="-2"/>
        </w:rPr>
        <w:t>《</w:t>
      </w:r>
      <w:r>
        <w:rPr>
          <w:spacing w:val="-2"/>
        </w:rPr>
        <w:t>关</w:t>
      </w:r>
      <w:r>
        <w:t>于印发中小企业划型标准规定的通知》工信部联企业〔2011〕300</w:t>
      </w:r>
      <w:r>
        <w:rPr>
          <w:spacing w:val="-21"/>
        </w:rPr>
        <w:t xml:space="preserve"> 号</w:t>
      </w:r>
      <w:r>
        <w:rPr>
          <w:rFonts w:ascii="Microsoft JhengHei" w:eastAsia="Microsoft JhengHei" w:hAnsi="Microsoft JhengHei"/>
          <w:b/>
        </w:rPr>
        <w:t>）。</w:t>
      </w:r>
    </w:p>
    <w:p>
      <w:pPr>
        <w:pStyle w:val="Heading5"/>
        <w:spacing w:line="278" w:lineRule="exact"/>
      </w:pPr>
      <w:r>
        <w:rPr>
          <w:rFonts w:ascii="宋体" w:eastAsia="宋体" w:hint="eastAsia"/>
          <w:b w:val="0"/>
        </w:rPr>
        <w:t>4</w:t>
      </w:r>
      <w:r>
        <w:rPr>
          <w:spacing w:val="-2"/>
        </w:rPr>
        <w:t>、联合投标</w:t>
      </w:r>
    </w:p>
    <w:p>
      <w:pPr>
        <w:pStyle w:val="ListParagraph"/>
        <w:numPr>
          <w:ilvl w:val="1"/>
          <w:numId w:val="38"/>
        </w:numPr>
        <w:tabs>
          <w:tab w:val="left" w:pos="1042"/>
        </w:tabs>
        <w:spacing w:before="0" w:after="0" w:line="247" w:lineRule="exact"/>
        <w:ind w:left="1041" w:right="0" w:hanging="368"/>
        <w:jc w:val="left"/>
        <w:rPr>
          <w:sz w:val="21"/>
        </w:rPr>
      </w:pPr>
      <w:r>
        <w:rPr>
          <w:spacing w:val="-12"/>
          <w:sz w:val="21"/>
        </w:rPr>
        <w:t>两个以上的自然人、法人或者其他组织可以组成一个联合体，以一个供应商的身份共同参加政府采购。</w:t>
      </w:r>
    </w:p>
    <w:p>
      <w:pPr>
        <w:pStyle w:val="ListParagraph"/>
        <w:numPr>
          <w:ilvl w:val="1"/>
          <w:numId w:val="38"/>
        </w:numPr>
        <w:tabs>
          <w:tab w:val="left" w:pos="1042"/>
        </w:tabs>
        <w:spacing w:before="4" w:after="0" w:line="242" w:lineRule="auto"/>
        <w:ind w:left="254" w:right="146" w:firstLine="420"/>
        <w:jc w:val="left"/>
        <w:rPr>
          <w:sz w:val="21"/>
        </w:rPr>
      </w:pPr>
      <w:r>
        <w:rPr>
          <w:spacing w:val="-2"/>
          <w:sz w:val="21"/>
        </w:rPr>
        <w:t>以联合体形式参加投标的，联合体各方均应当符合政府采购法第二十二条第一款规定的条件；采购人</w:t>
      </w:r>
      <w:r>
        <w:rPr>
          <w:spacing w:val="-4"/>
          <w:sz w:val="21"/>
        </w:rPr>
        <w:t>根据采购项目的特殊要求规定投标人特定条件的，联合体各方中至少应当有一方符合采购人规定的特定条件。</w:t>
      </w:r>
      <w:r>
        <w:rPr>
          <w:spacing w:val="-3"/>
          <w:sz w:val="21"/>
        </w:rPr>
        <w:t>由同一专业的投标人组成的联合体，按照资质较低的投标人确定资质等级；由不同专业的投标人组成联合体，</w:t>
      </w:r>
      <w:r>
        <w:rPr>
          <w:spacing w:val="1"/>
          <w:sz w:val="21"/>
        </w:rPr>
        <w:t>首先以投标的全权代表方的应答材料作为认定资质以及商务评审的依据，涉及行业专属的资质，按照所属行业对应的投标人的应答材料确定。</w:t>
      </w:r>
    </w:p>
    <w:p>
      <w:pPr>
        <w:pStyle w:val="ListParagraph"/>
        <w:numPr>
          <w:ilvl w:val="1"/>
          <w:numId w:val="38"/>
        </w:numPr>
        <w:tabs>
          <w:tab w:val="left" w:pos="1042"/>
        </w:tabs>
        <w:spacing w:before="3" w:after="0" w:line="242" w:lineRule="auto"/>
        <w:ind w:left="254" w:right="251" w:firstLine="420"/>
        <w:jc w:val="left"/>
        <w:rPr>
          <w:sz w:val="21"/>
        </w:rPr>
      </w:pPr>
      <w:r>
        <w:rPr>
          <w:spacing w:val="-2"/>
          <w:sz w:val="21"/>
        </w:rPr>
        <w:t>大中型企业和其他自然人、法人或者其他组织可以与小型、微型企业组成联合体共同参加非专门面向</w:t>
      </w:r>
      <w:r>
        <w:rPr>
          <w:spacing w:val="-3"/>
          <w:sz w:val="21"/>
        </w:rPr>
        <w:t xml:space="preserve">中小企业的政府采购活动。联合协议中约定，小型、微型企业的协议合同金额占到联合体协议合同总金额 </w:t>
      </w:r>
      <w:r>
        <w:rPr>
          <w:spacing w:val="-2"/>
          <w:sz w:val="21"/>
        </w:rPr>
        <w:t>30%</w:t>
      </w:r>
    </w:p>
    <w:p>
      <w:pPr>
        <w:pStyle w:val="BodyText"/>
        <w:spacing w:before="1" w:line="242" w:lineRule="auto"/>
        <w:ind w:left="254" w:right="199"/>
        <w:jc w:val="both"/>
      </w:pPr>
      <w:r>
        <w:rPr>
          <w:spacing w:val="-11"/>
        </w:rPr>
        <w:t xml:space="preserve">以上的，给予联合体 </w:t>
      </w:r>
      <w:r>
        <w:t>2%</w:t>
      </w:r>
      <w:r>
        <w:rPr>
          <w:spacing w:val="-13"/>
        </w:rPr>
        <w:t xml:space="preserve">的价格扣除。联合体各方均为小型、微型企业的，联合体视同为小型、微型企业享受 </w:t>
      </w:r>
      <w:r>
        <w:rPr>
          <w:spacing w:val="-7"/>
        </w:rPr>
        <w:t>6%</w:t>
      </w:r>
      <w:r>
        <w:rPr>
          <w:spacing w:val="1"/>
        </w:rPr>
        <w:t>价格扣除。组成联合体的大中型企业和其他自然人、法人或者其他组织，与小型、微型企业之间不得存在投资关系。</w:t>
      </w:r>
    </w:p>
    <w:p>
      <w:pPr>
        <w:pStyle w:val="ListParagraph"/>
        <w:numPr>
          <w:ilvl w:val="1"/>
          <w:numId w:val="38"/>
        </w:numPr>
        <w:tabs>
          <w:tab w:val="left" w:pos="1042"/>
        </w:tabs>
        <w:spacing w:before="2" w:after="0" w:line="242" w:lineRule="auto"/>
        <w:ind w:left="254" w:right="146" w:firstLine="420"/>
        <w:jc w:val="left"/>
        <w:rPr>
          <w:sz w:val="21"/>
        </w:rPr>
      </w:pPr>
      <w:r>
        <w:rPr>
          <w:spacing w:val="-2"/>
          <w:sz w:val="21"/>
        </w:rPr>
        <w:t>联合体各方之间应当签订共同投标协议，明确约定联合体各方承担的工作和相应的责任，并将共同投</w:t>
      </w:r>
      <w:r>
        <w:rPr>
          <w:spacing w:val="-2"/>
          <w:sz w:val="21"/>
        </w:rPr>
        <w:t>标协议连同投标文件一并提交。联合体各方签订共同投标协议后，不得再以自己名义单独在同一项目中投标，</w:t>
      </w:r>
      <w:r>
        <w:rPr>
          <w:spacing w:val="-2"/>
          <w:sz w:val="21"/>
        </w:rPr>
        <w:t>也不得组成新的联合体参加同一项目投标。</w:t>
      </w:r>
    </w:p>
    <w:p>
      <w:pPr>
        <w:pStyle w:val="BodyText"/>
        <w:spacing w:before="1" w:line="236" w:lineRule="exact"/>
        <w:ind w:left="674"/>
      </w:pPr>
      <w:r>
        <w:rPr>
          <w:color w:val="FF0000"/>
          <w:spacing w:val="-1"/>
        </w:rPr>
        <w:t>本次招标不接受联合体投标</w:t>
      </w:r>
    </w:p>
    <w:p>
      <w:pPr>
        <w:pStyle w:val="Heading5"/>
        <w:spacing w:line="296" w:lineRule="exact"/>
        <w:ind w:left="665"/>
      </w:pPr>
      <w:r>
        <w:rPr>
          <w:spacing w:val="-2"/>
        </w:rPr>
        <w:t>二、招标文件构成</w:t>
      </w:r>
    </w:p>
    <w:p>
      <w:pPr>
        <w:spacing w:before="0" w:line="307" w:lineRule="exact"/>
        <w:ind w:left="674" w:right="0" w:firstLine="0"/>
        <w:jc w:val="left"/>
        <w:rPr>
          <w:rFonts w:ascii="Microsoft JhengHei" w:eastAsia="Microsoft JhengHei"/>
          <w:b/>
          <w:sz w:val="21"/>
        </w:rPr>
      </w:pPr>
      <w:r>
        <w:rPr>
          <w:rFonts w:ascii="Microsoft JhengHei" w:eastAsia="Microsoft JhengHei"/>
          <w:b/>
          <w:spacing w:val="-4"/>
          <w:sz w:val="21"/>
        </w:rPr>
        <w:t>5</w:t>
      </w:r>
      <w:r>
        <w:rPr>
          <w:rFonts w:ascii="Microsoft JhengHei" w:eastAsia="Microsoft JhengHei"/>
          <w:b/>
          <w:spacing w:val="-5"/>
          <w:sz w:val="21"/>
        </w:rPr>
        <w:t>、招标文件组成</w:t>
      </w:r>
    </w:p>
    <w:p>
      <w:pPr>
        <w:pStyle w:val="ListParagraph"/>
        <w:numPr>
          <w:ilvl w:val="1"/>
          <w:numId w:val="37"/>
        </w:numPr>
        <w:tabs>
          <w:tab w:val="left" w:pos="990"/>
        </w:tabs>
        <w:spacing w:before="0" w:after="0" w:line="247" w:lineRule="exact"/>
        <w:ind w:left="990" w:right="0" w:hanging="316"/>
        <w:jc w:val="left"/>
        <w:rPr>
          <w:sz w:val="21"/>
        </w:rPr>
      </w:pPr>
      <w:r>
        <w:rPr>
          <w:spacing w:val="-3"/>
          <w:sz w:val="21"/>
        </w:rPr>
        <w:t>招标文件组成：投标邀请、投标人须知、投标人应当提交的资格和资信证明文件、投标报价要求、投</w:t>
      </w:r>
    </w:p>
    <w:p>
      <w:pPr>
        <w:pStyle w:val="BodyText"/>
        <w:spacing w:before="4" w:line="242" w:lineRule="auto"/>
        <w:ind w:left="254" w:right="146"/>
      </w:pPr>
      <w:r>
        <w:rPr>
          <w:spacing w:val="-2"/>
        </w:rPr>
        <w:t>标文件编制要求和投标保证金缴纳方式、招标项目的技术规格、要求和数量、合同主要条款及合同签订方式、</w:t>
      </w:r>
      <w:r>
        <w:rPr>
          <w:spacing w:val="-2"/>
        </w:rPr>
        <w:t>交货和提供服务的时间、评标方法、评标标准、无效投标和废标条款、附件等。。</w:t>
      </w:r>
    </w:p>
    <w:p>
      <w:pPr>
        <w:spacing w:after="0" w:line="242" w:lineRule="auto"/>
        <w:sectPr>
          <w:headerReference w:type="default" r:id="rId10"/>
          <w:footerReference w:type="default" r:id="rId11"/>
          <w:pgSz w:w="12240" w:h="15840"/>
          <w:pgMar w:top="1080" w:right="880" w:bottom="920" w:left="880" w:header="748" w:footer="731"/>
          <w:pgNumType w:start="4"/>
          <w:cols w:space="708"/>
        </w:sectPr>
      </w:pPr>
    </w:p>
    <w:p>
      <w:pPr>
        <w:pStyle w:val="BodyText"/>
        <w:spacing w:before="6"/>
        <w:rPr>
          <w:sz w:val="20"/>
        </w:rPr>
      </w:pPr>
    </w:p>
    <w:p>
      <w:pPr>
        <w:pStyle w:val="ListParagraph"/>
        <w:numPr>
          <w:ilvl w:val="1"/>
          <w:numId w:val="37"/>
        </w:numPr>
        <w:tabs>
          <w:tab w:val="left" w:pos="1094"/>
        </w:tabs>
        <w:spacing w:before="71" w:after="0" w:line="242" w:lineRule="auto"/>
        <w:ind w:left="254" w:right="146" w:firstLine="420"/>
        <w:jc w:val="left"/>
        <w:rPr>
          <w:sz w:val="21"/>
        </w:rPr>
      </w:pPr>
      <w:r>
        <w:rPr>
          <w:spacing w:val="-2"/>
          <w:sz w:val="21"/>
        </w:rPr>
        <w:t>采购中心如果要求投标人按照招标文件规定提交备选投标方案的，投标人可以提交备选方案；否则，</w:t>
      </w:r>
      <w:r>
        <w:rPr>
          <w:spacing w:val="-2"/>
          <w:sz w:val="21"/>
        </w:rPr>
        <w:t>备选方案将被拒绝。</w:t>
      </w:r>
    </w:p>
    <w:p>
      <w:pPr>
        <w:pStyle w:val="Heading5"/>
        <w:spacing w:line="261" w:lineRule="exact"/>
      </w:pPr>
      <w:r>
        <w:rPr>
          <w:spacing w:val="-2"/>
        </w:rPr>
        <w:t>6</w:t>
      </w:r>
      <w:r>
        <w:rPr>
          <w:spacing w:val="-3"/>
        </w:rPr>
        <w:t>、招标文件的澄清、修改</w:t>
      </w:r>
    </w:p>
    <w:p>
      <w:pPr>
        <w:pStyle w:val="ListParagraph"/>
        <w:numPr>
          <w:ilvl w:val="1"/>
          <w:numId w:val="36"/>
        </w:numPr>
        <w:tabs>
          <w:tab w:val="left" w:pos="990"/>
        </w:tabs>
        <w:spacing w:before="0" w:after="0" w:line="307" w:lineRule="exact"/>
        <w:ind w:left="990" w:right="0" w:hanging="316"/>
        <w:jc w:val="left"/>
        <w:rPr>
          <w:rFonts w:ascii="Microsoft JhengHei" w:eastAsia="Microsoft JhengHei"/>
          <w:b/>
          <w:sz w:val="21"/>
        </w:rPr>
      </w:pPr>
      <w:r>
        <w:rPr>
          <w:spacing w:val="-2"/>
          <w:sz w:val="21"/>
        </w:rPr>
        <w:t>采购人对已发出的招标文件进行必要澄清或者修改的，将在招标文件要求提交投标文件截止时间</w:t>
      </w:r>
      <w:r>
        <w:rPr>
          <w:rFonts w:ascii="Microsoft JhengHei" w:eastAsia="Microsoft JhengHei"/>
          <w:b/>
          <w:spacing w:val="-2"/>
          <w:sz w:val="21"/>
          <w:u w:val="thick"/>
        </w:rPr>
        <w:t>15</w:t>
      </w:r>
      <w:r>
        <w:rPr>
          <w:rFonts w:ascii="Microsoft JhengHei" w:eastAsia="Microsoft JhengHei"/>
          <w:b/>
          <w:spacing w:val="-10"/>
          <w:sz w:val="21"/>
          <w:u w:val="thick"/>
        </w:rPr>
        <w:t>日</w:t>
      </w:r>
    </w:p>
    <w:p>
      <w:pPr>
        <w:pStyle w:val="BodyText"/>
        <w:spacing w:line="214" w:lineRule="exact"/>
        <w:ind w:left="254"/>
      </w:pPr>
      <w:r>
        <w:rPr>
          <w:spacing w:val="-1"/>
        </w:rPr>
        <w:t>前，在原招标公告媒体发布更正公告，该澄清或者修改的内容为招标文件的组成部分。</w:t>
      </w:r>
    </w:p>
    <w:p>
      <w:pPr>
        <w:pStyle w:val="ListParagraph"/>
        <w:numPr>
          <w:ilvl w:val="1"/>
          <w:numId w:val="36"/>
        </w:numPr>
        <w:tabs>
          <w:tab w:val="left" w:pos="1042"/>
        </w:tabs>
        <w:spacing w:before="6" w:after="0" w:line="206" w:lineRule="auto"/>
        <w:ind w:left="254" w:right="251" w:firstLine="420"/>
        <w:jc w:val="left"/>
        <w:rPr>
          <w:sz w:val="21"/>
        </w:rPr>
      </w:pPr>
      <w:r>
        <w:rPr>
          <w:spacing w:val="-2"/>
          <w:sz w:val="21"/>
        </w:rPr>
        <w:t>采购中心在招标文件要求提交投标文件截止时间</w:t>
      </w:r>
      <w:r>
        <w:rPr>
          <w:rFonts w:ascii="Microsoft JhengHei" w:eastAsia="Microsoft JhengHei"/>
          <w:b/>
          <w:spacing w:val="-2"/>
          <w:sz w:val="21"/>
          <w:u w:val="thick"/>
        </w:rPr>
        <w:t>三日</w:t>
      </w:r>
      <w:r>
        <w:rPr>
          <w:spacing w:val="-2"/>
          <w:sz w:val="21"/>
        </w:rPr>
        <w:t>前，有权决定延长投标截止时间和开标时间，并</w:t>
      </w:r>
      <w:r>
        <w:rPr>
          <w:spacing w:val="-2"/>
          <w:sz w:val="21"/>
        </w:rPr>
        <w:t>在原采购信息发布媒体上发布变更公告。</w:t>
      </w:r>
    </w:p>
    <w:p>
      <w:pPr>
        <w:pStyle w:val="ListParagraph"/>
        <w:numPr>
          <w:ilvl w:val="1"/>
          <w:numId w:val="36"/>
        </w:numPr>
        <w:tabs>
          <w:tab w:val="left" w:pos="1094"/>
        </w:tabs>
        <w:spacing w:before="11" w:after="0" w:line="236" w:lineRule="exact"/>
        <w:ind w:left="1094" w:right="0" w:hanging="420"/>
        <w:jc w:val="left"/>
        <w:rPr>
          <w:sz w:val="21"/>
        </w:rPr>
      </w:pPr>
      <w:r>
        <w:rPr>
          <w:spacing w:val="-1"/>
          <w:sz w:val="21"/>
        </w:rPr>
        <w:t>投标人应在投标截止时间前关注南京市政府采购网站有关本招标项目有无变更公告。</w:t>
      </w:r>
    </w:p>
    <w:p>
      <w:pPr>
        <w:pStyle w:val="Heading5"/>
        <w:spacing w:line="296" w:lineRule="exact"/>
      </w:pPr>
      <w:r>
        <w:rPr>
          <w:spacing w:val="-2"/>
        </w:rPr>
        <w:t>三、投标文件的编制</w:t>
      </w:r>
    </w:p>
    <w:p>
      <w:pPr>
        <w:spacing w:before="0" w:line="307" w:lineRule="exact"/>
        <w:ind w:left="674" w:right="0" w:firstLine="0"/>
        <w:jc w:val="left"/>
        <w:rPr>
          <w:rFonts w:ascii="Microsoft JhengHei" w:eastAsia="Microsoft JhengHei"/>
          <w:b/>
          <w:sz w:val="21"/>
        </w:rPr>
      </w:pPr>
      <w:r>
        <w:rPr>
          <w:rFonts w:ascii="Microsoft JhengHei" w:eastAsia="Microsoft JhengHei"/>
          <w:b/>
          <w:spacing w:val="-2"/>
          <w:sz w:val="21"/>
        </w:rPr>
        <w:t>7</w:t>
      </w:r>
      <w:r>
        <w:rPr>
          <w:rFonts w:ascii="Microsoft JhengHei" w:eastAsia="Microsoft JhengHei"/>
          <w:b/>
          <w:spacing w:val="-3"/>
          <w:sz w:val="21"/>
        </w:rPr>
        <w:t>、投标文件的语言、计量单位、货币和编制</w:t>
      </w:r>
    </w:p>
    <w:p>
      <w:pPr>
        <w:pStyle w:val="ListParagraph"/>
        <w:numPr>
          <w:ilvl w:val="1"/>
          <w:numId w:val="35"/>
        </w:numPr>
        <w:tabs>
          <w:tab w:val="left" w:pos="1042"/>
        </w:tabs>
        <w:spacing w:before="0" w:after="0" w:line="247" w:lineRule="exact"/>
        <w:ind w:left="1041" w:right="0" w:hanging="368"/>
        <w:jc w:val="left"/>
        <w:rPr>
          <w:sz w:val="21"/>
        </w:rPr>
      </w:pPr>
      <w:r>
        <w:rPr>
          <w:spacing w:val="-3"/>
          <w:sz w:val="21"/>
        </w:rPr>
        <w:t>投标人提交的投标文件、技术文件和资料，包括图纸中的说明，以及投标人与采购中心就有关投标的</w:t>
      </w:r>
    </w:p>
    <w:p>
      <w:pPr>
        <w:pStyle w:val="BodyText"/>
        <w:spacing w:before="4" w:line="242" w:lineRule="auto"/>
        <w:ind w:left="254" w:right="252"/>
      </w:pPr>
      <w:r>
        <w:rPr>
          <w:spacing w:val="-2"/>
        </w:rPr>
        <w:t>所有来往函电均应使用中文。投标文件中若有英文或其他语言文字的资料，应提供相应的中文翻译资料。对</w:t>
      </w:r>
      <w:r>
        <w:rPr>
          <w:spacing w:val="-2"/>
        </w:rPr>
        <w:t>不同文本投标文件的解释发生异议的，以中文文本为准。</w:t>
      </w:r>
    </w:p>
    <w:p>
      <w:pPr>
        <w:pStyle w:val="ListParagraph"/>
        <w:numPr>
          <w:ilvl w:val="1"/>
          <w:numId w:val="35"/>
        </w:numPr>
        <w:tabs>
          <w:tab w:val="left" w:pos="1094"/>
        </w:tabs>
        <w:spacing w:before="1" w:after="0" w:line="240" w:lineRule="auto"/>
        <w:ind w:left="1094" w:right="0" w:hanging="420"/>
        <w:jc w:val="left"/>
        <w:rPr>
          <w:sz w:val="21"/>
        </w:rPr>
      </w:pPr>
      <w:r>
        <w:rPr>
          <w:spacing w:val="-1"/>
          <w:sz w:val="21"/>
        </w:rPr>
        <w:t>投标人所使用的计量单位应为国家法定计量单位。</w:t>
      </w:r>
    </w:p>
    <w:p>
      <w:pPr>
        <w:pStyle w:val="ListParagraph"/>
        <w:numPr>
          <w:ilvl w:val="1"/>
          <w:numId w:val="35"/>
        </w:numPr>
        <w:tabs>
          <w:tab w:val="left" w:pos="1097"/>
        </w:tabs>
        <w:spacing w:before="3" w:after="0" w:line="242" w:lineRule="auto"/>
        <w:ind w:left="254" w:right="252" w:firstLine="420"/>
        <w:jc w:val="left"/>
        <w:rPr>
          <w:sz w:val="21"/>
        </w:rPr>
      </w:pPr>
      <w:r>
        <w:rPr>
          <w:spacing w:val="-2"/>
          <w:sz w:val="21"/>
        </w:rPr>
        <w:t>投标人应用人民币报价。投标产品如果是进口产品的，应提供人民币与美元之间的汇率；报价单位</w:t>
      </w:r>
      <w:r>
        <w:rPr>
          <w:spacing w:val="-2"/>
          <w:sz w:val="21"/>
        </w:rPr>
        <w:t>为“元”。</w:t>
      </w:r>
    </w:p>
    <w:p>
      <w:pPr>
        <w:pStyle w:val="ListParagraph"/>
        <w:numPr>
          <w:ilvl w:val="1"/>
          <w:numId w:val="35"/>
        </w:numPr>
        <w:tabs>
          <w:tab w:val="left" w:pos="1042"/>
        </w:tabs>
        <w:spacing w:before="1" w:after="0" w:line="242" w:lineRule="auto"/>
        <w:ind w:left="254" w:right="251" w:firstLine="420"/>
        <w:jc w:val="left"/>
        <w:rPr>
          <w:sz w:val="21"/>
        </w:rPr>
      </w:pPr>
      <w:r>
        <w:rPr>
          <w:spacing w:val="-2"/>
          <w:sz w:val="21"/>
        </w:rPr>
        <w:t>投标文件应字迹清楚、内容齐全、不得涂改。如有修改，修改处须有投标人公章或投标专用章和法定</w:t>
      </w:r>
      <w:r>
        <w:rPr>
          <w:spacing w:val="-2"/>
          <w:sz w:val="21"/>
        </w:rPr>
        <w:t>代表人或其授权的投标人代表签字。</w:t>
      </w:r>
    </w:p>
    <w:p>
      <w:pPr>
        <w:pStyle w:val="ListParagraph"/>
        <w:numPr>
          <w:ilvl w:val="1"/>
          <w:numId w:val="35"/>
        </w:numPr>
        <w:tabs>
          <w:tab w:val="left" w:pos="1042"/>
        </w:tabs>
        <w:spacing w:before="2" w:after="0" w:line="242" w:lineRule="auto"/>
        <w:ind w:left="254" w:right="251" w:firstLine="420"/>
        <w:jc w:val="left"/>
        <w:rPr>
          <w:sz w:val="21"/>
        </w:rPr>
      </w:pPr>
      <w:r>
        <w:rPr>
          <w:spacing w:val="-2"/>
          <w:sz w:val="21"/>
        </w:rPr>
        <w:t>投标文件应按照招标文件规定的顺序，统一用A4规格幅面打印、装订成册并编制目录，由于编排混乱</w:t>
      </w:r>
      <w:r>
        <w:rPr>
          <w:spacing w:val="-2"/>
          <w:sz w:val="21"/>
        </w:rPr>
        <w:t>导致投标文件被误读或查找不到，责任由投标人承担。</w:t>
      </w:r>
    </w:p>
    <w:p>
      <w:pPr>
        <w:pStyle w:val="ListParagraph"/>
        <w:numPr>
          <w:ilvl w:val="1"/>
          <w:numId w:val="35"/>
        </w:numPr>
        <w:tabs>
          <w:tab w:val="left" w:pos="1094"/>
        </w:tabs>
        <w:spacing w:before="1" w:after="0" w:line="240" w:lineRule="auto"/>
        <w:ind w:left="1094" w:right="0" w:hanging="420"/>
        <w:jc w:val="left"/>
        <w:rPr>
          <w:sz w:val="21"/>
        </w:rPr>
      </w:pPr>
      <w:r>
        <w:rPr>
          <w:spacing w:val="-1"/>
          <w:sz w:val="21"/>
        </w:rPr>
        <w:t>投标人应在投标文件中写清相应的项目编号、项目名称、投标人全称、地址、电话、传真等。</w:t>
      </w:r>
    </w:p>
    <w:p>
      <w:pPr>
        <w:pStyle w:val="ListParagraph"/>
        <w:numPr>
          <w:ilvl w:val="1"/>
          <w:numId w:val="35"/>
        </w:numPr>
        <w:tabs>
          <w:tab w:val="left" w:pos="1086"/>
        </w:tabs>
        <w:spacing w:before="3" w:after="0" w:line="242" w:lineRule="auto"/>
        <w:ind w:left="254" w:right="251" w:firstLine="411"/>
        <w:jc w:val="left"/>
        <w:rPr>
          <w:sz w:val="21"/>
        </w:rPr>
      </w:pPr>
      <w:r>
        <w:rPr>
          <w:spacing w:val="-4"/>
          <w:sz w:val="21"/>
        </w:rPr>
        <w:t>投标人根据招标文件载明的标的采购项目实际情况，拟在中标后将中标项目的非主体、非关键性工作</w:t>
      </w:r>
      <w:r>
        <w:rPr>
          <w:spacing w:val="-2"/>
          <w:sz w:val="21"/>
        </w:rPr>
        <w:t>交由他人完成的，应当在投标文件中载明</w:t>
      </w:r>
    </w:p>
    <w:p>
      <w:pPr>
        <w:pStyle w:val="Heading5"/>
        <w:spacing w:line="296" w:lineRule="exact"/>
      </w:pPr>
      <w:r>
        <w:rPr>
          <w:spacing w:val="-4"/>
        </w:rPr>
        <w:t>8</w:t>
      </w:r>
      <w:r>
        <w:rPr>
          <w:spacing w:val="-5"/>
        </w:rPr>
        <w:t>、投标文件的组成</w:t>
      </w:r>
    </w:p>
    <w:p>
      <w:pPr>
        <w:pStyle w:val="ListParagraph"/>
        <w:numPr>
          <w:ilvl w:val="1"/>
          <w:numId w:val="34"/>
        </w:numPr>
        <w:tabs>
          <w:tab w:val="left" w:pos="1042"/>
        </w:tabs>
        <w:spacing w:before="32" w:after="0" w:line="177" w:lineRule="auto"/>
        <w:ind w:left="254" w:right="251" w:firstLine="420"/>
        <w:jc w:val="both"/>
        <w:rPr>
          <w:rFonts w:ascii="Microsoft JhengHei" w:eastAsia="Microsoft JhengHei" w:hAnsi="Microsoft JhengHei"/>
          <w:b/>
          <w:sz w:val="21"/>
        </w:rPr>
      </w:pPr>
      <w:r>
        <w:rPr>
          <w:spacing w:val="-5"/>
          <w:sz w:val="21"/>
        </w:rPr>
        <w:t>投标人应当根据招标文件要求编制投标文件，投标文件应对招标文件提出的要求和条件作出实质性响</w:t>
      </w:r>
      <w:r>
        <w:rPr>
          <w:spacing w:val="-2"/>
          <w:sz w:val="21"/>
        </w:rPr>
        <w:t>应，并在《商务条款偏离表》和《技术规格偏离表》等处逐条标明满足与否。</w:t>
      </w:r>
      <w:r>
        <w:rPr>
          <w:rFonts w:ascii="Microsoft JhengHei" w:eastAsia="Microsoft JhengHei" w:hAnsi="Microsoft JhengHei"/>
          <w:b/>
          <w:spacing w:val="-2"/>
          <w:sz w:val="21"/>
        </w:rPr>
        <w:t>对带星号（“*”）的技术参数</w:t>
      </w:r>
      <w:r>
        <w:rPr>
          <w:rFonts w:ascii="Microsoft JhengHei" w:eastAsia="Microsoft JhengHei" w:hAnsi="Microsoft JhengHei"/>
          <w:b/>
          <w:spacing w:val="-2"/>
          <w:sz w:val="21"/>
        </w:rPr>
        <w:t>必须在投标文件中提供技术支持资料（如白皮书、彩页、手册、检测报告等），未提供技术支持资料的，评</w:t>
      </w:r>
      <w:r>
        <w:rPr>
          <w:rFonts w:ascii="Microsoft JhengHei" w:eastAsia="Microsoft JhengHei" w:hAnsi="Microsoft JhengHei"/>
          <w:b/>
          <w:spacing w:val="-2"/>
          <w:sz w:val="21"/>
        </w:rPr>
        <w:t>标时不予认可。</w:t>
      </w:r>
    </w:p>
    <w:p>
      <w:pPr>
        <w:pStyle w:val="ListParagraph"/>
        <w:numPr>
          <w:ilvl w:val="1"/>
          <w:numId w:val="34"/>
        </w:numPr>
        <w:tabs>
          <w:tab w:val="left" w:pos="1094"/>
        </w:tabs>
        <w:spacing w:before="0" w:after="0" w:line="214" w:lineRule="exact"/>
        <w:ind w:left="1094" w:right="0" w:hanging="420"/>
        <w:jc w:val="both"/>
        <w:rPr>
          <w:sz w:val="21"/>
        </w:rPr>
      </w:pPr>
      <w:r>
        <w:rPr>
          <w:spacing w:val="-1"/>
          <w:sz w:val="21"/>
        </w:rPr>
        <w:t>投标文件由商务部分、技术部分、价格部分，以及其他部分组成。</w:t>
      </w:r>
    </w:p>
    <w:p>
      <w:pPr>
        <w:pStyle w:val="Heading5"/>
        <w:spacing w:line="331" w:lineRule="exact"/>
      </w:pPr>
      <w:r>
        <w:rPr>
          <w:spacing w:val="-4"/>
        </w:rPr>
        <w:t>9</w:t>
      </w:r>
      <w:r>
        <w:rPr>
          <w:spacing w:val="-5"/>
        </w:rPr>
        <w:t>、投标文件的商务部分</w:t>
      </w:r>
    </w:p>
    <w:p>
      <w:pPr>
        <w:pStyle w:val="ListParagraph"/>
        <w:numPr>
          <w:ilvl w:val="1"/>
          <w:numId w:val="43"/>
        </w:numPr>
        <w:tabs>
          <w:tab w:val="left" w:pos="1042"/>
        </w:tabs>
        <w:spacing w:before="0" w:after="0" w:line="247" w:lineRule="exact"/>
        <w:ind w:left="1041" w:right="0" w:hanging="368"/>
        <w:jc w:val="left"/>
        <w:rPr>
          <w:sz w:val="21"/>
        </w:rPr>
      </w:pPr>
      <w:r>
        <w:rPr>
          <w:spacing w:val="-3"/>
          <w:sz w:val="21"/>
        </w:rPr>
        <w:t>商务部分是证明投标人有资格参加投标和中标后有能力履行合同的文件，这些文件应能满足招标的要</w:t>
      </w:r>
    </w:p>
    <w:p>
      <w:pPr>
        <w:pStyle w:val="BodyText"/>
        <w:spacing w:before="4"/>
        <w:ind w:left="254"/>
      </w:pPr>
      <w:r>
        <w:t>求，包括但不限于下列文件，其中加</w:t>
      </w:r>
      <w:r>
        <w:rPr>
          <w:rFonts w:ascii="Times New Roman" w:eastAsia="Times New Roman"/>
        </w:rPr>
        <w:t>*</w:t>
      </w:r>
      <w:r>
        <w:rPr>
          <w:spacing w:val="-1"/>
        </w:rPr>
        <w:t>项目不得有缺失或无效。</w:t>
      </w:r>
    </w:p>
    <w:p>
      <w:pPr>
        <w:pStyle w:val="ListParagraph"/>
        <w:numPr>
          <w:ilvl w:val="0"/>
          <w:numId w:val="33"/>
        </w:numPr>
        <w:tabs>
          <w:tab w:val="left" w:pos="1200"/>
        </w:tabs>
        <w:spacing w:before="3" w:after="0" w:line="240" w:lineRule="auto"/>
        <w:ind w:left="1200" w:right="0" w:hanging="526"/>
        <w:jc w:val="left"/>
        <w:rPr>
          <w:sz w:val="21"/>
        </w:rPr>
      </w:pPr>
      <w:r>
        <w:rPr>
          <w:sz w:val="21"/>
        </w:rPr>
        <w:t>* 投标函（投标申请及声明</w:t>
      </w:r>
      <w:r>
        <w:rPr>
          <w:spacing w:val="-5"/>
          <w:sz w:val="21"/>
        </w:rPr>
        <w:t>）；</w:t>
      </w:r>
    </w:p>
    <w:p>
      <w:pPr>
        <w:pStyle w:val="ListParagraph"/>
        <w:numPr>
          <w:ilvl w:val="0"/>
          <w:numId w:val="33"/>
        </w:numPr>
        <w:tabs>
          <w:tab w:val="left" w:pos="1200"/>
        </w:tabs>
        <w:spacing w:before="3" w:after="0" w:line="240" w:lineRule="auto"/>
        <w:ind w:left="1200" w:right="0" w:hanging="526"/>
        <w:jc w:val="left"/>
        <w:rPr>
          <w:sz w:val="21"/>
        </w:rPr>
      </w:pPr>
      <w:r>
        <w:rPr>
          <w:sz w:val="21"/>
        </w:rPr>
        <w:t>* 法定代表人授权委托书原件及委托代理人的身份证复印件（原件备查</w:t>
      </w:r>
      <w:r>
        <w:rPr>
          <w:spacing w:val="-5"/>
          <w:sz w:val="21"/>
        </w:rPr>
        <w:t>）；</w:t>
      </w:r>
    </w:p>
    <w:p>
      <w:pPr>
        <w:pStyle w:val="ListParagraph"/>
        <w:numPr>
          <w:ilvl w:val="0"/>
          <w:numId w:val="33"/>
        </w:numPr>
        <w:tabs>
          <w:tab w:val="left" w:pos="1200"/>
        </w:tabs>
        <w:spacing w:before="3" w:after="0" w:line="240" w:lineRule="auto"/>
        <w:ind w:left="1200" w:right="0" w:hanging="526"/>
        <w:jc w:val="left"/>
        <w:rPr>
          <w:sz w:val="21"/>
        </w:rPr>
      </w:pPr>
      <w:r>
        <w:rPr>
          <w:sz w:val="21"/>
        </w:rPr>
        <w:t>*</w:t>
      </w:r>
      <w:r>
        <w:rPr>
          <w:spacing w:val="-2"/>
          <w:sz w:val="21"/>
        </w:rPr>
        <w:t xml:space="preserve"> 投标保证金</w:t>
      </w:r>
    </w:p>
    <w:p>
      <w:pPr>
        <w:pStyle w:val="ListParagraph"/>
        <w:numPr>
          <w:ilvl w:val="0"/>
          <w:numId w:val="33"/>
        </w:numPr>
        <w:tabs>
          <w:tab w:val="left" w:pos="1200"/>
        </w:tabs>
        <w:spacing w:before="4" w:after="0" w:line="242" w:lineRule="auto"/>
        <w:ind w:left="254" w:right="251" w:firstLine="420"/>
        <w:jc w:val="left"/>
        <w:rPr>
          <w:sz w:val="21"/>
        </w:rPr>
      </w:pPr>
      <w:r>
        <w:rPr>
          <w:sz w:val="21"/>
        </w:rPr>
        <w:t>*</w:t>
      </w:r>
      <w:r>
        <w:rPr>
          <w:spacing w:val="-6"/>
          <w:sz w:val="21"/>
        </w:rPr>
        <w:t xml:space="preserve"> 法人、其他组织的营业执照</w:t>
      </w:r>
      <w:r>
        <w:rPr>
          <w:sz w:val="21"/>
        </w:rPr>
        <w:t>（副本复印件）；投标人是自然人的，提供自然人的身份证明（复印</w:t>
      </w:r>
      <w:r>
        <w:rPr>
          <w:spacing w:val="-4"/>
          <w:sz w:val="21"/>
        </w:rPr>
        <w:t>件）；</w:t>
      </w:r>
    </w:p>
    <w:p>
      <w:pPr>
        <w:pStyle w:val="ListParagraph"/>
        <w:numPr>
          <w:ilvl w:val="0"/>
          <w:numId w:val="33"/>
        </w:numPr>
        <w:tabs>
          <w:tab w:val="left" w:pos="1200"/>
        </w:tabs>
        <w:spacing w:before="1" w:after="0" w:line="240" w:lineRule="auto"/>
        <w:ind w:left="1200" w:right="0" w:hanging="526"/>
        <w:jc w:val="left"/>
        <w:rPr>
          <w:sz w:val="21"/>
        </w:rPr>
      </w:pPr>
      <w:r>
        <w:rPr>
          <w:sz w:val="21"/>
        </w:rPr>
        <w:t>会计师事务所出具的证明其财务状况的上一年度审验报告（复印件</w:t>
      </w:r>
      <w:r>
        <w:rPr>
          <w:spacing w:val="-5"/>
          <w:sz w:val="21"/>
        </w:rPr>
        <w:t>）；</w:t>
      </w:r>
    </w:p>
    <w:p>
      <w:pPr>
        <w:pStyle w:val="ListParagraph"/>
        <w:numPr>
          <w:ilvl w:val="0"/>
          <w:numId w:val="33"/>
        </w:numPr>
        <w:tabs>
          <w:tab w:val="left" w:pos="1200"/>
        </w:tabs>
        <w:spacing w:before="3" w:after="0" w:line="240" w:lineRule="auto"/>
        <w:ind w:left="1200" w:right="0" w:hanging="526"/>
        <w:jc w:val="left"/>
        <w:rPr>
          <w:sz w:val="21"/>
        </w:rPr>
      </w:pPr>
      <w:r>
        <w:rPr>
          <w:sz w:val="21"/>
        </w:rPr>
        <w:t>依法缴纳税收证明（是指税务部门出具的完税证明）（复印件</w:t>
      </w:r>
      <w:r>
        <w:rPr>
          <w:spacing w:val="-5"/>
          <w:sz w:val="21"/>
        </w:rPr>
        <w:t>）；</w:t>
      </w:r>
    </w:p>
    <w:p>
      <w:pPr>
        <w:pStyle w:val="ListParagraph"/>
        <w:numPr>
          <w:ilvl w:val="0"/>
          <w:numId w:val="33"/>
        </w:numPr>
        <w:tabs>
          <w:tab w:val="left" w:pos="1200"/>
        </w:tabs>
        <w:spacing w:before="3" w:after="0" w:line="240" w:lineRule="auto"/>
        <w:ind w:left="1200" w:right="0" w:hanging="526"/>
        <w:jc w:val="left"/>
        <w:rPr>
          <w:sz w:val="21"/>
        </w:rPr>
      </w:pPr>
      <w:r>
        <w:rPr>
          <w:sz w:val="21"/>
        </w:rPr>
        <w:t>*</w:t>
      </w:r>
      <w:r>
        <w:rPr>
          <w:spacing w:val="-1"/>
          <w:sz w:val="21"/>
        </w:rPr>
        <w:t>《商务条款偏离表》；</w:t>
      </w:r>
    </w:p>
    <w:p>
      <w:pPr>
        <w:pStyle w:val="ListParagraph"/>
        <w:numPr>
          <w:ilvl w:val="0"/>
          <w:numId w:val="33"/>
        </w:numPr>
        <w:tabs>
          <w:tab w:val="left" w:pos="1200"/>
        </w:tabs>
        <w:spacing w:before="4" w:after="0" w:line="240" w:lineRule="auto"/>
        <w:ind w:left="1200" w:right="0" w:hanging="526"/>
        <w:jc w:val="left"/>
        <w:rPr>
          <w:sz w:val="21"/>
        </w:rPr>
      </w:pPr>
      <w:r>
        <w:rPr>
          <w:sz w:val="21"/>
        </w:rPr>
        <w:t>*</w:t>
      </w:r>
      <w:r>
        <w:rPr>
          <w:spacing w:val="-2"/>
          <w:sz w:val="21"/>
        </w:rPr>
        <w:t>售后服务承诺书；</w:t>
      </w:r>
    </w:p>
    <w:p>
      <w:pPr>
        <w:pStyle w:val="ListParagraph"/>
        <w:numPr>
          <w:ilvl w:val="0"/>
          <w:numId w:val="33"/>
        </w:numPr>
        <w:tabs>
          <w:tab w:val="left" w:pos="1200"/>
        </w:tabs>
        <w:spacing w:before="3" w:after="0" w:line="240" w:lineRule="auto"/>
        <w:ind w:left="1200" w:right="0" w:hanging="526"/>
        <w:jc w:val="left"/>
        <w:rPr>
          <w:sz w:val="21"/>
        </w:rPr>
      </w:pPr>
      <w:r>
        <w:rPr>
          <w:spacing w:val="-3"/>
          <w:sz w:val="21"/>
        </w:rPr>
        <w:t>合同条款</w:t>
      </w:r>
    </w:p>
    <w:p>
      <w:pPr>
        <w:pStyle w:val="ListParagraph"/>
        <w:numPr>
          <w:ilvl w:val="0"/>
          <w:numId w:val="33"/>
        </w:numPr>
        <w:tabs>
          <w:tab w:val="left" w:pos="1305"/>
        </w:tabs>
        <w:spacing w:before="3" w:after="0" w:line="240" w:lineRule="auto"/>
        <w:ind w:left="1305" w:right="0" w:hanging="631"/>
        <w:jc w:val="left"/>
        <w:rPr>
          <w:sz w:val="21"/>
        </w:rPr>
      </w:pPr>
      <w:r>
        <w:rPr>
          <w:sz w:val="21"/>
        </w:rPr>
        <w:t>*</w:t>
      </w:r>
      <w:r>
        <w:rPr>
          <w:spacing w:val="-1"/>
          <w:sz w:val="21"/>
        </w:rPr>
        <w:t>采购人根据采购项目的特殊要求规定的特定条件证明；(提供复印件并加盖公章，原件备查)</w:t>
      </w:r>
    </w:p>
    <w:p>
      <w:pPr>
        <w:pStyle w:val="ListParagraph"/>
        <w:numPr>
          <w:ilvl w:val="0"/>
          <w:numId w:val="33"/>
        </w:numPr>
        <w:tabs>
          <w:tab w:val="left" w:pos="1305"/>
        </w:tabs>
        <w:spacing w:before="4" w:after="0" w:line="236" w:lineRule="exact"/>
        <w:ind w:left="1305" w:right="0" w:hanging="631"/>
        <w:jc w:val="left"/>
        <w:rPr>
          <w:sz w:val="21"/>
        </w:rPr>
      </w:pPr>
      <w:r>
        <w:rPr>
          <w:spacing w:val="-1"/>
          <w:sz w:val="21"/>
        </w:rPr>
        <w:t>投标人认为需要提供的其他资格证明文件和商务资料。</w:t>
      </w:r>
    </w:p>
    <w:p>
      <w:pPr>
        <w:pStyle w:val="Heading5"/>
        <w:spacing w:line="331" w:lineRule="exact"/>
      </w:pPr>
      <w:r>
        <w:rPr>
          <w:spacing w:val="-4"/>
        </w:rPr>
        <w:t>10</w:t>
      </w:r>
      <w:r>
        <w:rPr>
          <w:spacing w:val="-5"/>
        </w:rPr>
        <w:t>、投标文件的技术部分</w:t>
      </w:r>
    </w:p>
    <w:p>
      <w:pPr>
        <w:pStyle w:val="ListParagraph"/>
        <w:numPr>
          <w:ilvl w:val="1"/>
          <w:numId w:val="32"/>
        </w:numPr>
        <w:tabs>
          <w:tab w:val="left" w:pos="1199"/>
        </w:tabs>
        <w:spacing w:before="0" w:after="0" w:line="247" w:lineRule="exact"/>
        <w:ind w:left="1199" w:right="0" w:hanging="525"/>
        <w:jc w:val="left"/>
        <w:rPr>
          <w:sz w:val="21"/>
        </w:rPr>
      </w:pPr>
      <w:r>
        <w:rPr>
          <w:spacing w:val="-3"/>
          <w:sz w:val="21"/>
        </w:rPr>
        <w:t>技术部分是证明投标人投标的货物和服务是合格的、并符合招标文件要求的证明文件，以及对投标</w:t>
      </w:r>
    </w:p>
    <w:p>
      <w:pPr>
        <w:pStyle w:val="BodyText"/>
        <w:spacing w:before="3"/>
        <w:ind w:left="254"/>
      </w:pPr>
      <w:r>
        <w:rPr>
          <w:spacing w:val="-1"/>
        </w:rPr>
        <w:t>报价表中的货物的详细说明，这些文件可以是文字资料、图纸和数据等。</w:t>
      </w:r>
    </w:p>
    <w:p>
      <w:pPr>
        <w:spacing w:after="0"/>
        <w:sectPr>
          <w:headerReference w:type="default" r:id="rId12"/>
          <w:footerReference w:type="default" r:id="rId13"/>
          <w:pgSz w:w="12240" w:h="15840"/>
          <w:pgMar w:top="1080" w:right="880" w:bottom="920" w:left="880" w:header="748" w:footer="731"/>
          <w:pgNumType w:start="5"/>
          <w:cols w:space="708"/>
        </w:sectPr>
      </w:pPr>
    </w:p>
    <w:p>
      <w:pPr>
        <w:pStyle w:val="BodyText"/>
        <w:spacing w:before="6"/>
        <w:rPr>
          <w:sz w:val="20"/>
        </w:rPr>
      </w:pPr>
    </w:p>
    <w:p>
      <w:pPr>
        <w:pStyle w:val="ListParagraph"/>
        <w:numPr>
          <w:ilvl w:val="1"/>
          <w:numId w:val="32"/>
        </w:numPr>
        <w:tabs>
          <w:tab w:val="left" w:pos="1199"/>
        </w:tabs>
        <w:spacing w:before="71" w:after="0" w:line="240" w:lineRule="auto"/>
        <w:ind w:left="1199" w:right="0" w:hanging="525"/>
        <w:jc w:val="left"/>
        <w:rPr>
          <w:sz w:val="21"/>
        </w:rPr>
      </w:pPr>
      <w:r>
        <w:rPr>
          <w:spacing w:val="-1"/>
          <w:sz w:val="21"/>
        </w:rPr>
        <w:t>若技术性能无特殊说明，则按国家有关部门最新颁布的标准及规范为准；</w:t>
      </w:r>
    </w:p>
    <w:p>
      <w:pPr>
        <w:pStyle w:val="ListParagraph"/>
        <w:numPr>
          <w:ilvl w:val="1"/>
          <w:numId w:val="32"/>
        </w:numPr>
        <w:tabs>
          <w:tab w:val="left" w:pos="1199"/>
        </w:tabs>
        <w:spacing w:before="3" w:after="0" w:line="242" w:lineRule="auto"/>
        <w:ind w:left="254" w:right="251" w:firstLine="420"/>
        <w:jc w:val="left"/>
        <w:rPr>
          <w:sz w:val="21"/>
        </w:rPr>
      </w:pPr>
      <w:r>
        <w:rPr>
          <w:spacing w:val="-2"/>
          <w:sz w:val="21"/>
        </w:rPr>
        <w:t>投标货物如与招标文件要求有不符之处，应说明其差别之所在，并在《技术规格偏离表》中逐条予</w:t>
      </w:r>
      <w:r>
        <w:rPr>
          <w:spacing w:val="-4"/>
          <w:sz w:val="21"/>
        </w:rPr>
        <w:t>以说明。</w:t>
      </w:r>
    </w:p>
    <w:p>
      <w:pPr>
        <w:pStyle w:val="ListParagraph"/>
        <w:numPr>
          <w:ilvl w:val="1"/>
          <w:numId w:val="32"/>
        </w:numPr>
        <w:tabs>
          <w:tab w:val="left" w:pos="1147"/>
        </w:tabs>
        <w:spacing w:before="1" w:after="0" w:line="242" w:lineRule="auto"/>
        <w:ind w:left="254" w:right="251" w:firstLine="420"/>
        <w:jc w:val="left"/>
        <w:rPr>
          <w:sz w:val="21"/>
        </w:rPr>
      </w:pPr>
      <w:r>
        <w:rPr>
          <w:spacing w:val="-2"/>
          <w:sz w:val="21"/>
        </w:rPr>
        <w:t>投标文件应按照招标文件要求提供技术资料、文件和有关证明，包括但不限于其中加*项目不得有缺</w:t>
      </w:r>
      <w:r>
        <w:rPr>
          <w:spacing w:val="-2"/>
          <w:sz w:val="21"/>
        </w:rPr>
        <w:t>失或无效：</w:t>
      </w:r>
    </w:p>
    <w:p>
      <w:pPr>
        <w:pStyle w:val="ListParagraph"/>
        <w:numPr>
          <w:ilvl w:val="0"/>
          <w:numId w:val="31"/>
        </w:numPr>
        <w:tabs>
          <w:tab w:val="left" w:pos="1200"/>
        </w:tabs>
        <w:spacing w:before="2" w:after="0" w:line="240" w:lineRule="auto"/>
        <w:ind w:left="1200" w:right="0" w:hanging="526"/>
        <w:jc w:val="left"/>
        <w:rPr>
          <w:sz w:val="21"/>
        </w:rPr>
      </w:pPr>
      <w:r>
        <w:rPr>
          <w:sz w:val="21"/>
        </w:rPr>
        <w:t>*</w:t>
      </w:r>
      <w:r>
        <w:rPr>
          <w:spacing w:val="-1"/>
          <w:sz w:val="21"/>
        </w:rPr>
        <w:t xml:space="preserve"> 货物品牌、型号、材质、主要技术指标和性能、制造商、生产企业名称等详细说明；</w:t>
      </w:r>
    </w:p>
    <w:p>
      <w:pPr>
        <w:pStyle w:val="ListParagraph"/>
        <w:numPr>
          <w:ilvl w:val="0"/>
          <w:numId w:val="31"/>
        </w:numPr>
        <w:tabs>
          <w:tab w:val="left" w:pos="1200"/>
        </w:tabs>
        <w:spacing w:before="3" w:after="0" w:line="240" w:lineRule="auto"/>
        <w:ind w:left="1200" w:right="0" w:hanging="526"/>
        <w:jc w:val="left"/>
        <w:rPr>
          <w:sz w:val="21"/>
        </w:rPr>
      </w:pPr>
      <w:r>
        <w:rPr>
          <w:sz w:val="21"/>
        </w:rPr>
        <w:t>*</w:t>
      </w:r>
      <w:r>
        <w:rPr>
          <w:spacing w:val="-1"/>
          <w:sz w:val="21"/>
        </w:rPr>
        <w:t>《技术条款偏离表》；</w:t>
      </w:r>
    </w:p>
    <w:p>
      <w:pPr>
        <w:pStyle w:val="ListParagraph"/>
        <w:numPr>
          <w:ilvl w:val="0"/>
          <w:numId w:val="31"/>
        </w:numPr>
        <w:tabs>
          <w:tab w:val="left" w:pos="1200"/>
        </w:tabs>
        <w:spacing w:before="3" w:after="0" w:line="240" w:lineRule="auto"/>
        <w:ind w:left="1200" w:right="0" w:hanging="526"/>
        <w:jc w:val="left"/>
        <w:rPr>
          <w:sz w:val="21"/>
        </w:rPr>
      </w:pPr>
      <w:r>
        <w:rPr>
          <w:sz w:val="21"/>
        </w:rPr>
        <w:t>*</w:t>
      </w:r>
      <w:r>
        <w:rPr>
          <w:spacing w:val="-2"/>
          <w:sz w:val="21"/>
        </w:rPr>
        <w:t>《供货一览表》；</w:t>
      </w:r>
    </w:p>
    <w:p>
      <w:pPr>
        <w:pStyle w:val="ListParagraph"/>
        <w:numPr>
          <w:ilvl w:val="0"/>
          <w:numId w:val="31"/>
        </w:numPr>
        <w:tabs>
          <w:tab w:val="left" w:pos="1200"/>
        </w:tabs>
        <w:spacing w:before="3" w:after="0" w:line="240" w:lineRule="auto"/>
        <w:ind w:left="1200" w:right="0" w:hanging="526"/>
        <w:jc w:val="left"/>
        <w:rPr>
          <w:sz w:val="21"/>
        </w:rPr>
      </w:pPr>
      <w:r>
        <w:rPr>
          <w:spacing w:val="-1"/>
          <w:sz w:val="21"/>
        </w:rPr>
        <w:t>货物安装、验收标准、货物技术资料；</w:t>
      </w:r>
    </w:p>
    <w:p>
      <w:pPr>
        <w:pStyle w:val="ListParagraph"/>
        <w:numPr>
          <w:ilvl w:val="0"/>
          <w:numId w:val="31"/>
        </w:numPr>
        <w:tabs>
          <w:tab w:val="left" w:pos="1200"/>
        </w:tabs>
        <w:spacing w:before="4" w:after="0" w:line="240" w:lineRule="auto"/>
        <w:ind w:left="1200" w:right="0" w:hanging="526"/>
        <w:jc w:val="left"/>
        <w:rPr>
          <w:sz w:val="21"/>
        </w:rPr>
      </w:pPr>
      <w:r>
        <w:rPr>
          <w:sz w:val="21"/>
        </w:rPr>
        <w:t>项目集成（实施）</w:t>
      </w:r>
      <w:r>
        <w:rPr>
          <w:spacing w:val="-4"/>
          <w:sz w:val="21"/>
        </w:rPr>
        <w:t>方案；</w:t>
      </w:r>
    </w:p>
    <w:p>
      <w:pPr>
        <w:pStyle w:val="ListParagraph"/>
        <w:numPr>
          <w:ilvl w:val="0"/>
          <w:numId w:val="31"/>
        </w:numPr>
        <w:tabs>
          <w:tab w:val="left" w:pos="1200"/>
        </w:tabs>
        <w:spacing w:before="3" w:after="0" w:line="236" w:lineRule="exact"/>
        <w:ind w:left="1200" w:right="0" w:hanging="526"/>
        <w:jc w:val="left"/>
        <w:rPr>
          <w:sz w:val="21"/>
        </w:rPr>
      </w:pPr>
      <w:r>
        <w:rPr>
          <w:spacing w:val="-1"/>
          <w:sz w:val="21"/>
        </w:rPr>
        <w:t>投标人认为需要提供的其他技术资料。</w:t>
      </w:r>
    </w:p>
    <w:p>
      <w:pPr>
        <w:pStyle w:val="Heading5"/>
        <w:spacing w:line="331" w:lineRule="exact"/>
      </w:pPr>
      <w:r>
        <w:rPr>
          <w:spacing w:val="-4"/>
        </w:rPr>
        <w:t>11</w:t>
      </w:r>
      <w:r>
        <w:rPr>
          <w:spacing w:val="-5"/>
        </w:rPr>
        <w:t>、投标文件的价格部分</w:t>
      </w:r>
    </w:p>
    <w:p>
      <w:pPr>
        <w:pStyle w:val="ListParagraph"/>
        <w:numPr>
          <w:ilvl w:val="1"/>
          <w:numId w:val="30"/>
        </w:numPr>
        <w:tabs>
          <w:tab w:val="left" w:pos="1199"/>
        </w:tabs>
        <w:spacing w:before="0" w:after="0" w:line="247" w:lineRule="exact"/>
        <w:ind w:left="1199" w:right="0" w:hanging="525"/>
        <w:jc w:val="left"/>
        <w:rPr>
          <w:sz w:val="21"/>
        </w:rPr>
      </w:pPr>
      <w:r>
        <w:rPr>
          <w:spacing w:val="-1"/>
          <w:sz w:val="21"/>
        </w:rPr>
        <w:t>价格部分是对投标货物价格构成的说明，每一项货物仅接受一个价格。</w:t>
      </w:r>
    </w:p>
    <w:p>
      <w:pPr>
        <w:pStyle w:val="ListParagraph"/>
        <w:numPr>
          <w:ilvl w:val="1"/>
          <w:numId w:val="30"/>
        </w:numPr>
        <w:tabs>
          <w:tab w:val="left" w:pos="1147"/>
        </w:tabs>
        <w:spacing w:before="3" w:after="0" w:line="242" w:lineRule="auto"/>
        <w:ind w:left="254" w:right="146" w:firstLine="420"/>
        <w:jc w:val="left"/>
        <w:rPr>
          <w:sz w:val="21"/>
        </w:rPr>
      </w:pPr>
      <w:r>
        <w:rPr>
          <w:sz w:val="21"/>
        </w:rPr>
        <w:t>报价应包含设备材料供应及安装调试【含设备设计、制造、商检、计量、包装、仓储、运输、基础制作、安装、调试、试运行、第三方检测（100%</w:t>
      </w:r>
      <w:r>
        <w:rPr>
          <w:spacing w:val="-3"/>
          <w:sz w:val="21"/>
        </w:rPr>
        <w:t>）</w:t>
      </w:r>
      <w:r>
        <w:rPr>
          <w:spacing w:val="-1"/>
          <w:sz w:val="21"/>
        </w:rPr>
        <w:t>、验收、培训及服务等】及保修期内备品备件、伴随服务、</w:t>
      </w:r>
      <w:r>
        <w:rPr>
          <w:sz w:val="21"/>
        </w:rPr>
        <w:t>人员培训发生的所有含税费用，以及支付给员工的工资和国家强制缴纳的各种社会保障资金等。</w:t>
      </w:r>
    </w:p>
    <w:p>
      <w:pPr>
        <w:pStyle w:val="ListParagraph"/>
        <w:numPr>
          <w:ilvl w:val="1"/>
          <w:numId w:val="30"/>
        </w:numPr>
        <w:tabs>
          <w:tab w:val="left" w:pos="1199"/>
        </w:tabs>
        <w:spacing w:before="2" w:after="0" w:line="240" w:lineRule="auto"/>
        <w:ind w:left="1199" w:right="0" w:hanging="525"/>
        <w:jc w:val="left"/>
        <w:rPr>
          <w:sz w:val="21"/>
        </w:rPr>
      </w:pPr>
      <w:r>
        <w:rPr>
          <w:spacing w:val="-5"/>
          <w:sz w:val="21"/>
        </w:rPr>
        <w:t>投标人的任何错漏、优惠、竞争性报价不得作为减轻责任、减少服务、增加收费、降低质量的理由。</w:t>
      </w:r>
    </w:p>
    <w:p>
      <w:pPr>
        <w:pStyle w:val="ListParagraph"/>
        <w:numPr>
          <w:ilvl w:val="1"/>
          <w:numId w:val="30"/>
        </w:numPr>
        <w:tabs>
          <w:tab w:val="left" w:pos="1199"/>
        </w:tabs>
        <w:spacing w:before="3" w:after="0" w:line="242" w:lineRule="auto"/>
        <w:ind w:left="254" w:right="146" w:firstLine="420"/>
        <w:jc w:val="left"/>
        <w:rPr>
          <w:sz w:val="21"/>
        </w:rPr>
      </w:pPr>
      <w:r>
        <w:rPr>
          <w:spacing w:val="-12"/>
          <w:sz w:val="21"/>
        </w:rPr>
        <w:t>投标人应在《开标一览表》、《投标分项报价》等标明投标货物和服务的单价、总价以及分项报价。</w:t>
      </w:r>
      <w:r>
        <w:rPr>
          <w:spacing w:val="2"/>
          <w:sz w:val="21"/>
        </w:rPr>
        <w:t>投标人系中小企业（含中型、小型、微型企业）</w:t>
      </w:r>
      <w:r>
        <w:rPr>
          <w:spacing w:val="1"/>
          <w:sz w:val="21"/>
        </w:rPr>
        <w:t>，并提供本企业制造的货物、承担的工程或者服务，或者提供其他中小企业制造的货物，须在《开标一览表》、《投标分项报价》中注明。</w:t>
      </w:r>
    </w:p>
    <w:p>
      <w:pPr>
        <w:pStyle w:val="ListParagraph"/>
        <w:numPr>
          <w:ilvl w:val="1"/>
          <w:numId w:val="30"/>
        </w:numPr>
        <w:tabs>
          <w:tab w:val="left" w:pos="1199"/>
        </w:tabs>
        <w:spacing w:before="2" w:after="0" w:line="242" w:lineRule="auto"/>
        <w:ind w:left="254" w:right="251" w:firstLine="420"/>
        <w:jc w:val="left"/>
        <w:rPr>
          <w:sz w:val="21"/>
        </w:rPr>
      </w:pPr>
      <w:r>
        <w:rPr>
          <w:spacing w:val="-2"/>
          <w:sz w:val="21"/>
        </w:rPr>
        <w:t>《开标一览表》一式两份，一份装订在投标文件中，一份单独封装，并标明“《开标一览表》”字</w:t>
      </w:r>
      <w:r>
        <w:rPr>
          <w:spacing w:val="-2"/>
          <w:sz w:val="21"/>
        </w:rPr>
        <w:t>样，随投标文件一并递交，以便唱标时使用。</w:t>
      </w:r>
    </w:p>
    <w:p>
      <w:pPr>
        <w:pStyle w:val="Heading5"/>
        <w:spacing w:line="296" w:lineRule="exact"/>
      </w:pPr>
      <w:r>
        <w:rPr>
          <w:spacing w:val="-4"/>
        </w:rPr>
        <w:t>12</w:t>
      </w:r>
      <w:r>
        <w:rPr>
          <w:spacing w:val="-5"/>
        </w:rPr>
        <w:t>、投标文件的其他部分</w:t>
      </w:r>
    </w:p>
    <w:p>
      <w:pPr>
        <w:pStyle w:val="ListParagraph"/>
        <w:numPr>
          <w:ilvl w:val="1"/>
          <w:numId w:val="29"/>
        </w:numPr>
        <w:tabs>
          <w:tab w:val="left" w:pos="1199"/>
        </w:tabs>
        <w:spacing w:before="0" w:after="0" w:line="214" w:lineRule="exact"/>
        <w:ind w:left="1199" w:right="0" w:hanging="525"/>
        <w:jc w:val="left"/>
        <w:rPr>
          <w:sz w:val="21"/>
        </w:rPr>
      </w:pPr>
      <w:r>
        <w:rPr>
          <w:spacing w:val="-1"/>
          <w:sz w:val="21"/>
        </w:rPr>
        <w:t>其他部分由投标人根据编制投标文件需要提供的其他相关文件。</w:t>
      </w:r>
    </w:p>
    <w:p>
      <w:pPr>
        <w:pStyle w:val="Heading5"/>
        <w:spacing w:line="331" w:lineRule="exact"/>
      </w:pPr>
      <w:r>
        <w:rPr>
          <w:spacing w:val="-8"/>
        </w:rPr>
        <w:t>13</w:t>
      </w:r>
      <w:r>
        <w:rPr>
          <w:spacing w:val="-9"/>
        </w:rPr>
        <w:t>、投标保证金</w:t>
      </w:r>
    </w:p>
    <w:p>
      <w:pPr>
        <w:pStyle w:val="ListParagraph"/>
        <w:numPr>
          <w:ilvl w:val="1"/>
          <w:numId w:val="28"/>
        </w:numPr>
        <w:tabs>
          <w:tab w:val="left" w:pos="1199"/>
        </w:tabs>
        <w:spacing w:before="0" w:after="0" w:line="247" w:lineRule="exact"/>
        <w:ind w:left="1199" w:right="0" w:hanging="525"/>
        <w:jc w:val="both"/>
        <w:rPr>
          <w:sz w:val="21"/>
        </w:rPr>
      </w:pPr>
      <w:r>
        <w:rPr>
          <w:spacing w:val="-1"/>
          <w:sz w:val="21"/>
        </w:rPr>
        <w:t>投标人应按照投标邀请提交投标保证金，并作为其投标的一部分。</w:t>
      </w:r>
    </w:p>
    <w:p>
      <w:pPr>
        <w:pStyle w:val="ListParagraph"/>
        <w:numPr>
          <w:ilvl w:val="1"/>
          <w:numId w:val="28"/>
        </w:numPr>
        <w:tabs>
          <w:tab w:val="left" w:pos="1199"/>
        </w:tabs>
        <w:spacing w:before="3" w:after="0" w:line="240" w:lineRule="auto"/>
        <w:ind w:left="1199" w:right="0" w:hanging="525"/>
        <w:jc w:val="both"/>
        <w:rPr>
          <w:sz w:val="21"/>
        </w:rPr>
      </w:pPr>
      <w:r>
        <w:rPr>
          <w:spacing w:val="-1"/>
          <w:sz w:val="21"/>
        </w:rPr>
        <w:t>投标保证金应按照投标邀请规定的数额和办法缴纳。</w:t>
      </w:r>
    </w:p>
    <w:p>
      <w:pPr>
        <w:pStyle w:val="ListParagraph"/>
        <w:numPr>
          <w:ilvl w:val="1"/>
          <w:numId w:val="28"/>
        </w:numPr>
        <w:tabs>
          <w:tab w:val="left" w:pos="1199"/>
        </w:tabs>
        <w:spacing w:before="4" w:after="0" w:line="242" w:lineRule="auto"/>
        <w:ind w:left="254" w:right="251" w:firstLine="420"/>
        <w:jc w:val="both"/>
        <w:rPr>
          <w:sz w:val="21"/>
        </w:rPr>
      </w:pPr>
      <w:r>
        <w:rPr>
          <w:spacing w:val="-2"/>
          <w:sz w:val="21"/>
        </w:rPr>
        <w:t>未中标供应商人的投标保证金，将在中标通知发出后五个工作日内无息退还。未中标供应商应主动</w:t>
      </w:r>
      <w:r>
        <w:rPr>
          <w:spacing w:val="-2"/>
          <w:sz w:val="21"/>
        </w:rPr>
        <w:t>与投标文件接收人联系办理投标保证金退还事宜，以及办理退还手续，由于投标人的自身原因未及时办理投</w:t>
      </w:r>
      <w:r>
        <w:rPr>
          <w:spacing w:val="-2"/>
          <w:sz w:val="21"/>
        </w:rPr>
        <w:t>标保证金退还的，其责任和由此造成的后果由投标人自行承担。</w:t>
      </w:r>
    </w:p>
    <w:p>
      <w:pPr>
        <w:pStyle w:val="ListParagraph"/>
        <w:numPr>
          <w:ilvl w:val="1"/>
          <w:numId w:val="28"/>
        </w:numPr>
        <w:tabs>
          <w:tab w:val="left" w:pos="1199"/>
        </w:tabs>
        <w:spacing w:before="1" w:after="0" w:line="242" w:lineRule="auto"/>
        <w:ind w:left="254" w:right="250" w:firstLine="420"/>
        <w:jc w:val="both"/>
        <w:rPr>
          <w:sz w:val="21"/>
        </w:rPr>
      </w:pPr>
      <w:r>
        <w:rPr>
          <w:spacing w:val="-2"/>
          <w:sz w:val="21"/>
        </w:rPr>
        <w:t>中标供应商的投标保证金，将在采购合同签订时转为履约保证金。招标文件另有约定的从其约定。</w:t>
      </w:r>
      <w:r>
        <w:rPr>
          <w:spacing w:val="-2"/>
          <w:sz w:val="21"/>
        </w:rPr>
        <w:t>如果招标文件要求中标供应商向采购人交纳履约保证金的，将在签订合后五个工作日内无息退还。对入选南</w:t>
      </w:r>
      <w:r>
        <w:rPr>
          <w:spacing w:val="-2"/>
          <w:sz w:val="21"/>
        </w:rPr>
        <w:t>京市“科技创业家培养计划”，且在培养期内的科技创业家免交履约保证金。</w:t>
      </w:r>
    </w:p>
    <w:p>
      <w:pPr>
        <w:pStyle w:val="ListParagraph"/>
        <w:numPr>
          <w:ilvl w:val="1"/>
          <w:numId w:val="28"/>
        </w:numPr>
        <w:tabs>
          <w:tab w:val="left" w:pos="1199"/>
        </w:tabs>
        <w:spacing w:before="2" w:after="0" w:line="240" w:lineRule="auto"/>
        <w:ind w:left="1199" w:right="0" w:hanging="525"/>
        <w:jc w:val="both"/>
        <w:rPr>
          <w:sz w:val="21"/>
        </w:rPr>
      </w:pPr>
      <w:r>
        <w:rPr>
          <w:spacing w:val="-1"/>
          <w:sz w:val="21"/>
        </w:rPr>
        <w:t>下列任何情况发生时，投标保证金不予退还：</w:t>
      </w:r>
    </w:p>
    <w:p>
      <w:pPr>
        <w:pStyle w:val="ListParagraph"/>
        <w:numPr>
          <w:ilvl w:val="0"/>
          <w:numId w:val="27"/>
        </w:numPr>
        <w:tabs>
          <w:tab w:val="left" w:pos="1200"/>
        </w:tabs>
        <w:spacing w:before="3" w:after="0" w:line="240" w:lineRule="auto"/>
        <w:ind w:left="1200" w:right="0" w:hanging="526"/>
        <w:jc w:val="left"/>
        <w:rPr>
          <w:sz w:val="21"/>
        </w:rPr>
      </w:pPr>
      <w:r>
        <w:rPr>
          <w:spacing w:val="-1"/>
          <w:sz w:val="21"/>
        </w:rPr>
        <w:t>投标有效期内撤回其投标的；</w:t>
      </w:r>
    </w:p>
    <w:p>
      <w:pPr>
        <w:pStyle w:val="ListParagraph"/>
        <w:numPr>
          <w:ilvl w:val="0"/>
          <w:numId w:val="27"/>
        </w:numPr>
        <w:tabs>
          <w:tab w:val="left" w:pos="1200"/>
        </w:tabs>
        <w:spacing w:before="4" w:after="0" w:line="240" w:lineRule="auto"/>
        <w:ind w:left="1200" w:right="0" w:hanging="526"/>
        <w:jc w:val="left"/>
        <w:rPr>
          <w:sz w:val="21"/>
        </w:rPr>
      </w:pPr>
      <w:r>
        <w:rPr>
          <w:spacing w:val="-1"/>
          <w:sz w:val="21"/>
        </w:rPr>
        <w:t>中标通知书发出后三十天内，中标供应商未与采购人签订合同的；</w:t>
      </w:r>
    </w:p>
    <w:p>
      <w:pPr>
        <w:pStyle w:val="ListParagraph"/>
        <w:numPr>
          <w:ilvl w:val="0"/>
          <w:numId w:val="27"/>
        </w:numPr>
        <w:tabs>
          <w:tab w:val="left" w:pos="1200"/>
        </w:tabs>
        <w:spacing w:before="3" w:after="0" w:line="240" w:lineRule="auto"/>
        <w:ind w:left="1200" w:right="0" w:hanging="526"/>
        <w:jc w:val="left"/>
        <w:rPr>
          <w:sz w:val="21"/>
        </w:rPr>
      </w:pPr>
      <w:r>
        <w:rPr>
          <w:spacing w:val="-1"/>
          <w:sz w:val="21"/>
        </w:rPr>
        <w:t>提供虚假材料谋取中标的；</w:t>
      </w:r>
    </w:p>
    <w:p>
      <w:pPr>
        <w:pStyle w:val="ListParagraph"/>
        <w:numPr>
          <w:ilvl w:val="0"/>
          <w:numId w:val="27"/>
        </w:numPr>
        <w:tabs>
          <w:tab w:val="left" w:pos="1200"/>
        </w:tabs>
        <w:spacing w:before="3" w:after="0" w:line="236" w:lineRule="exact"/>
        <w:ind w:left="1200" w:right="0" w:hanging="526"/>
        <w:jc w:val="left"/>
        <w:rPr>
          <w:sz w:val="21"/>
        </w:rPr>
      </w:pPr>
      <w:r>
        <w:rPr>
          <w:spacing w:val="-1"/>
          <w:sz w:val="21"/>
        </w:rPr>
        <w:t>经查实属于陪标、串通投标的等。</w:t>
      </w:r>
    </w:p>
    <w:p>
      <w:pPr>
        <w:pStyle w:val="Heading5"/>
        <w:spacing w:line="331" w:lineRule="exact"/>
      </w:pPr>
      <w:r>
        <w:rPr>
          <w:spacing w:val="-8"/>
        </w:rPr>
        <w:t>14</w:t>
      </w:r>
      <w:r>
        <w:rPr>
          <w:spacing w:val="-9"/>
        </w:rPr>
        <w:t>、投标有效期</w:t>
      </w:r>
    </w:p>
    <w:p>
      <w:pPr>
        <w:pStyle w:val="ListParagraph"/>
        <w:numPr>
          <w:ilvl w:val="1"/>
          <w:numId w:val="26"/>
        </w:numPr>
        <w:tabs>
          <w:tab w:val="left" w:pos="1199"/>
        </w:tabs>
        <w:spacing w:before="0" w:after="0" w:line="247" w:lineRule="exact"/>
        <w:ind w:left="1199" w:right="0" w:hanging="525"/>
        <w:jc w:val="both"/>
        <w:rPr>
          <w:sz w:val="21"/>
        </w:rPr>
      </w:pPr>
      <w:r>
        <w:rPr>
          <w:sz w:val="21"/>
        </w:rPr>
        <w:t>自开标之日起30</w:t>
      </w:r>
      <w:r>
        <w:rPr>
          <w:spacing w:val="-2"/>
          <w:sz w:val="21"/>
        </w:rPr>
        <w:t>天内投标有效。</w:t>
      </w:r>
    </w:p>
    <w:p>
      <w:pPr>
        <w:pStyle w:val="ListParagraph"/>
        <w:numPr>
          <w:ilvl w:val="1"/>
          <w:numId w:val="26"/>
        </w:numPr>
        <w:tabs>
          <w:tab w:val="left" w:pos="1199"/>
        </w:tabs>
        <w:spacing w:before="4" w:after="0" w:line="242" w:lineRule="auto"/>
        <w:ind w:left="254" w:right="251" w:firstLine="420"/>
        <w:jc w:val="both"/>
        <w:rPr>
          <w:sz w:val="21"/>
        </w:rPr>
      </w:pPr>
      <w:r>
        <w:rPr>
          <w:spacing w:val="-2"/>
          <w:sz w:val="21"/>
        </w:rPr>
        <w:t>在特殊情况下，在原投标有效期截止之前，采购中心可要求投标人同意延长投标有效期，这种要求</w:t>
      </w:r>
      <w:r>
        <w:rPr>
          <w:spacing w:val="-2"/>
          <w:sz w:val="21"/>
        </w:rPr>
        <w:t>与答复均以书面形式提交。投标人可拒绝这种要求，并且不影响保证金退还。接收延长投标有效期的投标人将不会要求和允许修正其投标，而只会被要求相应地延长其投标保证金的有效期。在这种情况下，有关投标</w:t>
      </w:r>
      <w:r>
        <w:rPr>
          <w:spacing w:val="-2"/>
          <w:sz w:val="21"/>
        </w:rPr>
        <w:t>保证金的退还规定在延长了的有效期内继续有效。</w:t>
      </w:r>
    </w:p>
    <w:p>
      <w:pPr>
        <w:pStyle w:val="Heading5"/>
        <w:spacing w:line="297" w:lineRule="exact"/>
      </w:pPr>
      <w:r>
        <w:rPr>
          <w:spacing w:val="-6"/>
        </w:rPr>
        <w:t>15</w:t>
      </w:r>
      <w:r>
        <w:rPr>
          <w:spacing w:val="-7"/>
        </w:rPr>
        <w:t>、投标文件签署</w:t>
      </w:r>
    </w:p>
    <w:p>
      <w:pPr>
        <w:pStyle w:val="ListParagraph"/>
        <w:numPr>
          <w:ilvl w:val="1"/>
          <w:numId w:val="25"/>
        </w:numPr>
        <w:tabs>
          <w:tab w:val="left" w:pos="1199"/>
        </w:tabs>
        <w:spacing w:before="0" w:after="0" w:line="214" w:lineRule="exact"/>
        <w:ind w:left="1199" w:right="0" w:hanging="525"/>
        <w:jc w:val="left"/>
        <w:rPr>
          <w:sz w:val="21"/>
        </w:rPr>
      </w:pPr>
      <w:r>
        <w:rPr>
          <w:spacing w:val="-1"/>
          <w:sz w:val="21"/>
        </w:rPr>
        <w:t>投标文件的正本和副本均由投标人法人代表或经正式授权并对投标人有约束力的委托代理人签字。</w:t>
      </w:r>
    </w:p>
    <w:p>
      <w:pPr>
        <w:pStyle w:val="Heading5"/>
        <w:spacing w:line="353" w:lineRule="exact"/>
      </w:pPr>
      <w:r>
        <w:rPr>
          <w:spacing w:val="-8"/>
        </w:rPr>
        <w:t>16</w:t>
      </w:r>
      <w:r>
        <w:rPr>
          <w:spacing w:val="-9"/>
        </w:rPr>
        <w:t>、投标费用</w:t>
      </w:r>
    </w:p>
    <w:p>
      <w:pPr>
        <w:spacing w:after="0" w:line="353" w:lineRule="exact"/>
        <w:sectPr>
          <w:headerReference w:type="default" r:id="rId14"/>
          <w:footerReference w:type="default" r:id="rId15"/>
          <w:pgSz w:w="12240" w:h="15840"/>
          <w:pgMar w:top="1080" w:right="880" w:bottom="920" w:left="880" w:header="748" w:footer="731"/>
          <w:pgNumType w:start="6"/>
          <w:cols w:space="708"/>
        </w:sectPr>
      </w:pPr>
    </w:p>
    <w:p>
      <w:pPr>
        <w:pStyle w:val="BodyText"/>
        <w:spacing w:before="5"/>
        <w:rPr>
          <w:rFonts w:ascii="Microsoft JhengHei"/>
          <w:b/>
          <w:sz w:val="14"/>
        </w:rPr>
      </w:pPr>
    </w:p>
    <w:p>
      <w:pPr>
        <w:pStyle w:val="ListParagraph"/>
        <w:numPr>
          <w:ilvl w:val="1"/>
          <w:numId w:val="24"/>
        </w:numPr>
        <w:tabs>
          <w:tab w:val="left" w:pos="1199"/>
        </w:tabs>
        <w:spacing w:before="71" w:after="0" w:line="242" w:lineRule="auto"/>
        <w:ind w:left="254" w:right="251" w:firstLine="420"/>
        <w:jc w:val="both"/>
        <w:rPr>
          <w:sz w:val="21"/>
        </w:rPr>
      </w:pPr>
      <w:r>
        <w:rPr>
          <w:spacing w:val="-2"/>
          <w:sz w:val="21"/>
        </w:rPr>
        <w:t>投标人应承担所有与准备和参加投标有关的费用，无论采购结果如何，采购中心和采购人在任何情</w:t>
      </w:r>
      <w:r>
        <w:rPr>
          <w:spacing w:val="-2"/>
          <w:sz w:val="21"/>
        </w:rPr>
        <w:t>况下均无义务和责任承担这些费用。</w:t>
      </w:r>
    </w:p>
    <w:p>
      <w:pPr>
        <w:pStyle w:val="ListParagraph"/>
        <w:numPr>
          <w:ilvl w:val="1"/>
          <w:numId w:val="24"/>
        </w:numPr>
        <w:tabs>
          <w:tab w:val="left" w:pos="1199"/>
        </w:tabs>
        <w:spacing w:before="1" w:after="0" w:line="237" w:lineRule="exact"/>
        <w:ind w:left="1199" w:right="0" w:hanging="525"/>
        <w:jc w:val="left"/>
        <w:rPr>
          <w:sz w:val="21"/>
        </w:rPr>
      </w:pPr>
      <w:r>
        <w:rPr>
          <w:spacing w:val="-1"/>
          <w:sz w:val="21"/>
        </w:rPr>
        <w:t>本次采购中心不收取任何费用，请投标人予以关注。</w:t>
      </w:r>
    </w:p>
    <w:p>
      <w:pPr>
        <w:pStyle w:val="Heading5"/>
        <w:spacing w:line="298" w:lineRule="exact"/>
        <w:rPr>
          <w:rFonts w:ascii="微软雅黑" w:eastAsia="微软雅黑"/>
        </w:rPr>
      </w:pPr>
      <w:r>
        <w:rPr>
          <w:rFonts w:ascii="微软雅黑" w:eastAsia="微软雅黑"/>
          <w:spacing w:val="-2"/>
        </w:rPr>
        <w:t>四、投标文件的递交</w:t>
      </w:r>
    </w:p>
    <w:p>
      <w:pPr>
        <w:spacing w:before="0" w:line="306" w:lineRule="exact"/>
        <w:ind w:left="674" w:right="0" w:firstLine="0"/>
        <w:jc w:val="left"/>
        <w:rPr>
          <w:rFonts w:ascii="微软雅黑" w:eastAsia="微软雅黑"/>
          <w:b/>
          <w:sz w:val="21"/>
        </w:rPr>
      </w:pPr>
      <w:r>
        <w:rPr>
          <w:rFonts w:ascii="微软雅黑" w:eastAsia="微软雅黑"/>
          <w:b/>
          <w:spacing w:val="-6"/>
          <w:sz w:val="21"/>
        </w:rPr>
        <w:t>17</w:t>
      </w:r>
      <w:r>
        <w:rPr>
          <w:rFonts w:ascii="微软雅黑" w:eastAsia="微软雅黑"/>
          <w:b/>
          <w:spacing w:val="-7"/>
          <w:sz w:val="21"/>
        </w:rPr>
        <w:t>、投标文件的密封和递交</w:t>
      </w:r>
    </w:p>
    <w:p>
      <w:pPr>
        <w:pStyle w:val="ListParagraph"/>
        <w:numPr>
          <w:ilvl w:val="1"/>
          <w:numId w:val="23"/>
        </w:numPr>
        <w:tabs>
          <w:tab w:val="left" w:pos="1199"/>
        </w:tabs>
        <w:spacing w:before="0" w:after="0" w:line="245" w:lineRule="exact"/>
        <w:ind w:left="1199" w:right="0" w:hanging="525"/>
        <w:jc w:val="left"/>
        <w:rPr>
          <w:sz w:val="21"/>
        </w:rPr>
      </w:pPr>
      <w:r>
        <w:rPr>
          <w:spacing w:val="-1"/>
          <w:sz w:val="21"/>
        </w:rPr>
        <w:t>投标人应当将投标文件密封；</w:t>
      </w:r>
    </w:p>
    <w:p>
      <w:pPr>
        <w:pStyle w:val="ListParagraph"/>
        <w:numPr>
          <w:ilvl w:val="1"/>
          <w:numId w:val="23"/>
        </w:numPr>
        <w:tabs>
          <w:tab w:val="left" w:pos="1199"/>
        </w:tabs>
        <w:spacing w:before="3" w:after="0" w:line="237" w:lineRule="exact"/>
        <w:ind w:left="1199" w:right="0" w:hanging="525"/>
        <w:jc w:val="left"/>
        <w:rPr>
          <w:sz w:val="21"/>
        </w:rPr>
      </w:pPr>
      <w:r>
        <w:rPr>
          <w:spacing w:val="-1"/>
          <w:sz w:val="21"/>
        </w:rPr>
        <w:t>投标人应当在招标文件要求提交投标文件的截止时间前，将密封的投标文件送达投标地点。</w:t>
      </w:r>
    </w:p>
    <w:p>
      <w:pPr>
        <w:pStyle w:val="Heading5"/>
        <w:spacing w:line="331" w:lineRule="exact"/>
        <w:rPr>
          <w:rFonts w:ascii="微软雅黑" w:eastAsia="微软雅黑"/>
        </w:rPr>
      </w:pPr>
      <w:r>
        <w:rPr>
          <w:rFonts w:ascii="微软雅黑" w:eastAsia="微软雅黑"/>
          <w:spacing w:val="-4"/>
        </w:rPr>
        <w:t>18</w:t>
      </w:r>
      <w:r>
        <w:rPr>
          <w:rFonts w:ascii="微软雅黑" w:eastAsia="微软雅黑"/>
          <w:spacing w:val="-5"/>
        </w:rPr>
        <w:t>、有下列情形之一的投标文件将拒收</w:t>
      </w:r>
    </w:p>
    <w:p>
      <w:pPr>
        <w:pStyle w:val="ListParagraph"/>
        <w:numPr>
          <w:ilvl w:val="1"/>
          <w:numId w:val="22"/>
        </w:numPr>
        <w:tabs>
          <w:tab w:val="left" w:pos="1199"/>
        </w:tabs>
        <w:spacing w:before="0" w:after="0" w:line="245" w:lineRule="exact"/>
        <w:ind w:left="1199" w:right="0" w:hanging="525"/>
        <w:jc w:val="left"/>
        <w:rPr>
          <w:sz w:val="21"/>
        </w:rPr>
      </w:pPr>
      <w:r>
        <w:rPr>
          <w:spacing w:val="-1"/>
          <w:sz w:val="21"/>
        </w:rPr>
        <w:t>未按投标邀请规定的数额和办法交纳投标保证金的；</w:t>
      </w:r>
    </w:p>
    <w:p>
      <w:pPr>
        <w:pStyle w:val="ListParagraph"/>
        <w:numPr>
          <w:ilvl w:val="1"/>
          <w:numId w:val="22"/>
        </w:numPr>
        <w:tabs>
          <w:tab w:val="left" w:pos="1199"/>
        </w:tabs>
        <w:spacing w:before="4" w:after="0" w:line="237" w:lineRule="exact"/>
        <w:ind w:left="1199" w:right="0" w:hanging="525"/>
        <w:jc w:val="left"/>
        <w:rPr>
          <w:sz w:val="21"/>
        </w:rPr>
      </w:pPr>
      <w:r>
        <w:rPr>
          <w:spacing w:val="-1"/>
          <w:sz w:val="21"/>
        </w:rPr>
        <w:t>在招标文件要求提交投标文件的截止时间之后送达的。</w:t>
      </w:r>
    </w:p>
    <w:p>
      <w:pPr>
        <w:pStyle w:val="Heading5"/>
        <w:spacing w:line="331" w:lineRule="exact"/>
        <w:rPr>
          <w:rFonts w:ascii="微软雅黑" w:eastAsia="微软雅黑"/>
        </w:rPr>
      </w:pPr>
      <w:r>
        <w:rPr>
          <w:rFonts w:ascii="微软雅黑" w:eastAsia="微软雅黑"/>
          <w:spacing w:val="-6"/>
        </w:rPr>
        <w:t>19</w:t>
      </w:r>
      <w:r>
        <w:rPr>
          <w:rFonts w:ascii="微软雅黑" w:eastAsia="微软雅黑"/>
          <w:spacing w:val="-7"/>
        </w:rPr>
        <w:t>、投标文件的修改和撤回</w:t>
      </w:r>
    </w:p>
    <w:p>
      <w:pPr>
        <w:pStyle w:val="ListParagraph"/>
        <w:numPr>
          <w:ilvl w:val="1"/>
          <w:numId w:val="21"/>
        </w:numPr>
        <w:tabs>
          <w:tab w:val="left" w:pos="1199"/>
        </w:tabs>
        <w:spacing w:before="0" w:after="0" w:line="245" w:lineRule="exact"/>
        <w:ind w:left="1199" w:right="0" w:hanging="525"/>
        <w:jc w:val="left"/>
        <w:rPr>
          <w:sz w:val="21"/>
        </w:rPr>
      </w:pPr>
      <w:r>
        <w:rPr>
          <w:spacing w:val="-5"/>
          <w:sz w:val="21"/>
        </w:rPr>
        <w:t>投标人在投标截止时间前，可以对所递交的投标文件进行补充、修改或撤回，并书面通知采购中心。</w:t>
      </w:r>
    </w:p>
    <w:p>
      <w:pPr>
        <w:pStyle w:val="BodyText"/>
        <w:spacing w:before="3" w:line="237" w:lineRule="exact"/>
        <w:ind w:left="254"/>
      </w:pPr>
      <w:r>
        <w:rPr>
          <w:spacing w:val="-1"/>
        </w:rPr>
        <w:t>补充、修改的内容应当按照招标文件要求签署、盖章，并作为投标文件的组成部分。</w:t>
      </w:r>
    </w:p>
    <w:p>
      <w:pPr>
        <w:pStyle w:val="ListParagraph"/>
        <w:numPr>
          <w:ilvl w:val="1"/>
          <w:numId w:val="21"/>
        </w:numPr>
        <w:tabs>
          <w:tab w:val="left" w:pos="1199"/>
        </w:tabs>
        <w:spacing w:before="51" w:after="0" w:line="168" w:lineRule="auto"/>
        <w:ind w:left="254" w:right="252" w:firstLine="420"/>
        <w:jc w:val="left"/>
        <w:rPr>
          <w:rFonts w:ascii="微软雅黑" w:eastAsia="微软雅黑"/>
          <w:b/>
          <w:sz w:val="21"/>
        </w:rPr>
      </w:pPr>
      <w:r>
        <w:rPr>
          <w:spacing w:val="-2"/>
          <w:sz w:val="21"/>
        </w:rPr>
        <w:t>投标截止时间之后，投标文件不得撤回；如果撤回的，投标保证金不予退还，</w:t>
      </w:r>
      <w:r>
        <w:rPr>
          <w:rFonts w:ascii="微软雅黑" w:eastAsia="微软雅黑"/>
          <w:b/>
          <w:spacing w:val="-2"/>
          <w:sz w:val="21"/>
        </w:rPr>
        <w:t>一年内不得参加南京</w:t>
      </w:r>
      <w:r>
        <w:rPr>
          <w:rFonts w:ascii="微软雅黑" w:eastAsia="微软雅黑"/>
          <w:b/>
          <w:spacing w:val="-2"/>
          <w:sz w:val="21"/>
        </w:rPr>
        <w:t>市六合区政府采购中心组织的政府采购活动。</w:t>
      </w:r>
    </w:p>
    <w:p>
      <w:pPr>
        <w:pStyle w:val="Heading5"/>
        <w:spacing w:line="283" w:lineRule="exact"/>
        <w:rPr>
          <w:rFonts w:ascii="微软雅黑" w:eastAsia="微软雅黑"/>
        </w:rPr>
      </w:pPr>
      <w:r>
        <w:rPr>
          <w:rFonts w:ascii="微软雅黑" w:eastAsia="微软雅黑"/>
          <w:spacing w:val="-10"/>
        </w:rPr>
        <w:t>20</w:t>
      </w:r>
      <w:r>
        <w:rPr>
          <w:rFonts w:ascii="微软雅黑" w:eastAsia="微软雅黑"/>
          <w:spacing w:val="-11"/>
        </w:rPr>
        <w:t>、诚实信用</w:t>
      </w:r>
    </w:p>
    <w:p>
      <w:pPr>
        <w:pStyle w:val="ListParagraph"/>
        <w:numPr>
          <w:ilvl w:val="1"/>
          <w:numId w:val="20"/>
        </w:numPr>
        <w:tabs>
          <w:tab w:val="left" w:pos="1199"/>
        </w:tabs>
        <w:spacing w:before="0" w:after="0" w:line="245" w:lineRule="exact"/>
        <w:ind w:left="1199" w:right="0" w:hanging="525"/>
        <w:jc w:val="left"/>
        <w:rPr>
          <w:sz w:val="21"/>
        </w:rPr>
      </w:pPr>
      <w:r>
        <w:rPr>
          <w:spacing w:val="-3"/>
          <w:sz w:val="21"/>
        </w:rPr>
        <w:t>投标人之间不得相互串通投标报价，不得妨碍其他投标人的公平竞争，不得损害采购人和其他投标</w:t>
      </w:r>
    </w:p>
    <w:p>
      <w:pPr>
        <w:pStyle w:val="BodyText"/>
        <w:spacing w:before="3"/>
        <w:ind w:left="254"/>
      </w:pPr>
      <w:r>
        <w:rPr>
          <w:spacing w:val="-2"/>
        </w:rPr>
        <w:t>人的合法权益。</w:t>
      </w:r>
    </w:p>
    <w:p>
      <w:pPr>
        <w:pStyle w:val="ListParagraph"/>
        <w:numPr>
          <w:ilvl w:val="1"/>
          <w:numId w:val="20"/>
        </w:numPr>
        <w:tabs>
          <w:tab w:val="left" w:pos="1199"/>
        </w:tabs>
        <w:spacing w:before="4" w:after="0" w:line="242" w:lineRule="auto"/>
        <w:ind w:left="254" w:right="251" w:firstLine="420"/>
        <w:jc w:val="both"/>
        <w:rPr>
          <w:sz w:val="21"/>
        </w:rPr>
      </w:pPr>
      <w:r>
        <w:rPr>
          <w:spacing w:val="-2"/>
          <w:sz w:val="21"/>
        </w:rPr>
        <w:t>投标人不得以向采购中心工作人员、评标委员会成员行贿或者采取其他不正当手段谋取中标。经查</w:t>
      </w:r>
      <w:r>
        <w:rPr>
          <w:spacing w:val="-2"/>
          <w:sz w:val="21"/>
        </w:rPr>
        <w:t>实投标人有此行为的，将在南京市政府采购网站公告，政府采购管理部门将投标人列入不良行为记录名单，</w:t>
      </w:r>
      <w:r>
        <w:rPr>
          <w:spacing w:val="-2"/>
          <w:sz w:val="21"/>
        </w:rPr>
        <w:t>按照《政府采购法》有关规定处理。</w:t>
      </w:r>
    </w:p>
    <w:p>
      <w:pPr>
        <w:pStyle w:val="Heading5"/>
        <w:spacing w:line="264" w:lineRule="exact"/>
        <w:rPr>
          <w:rFonts w:ascii="微软雅黑" w:eastAsia="微软雅黑"/>
        </w:rPr>
      </w:pPr>
      <w:r>
        <w:rPr>
          <w:rFonts w:ascii="微软雅黑" w:eastAsia="微软雅黑"/>
          <w:spacing w:val="-1"/>
        </w:rPr>
        <w:t>五、开标、评标与定标</w:t>
      </w:r>
    </w:p>
    <w:p>
      <w:pPr>
        <w:spacing w:before="0" w:line="306" w:lineRule="exact"/>
        <w:ind w:left="674" w:right="0" w:firstLine="0"/>
        <w:jc w:val="left"/>
        <w:rPr>
          <w:rFonts w:ascii="微软雅黑" w:eastAsia="微软雅黑"/>
          <w:b/>
          <w:sz w:val="21"/>
        </w:rPr>
      </w:pPr>
      <w:r>
        <w:rPr>
          <w:rFonts w:ascii="微软雅黑" w:eastAsia="微软雅黑"/>
          <w:b/>
          <w:w w:val="90"/>
          <w:sz w:val="21"/>
        </w:rPr>
        <w:t>21</w:t>
      </w:r>
      <w:r>
        <w:rPr>
          <w:rFonts w:ascii="微软雅黑" w:eastAsia="微软雅黑"/>
          <w:b/>
          <w:w w:val="90"/>
          <w:sz w:val="21"/>
        </w:rPr>
        <w:t>、</w:t>
      </w:r>
      <w:r>
        <w:rPr>
          <w:rFonts w:ascii="微软雅黑" w:eastAsia="微软雅黑"/>
          <w:b/>
          <w:w w:val="90"/>
          <w:sz w:val="21"/>
        </w:rPr>
        <w:t>开</w:t>
      </w:r>
      <w:r>
        <w:rPr>
          <w:rFonts w:ascii="微软雅黑" w:eastAsia="微软雅黑"/>
          <w:b/>
          <w:spacing w:val="-10"/>
          <w:w w:val="90"/>
          <w:sz w:val="21"/>
        </w:rPr>
        <w:t>标</w:t>
      </w:r>
    </w:p>
    <w:p>
      <w:pPr>
        <w:pStyle w:val="ListParagraph"/>
        <w:numPr>
          <w:ilvl w:val="1"/>
          <w:numId w:val="19"/>
        </w:numPr>
        <w:tabs>
          <w:tab w:val="left" w:pos="1199"/>
        </w:tabs>
        <w:spacing w:before="0" w:after="0" w:line="245" w:lineRule="exact"/>
        <w:ind w:left="1199" w:right="0" w:hanging="525"/>
        <w:jc w:val="left"/>
        <w:rPr>
          <w:sz w:val="21"/>
        </w:rPr>
      </w:pPr>
      <w:r>
        <w:rPr>
          <w:spacing w:val="-3"/>
          <w:sz w:val="21"/>
        </w:rPr>
        <w:t>采购中心将在招标文件确定的时间和地点进行公开开标。投标人应委派代表准时参加，参加开标的</w:t>
      </w:r>
    </w:p>
    <w:p>
      <w:pPr>
        <w:pStyle w:val="BodyText"/>
        <w:spacing w:before="3"/>
        <w:ind w:left="254"/>
      </w:pPr>
      <w:r>
        <w:rPr>
          <w:spacing w:val="-1"/>
        </w:rPr>
        <w:t>代表须签名报到以证明其出席。</w:t>
      </w:r>
    </w:p>
    <w:p>
      <w:pPr>
        <w:pStyle w:val="ListParagraph"/>
        <w:numPr>
          <w:ilvl w:val="1"/>
          <w:numId w:val="19"/>
        </w:numPr>
        <w:tabs>
          <w:tab w:val="left" w:pos="1199"/>
        </w:tabs>
        <w:spacing w:before="3" w:after="0" w:line="242" w:lineRule="auto"/>
        <w:ind w:left="254" w:right="251" w:firstLine="420"/>
        <w:jc w:val="both"/>
        <w:rPr>
          <w:sz w:val="21"/>
        </w:rPr>
      </w:pPr>
      <w:r>
        <w:rPr>
          <w:spacing w:val="-2"/>
          <w:sz w:val="21"/>
        </w:rPr>
        <w:t>开标时，采购中心将邀请投标人代表或公证机构检查投标文件的密封情况，经确认无误后，由采购</w:t>
      </w:r>
      <w:r>
        <w:rPr>
          <w:spacing w:val="-2"/>
          <w:sz w:val="21"/>
        </w:rPr>
        <w:t>中心工作人员当众拆封，宣读投标人名称、投标价格、价格折扣、招标文件允许提供的备选投标方案和投标</w:t>
      </w:r>
      <w:r>
        <w:rPr>
          <w:spacing w:val="-2"/>
          <w:sz w:val="21"/>
        </w:rPr>
        <w:t>文件的其他主要内容。</w:t>
      </w:r>
    </w:p>
    <w:p>
      <w:pPr>
        <w:pStyle w:val="ListParagraph"/>
        <w:numPr>
          <w:ilvl w:val="1"/>
          <w:numId w:val="19"/>
        </w:numPr>
        <w:tabs>
          <w:tab w:val="left" w:pos="1199"/>
        </w:tabs>
        <w:spacing w:before="2" w:after="0" w:line="240" w:lineRule="auto"/>
        <w:ind w:left="1199" w:right="0" w:hanging="525"/>
        <w:jc w:val="both"/>
        <w:rPr>
          <w:sz w:val="21"/>
        </w:rPr>
      </w:pPr>
      <w:r>
        <w:rPr>
          <w:spacing w:val="-10"/>
          <w:sz w:val="21"/>
        </w:rPr>
        <w:t>未宣读的投标价格、价格折扣和招标文件允许提供的备选投标方案等实质性内容，评标时不予承认。</w:t>
      </w:r>
    </w:p>
    <w:p>
      <w:pPr>
        <w:pStyle w:val="ListParagraph"/>
        <w:numPr>
          <w:ilvl w:val="1"/>
          <w:numId w:val="19"/>
        </w:numPr>
        <w:tabs>
          <w:tab w:val="left" w:pos="1199"/>
        </w:tabs>
        <w:spacing w:before="3" w:after="0" w:line="240" w:lineRule="auto"/>
        <w:ind w:left="1199" w:right="0" w:hanging="525"/>
        <w:jc w:val="both"/>
        <w:rPr>
          <w:sz w:val="21"/>
        </w:rPr>
      </w:pPr>
      <w:r>
        <w:rPr>
          <w:spacing w:val="-1"/>
          <w:sz w:val="21"/>
        </w:rPr>
        <w:t>开标时，《开标一览表》内容与投标文件中明细表内容不一致的，以唱标的《开标一览表》为准。</w:t>
      </w:r>
    </w:p>
    <w:p>
      <w:pPr>
        <w:pStyle w:val="ListParagraph"/>
        <w:numPr>
          <w:ilvl w:val="1"/>
          <w:numId w:val="19"/>
        </w:numPr>
        <w:tabs>
          <w:tab w:val="left" w:pos="1199"/>
        </w:tabs>
        <w:spacing w:before="3" w:after="0" w:line="242" w:lineRule="auto"/>
        <w:ind w:left="254" w:right="251" w:firstLine="420"/>
        <w:jc w:val="both"/>
        <w:rPr>
          <w:sz w:val="21"/>
        </w:rPr>
      </w:pPr>
      <w:r>
        <w:rPr>
          <w:spacing w:val="-2"/>
          <w:sz w:val="21"/>
        </w:rPr>
        <w:t>投标文件的大写金额与小写金额不一致的，以大写金额为准；总价金额与按单价金额不一致的，以</w:t>
      </w:r>
      <w:r>
        <w:rPr>
          <w:spacing w:val="-2"/>
          <w:sz w:val="21"/>
        </w:rPr>
        <w:t>单价金额计算为准；单价金额小数点有明显错位的，应以总价为准，并修改单价；对不同文字文本投标文件</w:t>
      </w:r>
      <w:r>
        <w:rPr>
          <w:spacing w:val="-2"/>
          <w:sz w:val="21"/>
        </w:rPr>
        <w:t>的解释发生异议的，以中文文本为准。</w:t>
      </w:r>
    </w:p>
    <w:p>
      <w:pPr>
        <w:pStyle w:val="ListParagraph"/>
        <w:numPr>
          <w:ilvl w:val="1"/>
          <w:numId w:val="19"/>
        </w:numPr>
        <w:tabs>
          <w:tab w:val="left" w:pos="1199"/>
        </w:tabs>
        <w:spacing w:before="2" w:after="0" w:line="242" w:lineRule="auto"/>
        <w:ind w:left="254" w:right="251" w:firstLine="420"/>
        <w:jc w:val="both"/>
        <w:rPr>
          <w:sz w:val="21"/>
        </w:rPr>
      </w:pPr>
      <w:r>
        <w:rPr>
          <w:spacing w:val="-2"/>
          <w:sz w:val="21"/>
        </w:rPr>
        <w:t>投标截止时间结束后参加投标的供应商不足三家的，除采购任务取消情形外，采购中心报经监管部</w:t>
      </w:r>
      <w:r>
        <w:rPr>
          <w:spacing w:val="-2"/>
          <w:sz w:val="21"/>
        </w:rPr>
        <w:t>门批准后，可变更为竞争性谈判或者单一来源方式采购，或者终止采购活动。本次招标文件中对供应商资格条件要求、技术要求和商务等要求，将作为竞争性谈判或者单一来源方式采购的基本要求和谈判依据。原评标委员会改为谈判小组，并根据政府采购法等法律法规进行谈判，按照“符合采购需求，质量服务相等且报价最低”的原则确定成交供应商。参加投标的供应商，根据自愿原则，选择参加竞争性谈判或单一来源方式</w:t>
      </w:r>
      <w:r>
        <w:rPr>
          <w:spacing w:val="-4"/>
          <w:sz w:val="21"/>
        </w:rPr>
        <w:t>采购。</w:t>
      </w:r>
    </w:p>
    <w:p>
      <w:pPr>
        <w:pStyle w:val="Heading5"/>
        <w:spacing w:line="266" w:lineRule="exact"/>
        <w:rPr>
          <w:rFonts w:ascii="微软雅黑" w:eastAsia="微软雅黑"/>
        </w:rPr>
      </w:pPr>
      <w:r>
        <w:rPr>
          <w:rFonts w:ascii="微软雅黑" w:eastAsia="微软雅黑"/>
          <w:w w:val="90"/>
        </w:rPr>
        <w:t>22</w:t>
      </w:r>
      <w:r>
        <w:rPr>
          <w:rFonts w:ascii="微软雅黑" w:eastAsia="微软雅黑"/>
          <w:w w:val="90"/>
        </w:rPr>
        <w:t>、</w:t>
      </w:r>
      <w:r>
        <w:rPr>
          <w:rFonts w:ascii="微软雅黑" w:eastAsia="微软雅黑"/>
          <w:w w:val="90"/>
        </w:rPr>
        <w:t>评</w:t>
      </w:r>
      <w:r>
        <w:rPr>
          <w:rFonts w:ascii="微软雅黑" w:eastAsia="微软雅黑"/>
          <w:spacing w:val="-10"/>
          <w:w w:val="90"/>
        </w:rPr>
        <w:t>标</w:t>
      </w:r>
    </w:p>
    <w:p>
      <w:pPr>
        <w:pStyle w:val="ListParagraph"/>
        <w:numPr>
          <w:ilvl w:val="1"/>
          <w:numId w:val="18"/>
        </w:numPr>
        <w:tabs>
          <w:tab w:val="left" w:pos="1203"/>
        </w:tabs>
        <w:spacing w:before="0" w:after="0" w:line="272" w:lineRule="exact"/>
        <w:ind w:left="1202" w:right="0" w:hanging="529"/>
        <w:jc w:val="left"/>
        <w:rPr>
          <w:rFonts w:ascii="微软雅黑" w:eastAsia="微软雅黑"/>
          <w:b/>
          <w:sz w:val="21"/>
        </w:rPr>
      </w:pPr>
      <w:r>
        <w:rPr>
          <w:rFonts w:ascii="微软雅黑" w:eastAsia="微软雅黑"/>
          <w:b/>
          <w:spacing w:val="-3"/>
          <w:sz w:val="21"/>
        </w:rPr>
        <w:t>评标组织</w:t>
      </w:r>
    </w:p>
    <w:p>
      <w:pPr>
        <w:pStyle w:val="ListParagraph"/>
        <w:numPr>
          <w:ilvl w:val="2"/>
          <w:numId w:val="18"/>
        </w:numPr>
        <w:tabs>
          <w:tab w:val="left" w:pos="1362"/>
        </w:tabs>
        <w:spacing w:before="0" w:after="0" w:line="306" w:lineRule="exact"/>
        <w:ind w:left="1361" w:right="0" w:hanging="688"/>
        <w:jc w:val="left"/>
        <w:rPr>
          <w:rFonts w:ascii="微软雅黑" w:eastAsia="微软雅黑"/>
          <w:b/>
          <w:sz w:val="21"/>
        </w:rPr>
      </w:pPr>
      <w:r>
        <w:rPr>
          <w:spacing w:val="-1"/>
          <w:sz w:val="21"/>
        </w:rPr>
        <w:t>评标工作由采购中心负责组织，具体评标事务由依法组建的评标委员会负责，并独立履行下列职</w:t>
      </w:r>
    </w:p>
    <w:p>
      <w:pPr>
        <w:pStyle w:val="BodyText"/>
        <w:spacing w:line="245" w:lineRule="exact"/>
        <w:ind w:left="254"/>
      </w:pPr>
      <w:r>
        <w:rPr>
          <w:spacing w:val="-5"/>
        </w:rPr>
        <w:t>责：</w:t>
      </w:r>
    </w:p>
    <w:p>
      <w:pPr>
        <w:pStyle w:val="ListParagraph"/>
        <w:numPr>
          <w:ilvl w:val="0"/>
          <w:numId w:val="17"/>
        </w:numPr>
        <w:tabs>
          <w:tab w:val="left" w:pos="1200"/>
        </w:tabs>
        <w:spacing w:before="3" w:after="0" w:line="240" w:lineRule="auto"/>
        <w:ind w:left="1200" w:right="0" w:hanging="526"/>
        <w:jc w:val="left"/>
        <w:rPr>
          <w:sz w:val="21"/>
        </w:rPr>
      </w:pPr>
      <w:r>
        <w:rPr>
          <w:spacing w:val="-1"/>
          <w:sz w:val="21"/>
        </w:rPr>
        <w:t>审查投标文件是否符合招标文件要求，并作出评价；</w:t>
      </w:r>
    </w:p>
    <w:p>
      <w:pPr>
        <w:pStyle w:val="ListParagraph"/>
        <w:numPr>
          <w:ilvl w:val="0"/>
          <w:numId w:val="17"/>
        </w:numPr>
        <w:tabs>
          <w:tab w:val="left" w:pos="1200"/>
        </w:tabs>
        <w:spacing w:before="4" w:after="0" w:line="240" w:lineRule="auto"/>
        <w:ind w:left="1200" w:right="0" w:hanging="526"/>
        <w:jc w:val="left"/>
        <w:rPr>
          <w:sz w:val="21"/>
        </w:rPr>
      </w:pPr>
      <w:r>
        <w:rPr>
          <w:spacing w:val="-1"/>
          <w:sz w:val="21"/>
        </w:rPr>
        <w:t>要求投标供应商对投标文件有关事项作出解释或者澄清；</w:t>
      </w:r>
    </w:p>
    <w:p>
      <w:pPr>
        <w:pStyle w:val="ListParagraph"/>
        <w:numPr>
          <w:ilvl w:val="0"/>
          <w:numId w:val="17"/>
        </w:numPr>
        <w:tabs>
          <w:tab w:val="left" w:pos="1200"/>
        </w:tabs>
        <w:spacing w:before="3" w:after="0" w:line="240" w:lineRule="auto"/>
        <w:ind w:left="1200" w:right="0" w:hanging="526"/>
        <w:jc w:val="left"/>
        <w:rPr>
          <w:sz w:val="21"/>
        </w:rPr>
      </w:pPr>
      <w:r>
        <w:rPr>
          <w:spacing w:val="-1"/>
          <w:sz w:val="21"/>
        </w:rPr>
        <w:t>推荐中标候选供应商名单，或者按照招标文件规定直接确定中标供应商；</w:t>
      </w:r>
    </w:p>
    <w:p>
      <w:pPr>
        <w:pStyle w:val="ListParagraph"/>
        <w:numPr>
          <w:ilvl w:val="0"/>
          <w:numId w:val="17"/>
        </w:numPr>
        <w:tabs>
          <w:tab w:val="left" w:pos="1200"/>
        </w:tabs>
        <w:spacing w:before="3" w:after="0" w:line="240" w:lineRule="auto"/>
        <w:ind w:left="1200" w:right="0" w:hanging="526"/>
        <w:jc w:val="left"/>
        <w:rPr>
          <w:sz w:val="21"/>
        </w:rPr>
      </w:pPr>
      <w:r>
        <w:rPr>
          <w:spacing w:val="-1"/>
          <w:sz w:val="21"/>
        </w:rPr>
        <w:t>向采购中心或者有关部门报告非法干预评标工作的行为。</w:t>
      </w:r>
    </w:p>
    <w:p>
      <w:pPr>
        <w:spacing w:after="0" w:line="240" w:lineRule="auto"/>
        <w:jc w:val="left"/>
        <w:rPr>
          <w:sz w:val="21"/>
        </w:rPr>
        <w:sectPr>
          <w:headerReference w:type="default" r:id="rId16"/>
          <w:footerReference w:type="default" r:id="rId17"/>
          <w:pgSz w:w="12240" w:h="15840"/>
          <w:pgMar w:top="1080" w:right="880" w:bottom="920" w:left="880" w:header="748" w:footer="731"/>
          <w:pgNumType w:start="7"/>
          <w:cols w:space="708"/>
        </w:sectPr>
      </w:pPr>
    </w:p>
    <w:p>
      <w:pPr>
        <w:pStyle w:val="BodyText"/>
        <w:spacing w:before="6"/>
        <w:rPr>
          <w:sz w:val="20"/>
        </w:rPr>
      </w:pPr>
    </w:p>
    <w:p>
      <w:pPr>
        <w:pStyle w:val="ListParagraph"/>
        <w:numPr>
          <w:ilvl w:val="2"/>
          <w:numId w:val="18"/>
        </w:numPr>
        <w:tabs>
          <w:tab w:val="left" w:pos="1415"/>
        </w:tabs>
        <w:spacing w:before="4" w:after="0" w:line="330" w:lineRule="exact"/>
        <w:ind w:left="1414" w:right="0" w:hanging="741"/>
        <w:jc w:val="left"/>
        <w:rPr>
          <w:rFonts w:ascii="微软雅黑" w:eastAsia="微软雅黑"/>
          <w:b/>
          <w:sz w:val="21"/>
        </w:rPr>
      </w:pPr>
      <w:r>
        <w:rPr>
          <w:spacing w:val="-1"/>
          <w:sz w:val="21"/>
        </w:rPr>
        <w:t>评标委员会由采购人代表和有关技术、经济等方面的专家组成，独立开展评审工作。</w:t>
      </w:r>
    </w:p>
    <w:p>
      <w:pPr>
        <w:pStyle w:val="Heading5"/>
        <w:numPr>
          <w:ilvl w:val="1"/>
          <w:numId w:val="18"/>
        </w:numPr>
        <w:tabs>
          <w:tab w:val="left" w:pos="1203"/>
        </w:tabs>
        <w:spacing w:before="0" w:after="0" w:line="272" w:lineRule="exact"/>
        <w:ind w:left="1202" w:right="0" w:hanging="529"/>
        <w:jc w:val="left"/>
        <w:rPr>
          <w:rFonts w:ascii="微软雅黑" w:eastAsia="微软雅黑"/>
        </w:rPr>
      </w:pPr>
      <w:r>
        <w:rPr>
          <w:rFonts w:ascii="微软雅黑" w:eastAsia="微软雅黑"/>
          <w:spacing w:val="-3"/>
        </w:rPr>
        <w:t>评标程序</w:t>
      </w:r>
    </w:p>
    <w:p>
      <w:pPr>
        <w:pStyle w:val="ListParagraph"/>
        <w:numPr>
          <w:ilvl w:val="2"/>
          <w:numId w:val="18"/>
        </w:numPr>
        <w:tabs>
          <w:tab w:val="left" w:pos="1409"/>
        </w:tabs>
        <w:spacing w:before="0" w:after="0" w:line="306" w:lineRule="exact"/>
        <w:ind w:left="1409" w:right="0" w:hanging="735"/>
        <w:jc w:val="left"/>
        <w:rPr>
          <w:sz w:val="21"/>
        </w:rPr>
      </w:pPr>
      <w:r>
        <w:rPr>
          <w:rFonts w:ascii="微软雅黑" w:eastAsia="微软雅黑"/>
          <w:b/>
          <w:spacing w:val="-2"/>
          <w:sz w:val="21"/>
        </w:rPr>
        <w:t>投标文件的资格性检查。</w:t>
      </w:r>
      <w:r>
        <w:rPr>
          <w:spacing w:val="-3"/>
          <w:sz w:val="21"/>
        </w:rPr>
        <w:t>依据法律法规和招标文件的规定，对投标文件中资格证明、投标保证金</w:t>
      </w:r>
    </w:p>
    <w:p>
      <w:pPr>
        <w:pStyle w:val="BodyText"/>
        <w:spacing w:line="245" w:lineRule="exact"/>
        <w:ind w:left="254"/>
      </w:pPr>
      <w:r>
        <w:rPr>
          <w:spacing w:val="-1"/>
        </w:rPr>
        <w:t>等进行审查，以确定供应商是否具备投标资格。投标文件有下列情况之一的，在资格性、符合性检查时按照</w:t>
      </w:r>
    </w:p>
    <w:p>
      <w:pPr>
        <w:pStyle w:val="BodyText"/>
        <w:spacing w:before="3"/>
        <w:ind w:left="254"/>
      </w:pPr>
      <w:r>
        <w:rPr>
          <w:spacing w:val="-2"/>
        </w:rPr>
        <w:t>无效投标处理：</w:t>
      </w:r>
    </w:p>
    <w:p>
      <w:pPr>
        <w:pStyle w:val="ListParagraph"/>
        <w:numPr>
          <w:ilvl w:val="0"/>
          <w:numId w:val="16"/>
        </w:numPr>
        <w:tabs>
          <w:tab w:val="left" w:pos="1200"/>
        </w:tabs>
        <w:spacing w:before="3" w:after="0" w:line="240" w:lineRule="auto"/>
        <w:ind w:left="1200" w:right="0" w:hanging="526"/>
        <w:jc w:val="left"/>
        <w:rPr>
          <w:sz w:val="21"/>
        </w:rPr>
      </w:pPr>
      <w:r>
        <w:rPr>
          <w:spacing w:val="-1"/>
          <w:sz w:val="21"/>
        </w:rPr>
        <w:t>未按投标邀请规定的数额和办法交纳投标保证金的；</w:t>
      </w:r>
    </w:p>
    <w:p>
      <w:pPr>
        <w:pStyle w:val="ListParagraph"/>
        <w:numPr>
          <w:ilvl w:val="0"/>
          <w:numId w:val="16"/>
        </w:numPr>
        <w:tabs>
          <w:tab w:val="left" w:pos="1200"/>
        </w:tabs>
        <w:spacing w:before="4" w:after="0" w:line="242" w:lineRule="auto"/>
        <w:ind w:left="254" w:right="251" w:firstLine="420"/>
        <w:jc w:val="left"/>
        <w:rPr>
          <w:sz w:val="21"/>
        </w:rPr>
      </w:pPr>
      <w:r>
        <w:rPr>
          <w:spacing w:val="-2"/>
          <w:sz w:val="21"/>
        </w:rPr>
        <w:t>未按照招标文件规定要求密封、签署、盖章的，以及没有《开标一览表》或《开标一览表》没有按</w:t>
      </w:r>
      <w:r>
        <w:rPr>
          <w:spacing w:val="-2"/>
          <w:sz w:val="21"/>
        </w:rPr>
        <w:t>照招标文件要求盖章的；</w:t>
      </w:r>
    </w:p>
    <w:p>
      <w:pPr>
        <w:pStyle w:val="ListParagraph"/>
        <w:numPr>
          <w:ilvl w:val="0"/>
          <w:numId w:val="16"/>
        </w:numPr>
        <w:tabs>
          <w:tab w:val="left" w:pos="1200"/>
        </w:tabs>
        <w:spacing w:before="0" w:after="0" w:line="297" w:lineRule="exact"/>
        <w:ind w:left="1200" w:right="0" w:hanging="526"/>
        <w:jc w:val="left"/>
        <w:rPr>
          <w:sz w:val="21"/>
        </w:rPr>
      </w:pPr>
      <w:r>
        <w:rPr>
          <w:sz w:val="21"/>
        </w:rPr>
        <w:t>不具备招标文件中规定资格要求的（仅审查</w:t>
      </w:r>
      <w:r>
        <w:rPr>
          <w:rFonts w:ascii="微软雅黑" w:eastAsia="微软雅黑"/>
          <w:b/>
          <w:sz w:val="21"/>
        </w:rPr>
        <w:t>采购人根据采购项目的特殊要求规定的特定条件</w:t>
      </w:r>
      <w:r>
        <w:rPr>
          <w:spacing w:val="-5"/>
          <w:sz w:val="21"/>
        </w:rPr>
        <w:t>）；</w:t>
      </w:r>
    </w:p>
    <w:p>
      <w:pPr>
        <w:pStyle w:val="ListParagraph"/>
        <w:numPr>
          <w:ilvl w:val="0"/>
          <w:numId w:val="16"/>
        </w:numPr>
        <w:tabs>
          <w:tab w:val="left" w:pos="1200"/>
        </w:tabs>
        <w:spacing w:before="0" w:after="0" w:line="245" w:lineRule="exact"/>
        <w:ind w:left="1200" w:right="0" w:hanging="526"/>
        <w:jc w:val="left"/>
        <w:rPr>
          <w:sz w:val="21"/>
        </w:rPr>
      </w:pPr>
      <w:r>
        <w:rPr>
          <w:spacing w:val="-1"/>
          <w:sz w:val="21"/>
        </w:rPr>
        <w:t>不同投标人的投标文件由同一单位或者个人编制；</w:t>
      </w:r>
    </w:p>
    <w:p>
      <w:pPr>
        <w:pStyle w:val="ListParagraph"/>
        <w:numPr>
          <w:ilvl w:val="0"/>
          <w:numId w:val="16"/>
        </w:numPr>
        <w:tabs>
          <w:tab w:val="left" w:pos="1200"/>
        </w:tabs>
        <w:spacing w:before="3" w:after="0" w:line="240" w:lineRule="auto"/>
        <w:ind w:left="1200" w:right="0" w:hanging="526"/>
        <w:jc w:val="left"/>
        <w:rPr>
          <w:sz w:val="21"/>
        </w:rPr>
      </w:pPr>
      <w:r>
        <w:rPr>
          <w:spacing w:val="-1"/>
          <w:sz w:val="21"/>
        </w:rPr>
        <w:t>不同投标人委托同一单位或者个人办理投标事宜；</w:t>
      </w:r>
    </w:p>
    <w:p>
      <w:pPr>
        <w:pStyle w:val="ListParagraph"/>
        <w:numPr>
          <w:ilvl w:val="0"/>
          <w:numId w:val="16"/>
        </w:numPr>
        <w:tabs>
          <w:tab w:val="left" w:pos="1200"/>
        </w:tabs>
        <w:spacing w:before="3" w:after="0" w:line="240" w:lineRule="auto"/>
        <w:ind w:left="1200" w:right="0" w:hanging="526"/>
        <w:jc w:val="left"/>
        <w:rPr>
          <w:sz w:val="21"/>
        </w:rPr>
      </w:pPr>
      <w:r>
        <w:rPr>
          <w:spacing w:val="-1"/>
          <w:sz w:val="21"/>
        </w:rPr>
        <w:t>不同投标人的投标文件载明的项目管理成员为同一人；</w:t>
      </w:r>
    </w:p>
    <w:p>
      <w:pPr>
        <w:pStyle w:val="ListParagraph"/>
        <w:numPr>
          <w:ilvl w:val="0"/>
          <w:numId w:val="16"/>
        </w:numPr>
        <w:tabs>
          <w:tab w:val="left" w:pos="1200"/>
        </w:tabs>
        <w:spacing w:before="3" w:after="0" w:line="240" w:lineRule="auto"/>
        <w:ind w:left="1200" w:right="0" w:hanging="526"/>
        <w:jc w:val="left"/>
        <w:rPr>
          <w:sz w:val="21"/>
        </w:rPr>
      </w:pPr>
      <w:r>
        <w:rPr>
          <w:spacing w:val="-1"/>
          <w:sz w:val="21"/>
        </w:rPr>
        <w:t>不同投标人的投标文件异常一致或者投标报价呈规律性差异；</w:t>
      </w:r>
    </w:p>
    <w:p>
      <w:pPr>
        <w:pStyle w:val="ListParagraph"/>
        <w:numPr>
          <w:ilvl w:val="0"/>
          <w:numId w:val="16"/>
        </w:numPr>
        <w:tabs>
          <w:tab w:val="left" w:pos="1200"/>
        </w:tabs>
        <w:spacing w:before="4" w:after="0" w:line="240" w:lineRule="auto"/>
        <w:ind w:left="1200" w:right="0" w:hanging="526"/>
        <w:jc w:val="left"/>
        <w:rPr>
          <w:sz w:val="21"/>
        </w:rPr>
      </w:pPr>
      <w:r>
        <w:rPr>
          <w:spacing w:val="-1"/>
          <w:sz w:val="21"/>
        </w:rPr>
        <w:t>不同投标人的投标文件相互混装；</w:t>
      </w:r>
    </w:p>
    <w:p>
      <w:pPr>
        <w:pStyle w:val="ListParagraph"/>
        <w:numPr>
          <w:ilvl w:val="0"/>
          <w:numId w:val="16"/>
        </w:numPr>
        <w:tabs>
          <w:tab w:val="left" w:pos="1200"/>
        </w:tabs>
        <w:spacing w:before="3" w:after="0" w:line="240" w:lineRule="auto"/>
        <w:ind w:left="1200" w:right="0" w:hanging="526"/>
        <w:jc w:val="left"/>
        <w:rPr>
          <w:sz w:val="21"/>
        </w:rPr>
      </w:pPr>
      <w:r>
        <w:rPr>
          <w:spacing w:val="-1"/>
          <w:sz w:val="21"/>
        </w:rPr>
        <w:t>不同投标人的投标保证金从同一单位或者个人的账户转出。</w:t>
      </w:r>
    </w:p>
    <w:p>
      <w:pPr>
        <w:pStyle w:val="ListParagraph"/>
        <w:numPr>
          <w:ilvl w:val="0"/>
          <w:numId w:val="16"/>
        </w:numPr>
        <w:tabs>
          <w:tab w:val="left" w:pos="1305"/>
        </w:tabs>
        <w:spacing w:before="3" w:after="0" w:line="240" w:lineRule="auto"/>
        <w:ind w:left="1305" w:right="0" w:hanging="631"/>
        <w:jc w:val="left"/>
        <w:rPr>
          <w:sz w:val="21"/>
        </w:rPr>
      </w:pPr>
      <w:r>
        <w:rPr>
          <w:spacing w:val="-1"/>
          <w:sz w:val="21"/>
        </w:rPr>
        <w:t>没有逐一说明投标货物品牌、型号、产地、技术参数，而是直接拷贝招标文件技术要求的；</w:t>
      </w:r>
    </w:p>
    <w:p>
      <w:pPr>
        <w:pStyle w:val="ListParagraph"/>
        <w:numPr>
          <w:ilvl w:val="0"/>
          <w:numId w:val="16"/>
        </w:numPr>
        <w:tabs>
          <w:tab w:val="left" w:pos="1305"/>
        </w:tabs>
        <w:spacing w:before="4" w:after="0" w:line="242" w:lineRule="auto"/>
        <w:ind w:left="254" w:right="355" w:firstLine="420"/>
        <w:jc w:val="left"/>
        <w:rPr>
          <w:sz w:val="21"/>
        </w:rPr>
      </w:pPr>
      <w:r>
        <w:rPr>
          <w:spacing w:val="-2"/>
          <w:sz w:val="21"/>
        </w:rPr>
        <w:t>不同投标人的委托代理人(或法定代表人、项目经理、项目总监、项目负责人等)在采购文件发布</w:t>
      </w:r>
      <w:r>
        <w:rPr>
          <w:spacing w:val="-2"/>
          <w:sz w:val="21"/>
        </w:rPr>
        <w:t>日上月至投标截止日当月在同一单位缴纳社会保险的；</w:t>
      </w:r>
    </w:p>
    <w:p>
      <w:pPr>
        <w:pStyle w:val="ListParagraph"/>
        <w:numPr>
          <w:ilvl w:val="0"/>
          <w:numId w:val="16"/>
        </w:numPr>
        <w:tabs>
          <w:tab w:val="left" w:pos="1305"/>
        </w:tabs>
        <w:spacing w:before="1" w:after="0" w:line="240" w:lineRule="auto"/>
        <w:ind w:left="1305" w:right="0" w:hanging="631"/>
        <w:jc w:val="left"/>
        <w:rPr>
          <w:sz w:val="21"/>
        </w:rPr>
      </w:pPr>
      <w:r>
        <w:rPr>
          <w:spacing w:val="-1"/>
          <w:sz w:val="21"/>
        </w:rPr>
        <w:t>服务承诺和付款条件未响应招标要求的；</w:t>
      </w:r>
    </w:p>
    <w:p>
      <w:pPr>
        <w:pStyle w:val="ListParagraph"/>
        <w:numPr>
          <w:ilvl w:val="0"/>
          <w:numId w:val="16"/>
        </w:numPr>
        <w:tabs>
          <w:tab w:val="left" w:pos="1305"/>
        </w:tabs>
        <w:spacing w:before="3" w:after="0" w:line="237" w:lineRule="exact"/>
        <w:ind w:left="1305" w:right="0" w:hanging="631"/>
        <w:jc w:val="left"/>
        <w:rPr>
          <w:sz w:val="21"/>
        </w:rPr>
      </w:pPr>
      <w:r>
        <w:rPr>
          <w:spacing w:val="-1"/>
          <w:sz w:val="21"/>
        </w:rPr>
        <w:t>不符合法律、法规和招标文件规定的其他实质性要求的。</w:t>
      </w:r>
    </w:p>
    <w:p>
      <w:pPr>
        <w:pStyle w:val="ListParagraph"/>
        <w:numPr>
          <w:ilvl w:val="2"/>
          <w:numId w:val="18"/>
        </w:numPr>
        <w:tabs>
          <w:tab w:val="left" w:pos="1415"/>
        </w:tabs>
        <w:spacing w:before="10" w:after="0" w:line="204" w:lineRule="auto"/>
        <w:ind w:left="254" w:right="251" w:firstLine="420"/>
        <w:jc w:val="left"/>
        <w:rPr>
          <w:rFonts w:ascii="微软雅黑" w:eastAsia="微软雅黑"/>
          <w:b/>
          <w:sz w:val="21"/>
        </w:rPr>
      </w:pPr>
      <w:r>
        <w:rPr>
          <w:rFonts w:ascii="微软雅黑" w:eastAsia="微软雅黑"/>
          <w:b/>
          <w:spacing w:val="-2"/>
          <w:sz w:val="21"/>
        </w:rPr>
        <w:t>投标文件的符合性检查</w:t>
      </w:r>
      <w:r>
        <w:rPr>
          <w:spacing w:val="-2"/>
          <w:sz w:val="21"/>
        </w:rPr>
        <w:t>。依据招标文件规定，从投标文件的有效性、完整性和对招标文件的响应</w:t>
      </w:r>
      <w:r>
        <w:rPr>
          <w:spacing w:val="-2"/>
          <w:sz w:val="21"/>
        </w:rPr>
        <w:t>程度进行审查，以确定是否对招标文件的实质性要求作出响应。</w:t>
      </w:r>
    </w:p>
    <w:p>
      <w:pPr>
        <w:pStyle w:val="ListParagraph"/>
        <w:numPr>
          <w:ilvl w:val="3"/>
          <w:numId w:val="18"/>
        </w:numPr>
        <w:tabs>
          <w:tab w:val="left" w:pos="1574"/>
        </w:tabs>
        <w:spacing w:before="0" w:after="0" w:line="309" w:lineRule="exact"/>
        <w:ind w:left="1573" w:right="0" w:hanging="900"/>
        <w:jc w:val="left"/>
        <w:rPr>
          <w:sz w:val="21"/>
        </w:rPr>
      </w:pPr>
      <w:r>
        <w:rPr>
          <w:spacing w:val="-2"/>
          <w:sz w:val="21"/>
        </w:rPr>
        <w:t>实质性要求是指本招标文件中用带星号（“*”）、“必须”或“应（应当）</w:t>
      </w:r>
      <w:r>
        <w:rPr>
          <w:spacing w:val="-4"/>
          <w:sz w:val="21"/>
        </w:rPr>
        <w:t>”等其他文字说明</w:t>
      </w:r>
    </w:p>
    <w:p>
      <w:pPr>
        <w:pStyle w:val="BodyText"/>
        <w:spacing w:line="213" w:lineRule="exact"/>
        <w:ind w:left="254"/>
      </w:pPr>
      <w:r>
        <w:rPr>
          <w:spacing w:val="-2"/>
        </w:rPr>
        <w:t>的商务和技术要求。</w:t>
      </w:r>
    </w:p>
    <w:p>
      <w:pPr>
        <w:pStyle w:val="ListParagraph"/>
        <w:numPr>
          <w:ilvl w:val="3"/>
          <w:numId w:val="18"/>
        </w:numPr>
        <w:tabs>
          <w:tab w:val="left" w:pos="1626"/>
        </w:tabs>
        <w:spacing w:before="0" w:after="0" w:line="331" w:lineRule="exact"/>
        <w:ind w:left="1625" w:right="0" w:hanging="952"/>
        <w:jc w:val="left"/>
        <w:rPr>
          <w:sz w:val="21"/>
        </w:rPr>
      </w:pPr>
      <w:r>
        <w:rPr>
          <w:spacing w:val="-1"/>
          <w:sz w:val="21"/>
        </w:rPr>
        <w:t>有下列情形之一的予以废标，同时将废标理由通知所有投标供应商：</w:t>
      </w:r>
    </w:p>
    <w:p>
      <w:pPr>
        <w:pStyle w:val="ListParagraph"/>
        <w:numPr>
          <w:ilvl w:val="0"/>
          <w:numId w:val="15"/>
        </w:numPr>
        <w:tabs>
          <w:tab w:val="left" w:pos="1200"/>
        </w:tabs>
        <w:spacing w:before="0" w:after="0" w:line="245" w:lineRule="exact"/>
        <w:ind w:left="1200" w:right="0" w:hanging="526"/>
        <w:jc w:val="left"/>
        <w:rPr>
          <w:sz w:val="21"/>
        </w:rPr>
      </w:pPr>
      <w:r>
        <w:rPr>
          <w:spacing w:val="-1"/>
          <w:sz w:val="21"/>
        </w:rPr>
        <w:t>符合专业条件的供应商或者对招标文件作实质性响应的供应商不足三家的；</w:t>
      </w:r>
    </w:p>
    <w:p>
      <w:pPr>
        <w:pStyle w:val="ListParagraph"/>
        <w:numPr>
          <w:ilvl w:val="0"/>
          <w:numId w:val="15"/>
        </w:numPr>
        <w:tabs>
          <w:tab w:val="left" w:pos="1200"/>
        </w:tabs>
        <w:spacing w:before="3" w:after="0" w:line="240" w:lineRule="auto"/>
        <w:ind w:left="1200" w:right="0" w:hanging="526"/>
        <w:jc w:val="left"/>
        <w:rPr>
          <w:sz w:val="21"/>
        </w:rPr>
      </w:pPr>
      <w:r>
        <w:rPr>
          <w:spacing w:val="-1"/>
          <w:sz w:val="21"/>
        </w:rPr>
        <w:t>出现影响采购公正的违法、违规行为的；</w:t>
      </w:r>
    </w:p>
    <w:p>
      <w:pPr>
        <w:pStyle w:val="ListParagraph"/>
        <w:numPr>
          <w:ilvl w:val="0"/>
          <w:numId w:val="15"/>
        </w:numPr>
        <w:tabs>
          <w:tab w:val="left" w:pos="1200"/>
        </w:tabs>
        <w:spacing w:before="3" w:after="0" w:line="240" w:lineRule="auto"/>
        <w:ind w:left="1200" w:right="0" w:hanging="526"/>
        <w:jc w:val="left"/>
        <w:rPr>
          <w:sz w:val="21"/>
        </w:rPr>
      </w:pPr>
      <w:r>
        <w:rPr>
          <w:spacing w:val="-1"/>
          <w:sz w:val="21"/>
        </w:rPr>
        <w:t>投标人的报价均超过了采购预算，采购人不能支付的；</w:t>
      </w:r>
    </w:p>
    <w:p>
      <w:pPr>
        <w:pStyle w:val="ListParagraph"/>
        <w:numPr>
          <w:ilvl w:val="0"/>
          <w:numId w:val="15"/>
        </w:numPr>
        <w:tabs>
          <w:tab w:val="left" w:pos="1200"/>
        </w:tabs>
        <w:spacing w:before="4" w:after="0" w:line="237" w:lineRule="exact"/>
        <w:ind w:left="1200" w:right="0" w:hanging="526"/>
        <w:jc w:val="left"/>
        <w:rPr>
          <w:sz w:val="21"/>
        </w:rPr>
      </w:pPr>
      <w:r>
        <w:rPr>
          <w:spacing w:val="-1"/>
          <w:sz w:val="21"/>
        </w:rPr>
        <w:t>因重大变故，采购任务取消的。</w:t>
      </w:r>
    </w:p>
    <w:p>
      <w:pPr>
        <w:pStyle w:val="ListParagraph"/>
        <w:numPr>
          <w:ilvl w:val="3"/>
          <w:numId w:val="18"/>
        </w:numPr>
        <w:tabs>
          <w:tab w:val="left" w:pos="1626"/>
        </w:tabs>
        <w:spacing w:before="9" w:after="0" w:line="204" w:lineRule="auto"/>
        <w:ind w:left="254" w:right="251" w:firstLine="420"/>
        <w:jc w:val="left"/>
        <w:rPr>
          <w:sz w:val="21"/>
        </w:rPr>
      </w:pPr>
      <w:r>
        <w:rPr>
          <w:spacing w:val="-2"/>
          <w:sz w:val="21"/>
        </w:rPr>
        <w:t>在评标期间，出现符合专业条件的供应商或者对招标文件作出实质性响应的供应商不足三家情</w:t>
      </w:r>
      <w:r>
        <w:rPr>
          <w:spacing w:val="-4"/>
          <w:sz w:val="21"/>
        </w:rPr>
        <w:t xml:space="preserve">形的，比照 </w:t>
      </w:r>
      <w:r>
        <w:rPr>
          <w:sz w:val="21"/>
        </w:rPr>
        <w:t>21.6</w:t>
      </w:r>
      <w:r>
        <w:rPr>
          <w:spacing w:val="-5"/>
          <w:sz w:val="21"/>
        </w:rPr>
        <w:t xml:space="preserve"> 款执行。</w:t>
      </w:r>
    </w:p>
    <w:p>
      <w:pPr>
        <w:pStyle w:val="ListParagraph"/>
        <w:numPr>
          <w:ilvl w:val="2"/>
          <w:numId w:val="18"/>
        </w:numPr>
        <w:tabs>
          <w:tab w:val="left" w:pos="1409"/>
        </w:tabs>
        <w:spacing w:before="0" w:after="0" w:line="309" w:lineRule="exact"/>
        <w:ind w:left="1409" w:right="0" w:hanging="735"/>
        <w:jc w:val="left"/>
        <w:rPr>
          <w:sz w:val="21"/>
        </w:rPr>
      </w:pPr>
      <w:r>
        <w:rPr>
          <w:rFonts w:ascii="微软雅黑" w:eastAsia="微软雅黑"/>
          <w:b/>
          <w:sz w:val="21"/>
        </w:rPr>
        <w:t>澄清有关问题</w:t>
      </w:r>
      <w:r>
        <w:rPr>
          <w:spacing w:val="-12"/>
          <w:sz w:val="21"/>
        </w:rPr>
        <w:t>。对投标文件中含义不明确、同类问题表述不一致或者明显文字和计算错误的内容，</w:t>
      </w:r>
    </w:p>
    <w:p>
      <w:pPr>
        <w:pStyle w:val="BodyText"/>
        <w:spacing w:line="245" w:lineRule="exact"/>
        <w:ind w:left="254"/>
      </w:pPr>
      <w:r>
        <w:rPr>
          <w:spacing w:val="-3"/>
        </w:rPr>
        <w:t>评标委员会可以要求投标人作出必要的澄清、说明或者补正。投标人的澄清、说明、补正应当采用书面形式，</w:t>
      </w:r>
    </w:p>
    <w:p>
      <w:pPr>
        <w:pStyle w:val="BodyText"/>
        <w:spacing w:before="3" w:line="237" w:lineRule="exact"/>
        <w:ind w:left="254"/>
      </w:pPr>
      <w:r>
        <w:rPr>
          <w:spacing w:val="-1"/>
        </w:rPr>
        <w:t>由其授权代表签字，但不得超出投标文件的范围或者改变投标文件的实质性内容。</w:t>
      </w:r>
    </w:p>
    <w:p>
      <w:pPr>
        <w:pStyle w:val="ListParagraph"/>
        <w:numPr>
          <w:ilvl w:val="2"/>
          <w:numId w:val="18"/>
        </w:numPr>
        <w:tabs>
          <w:tab w:val="left" w:pos="1409"/>
        </w:tabs>
        <w:spacing w:before="10" w:after="0" w:line="204" w:lineRule="auto"/>
        <w:ind w:left="254" w:right="251" w:firstLine="420"/>
        <w:jc w:val="left"/>
        <w:rPr>
          <w:sz w:val="21"/>
        </w:rPr>
      </w:pPr>
      <w:r>
        <w:rPr>
          <w:rFonts w:ascii="微软雅黑" w:eastAsia="微软雅黑"/>
          <w:b/>
          <w:spacing w:val="-2"/>
          <w:sz w:val="21"/>
        </w:rPr>
        <w:t>比较与评价。</w:t>
      </w:r>
      <w:r>
        <w:rPr>
          <w:spacing w:val="-2"/>
          <w:sz w:val="21"/>
        </w:rPr>
        <w:t>按照招标文件中规定的评标方法和标准，对资格性检查和符合性检查合格的投标文</w:t>
      </w:r>
      <w:r>
        <w:rPr>
          <w:spacing w:val="-2"/>
          <w:sz w:val="21"/>
        </w:rPr>
        <w:t>件进行商务和技术评估，综合比较与评价。</w:t>
      </w:r>
    </w:p>
    <w:p>
      <w:pPr>
        <w:pStyle w:val="Heading5"/>
        <w:numPr>
          <w:ilvl w:val="1"/>
          <w:numId w:val="18"/>
        </w:numPr>
        <w:tabs>
          <w:tab w:val="left" w:pos="1203"/>
        </w:tabs>
        <w:spacing w:before="0" w:after="0" w:line="275" w:lineRule="exact"/>
        <w:ind w:left="1202" w:right="0" w:hanging="529"/>
        <w:jc w:val="left"/>
        <w:rPr>
          <w:rFonts w:ascii="微软雅黑" w:eastAsia="微软雅黑"/>
        </w:rPr>
      </w:pPr>
      <w:r>
        <w:rPr>
          <w:rFonts w:ascii="微软雅黑" w:eastAsia="微软雅黑"/>
          <w:spacing w:val="-2"/>
        </w:rPr>
        <w:t>评标方法和标准</w:t>
      </w:r>
    </w:p>
    <w:p>
      <w:pPr>
        <w:pStyle w:val="ListParagraph"/>
        <w:numPr>
          <w:ilvl w:val="2"/>
          <w:numId w:val="18"/>
        </w:numPr>
        <w:tabs>
          <w:tab w:val="left" w:pos="1415"/>
        </w:tabs>
        <w:spacing w:before="0" w:after="0" w:line="306" w:lineRule="exact"/>
        <w:ind w:left="1414" w:right="0" w:hanging="741"/>
        <w:jc w:val="left"/>
        <w:rPr>
          <w:rFonts w:ascii="微软雅黑" w:eastAsia="微软雅黑"/>
          <w:b/>
          <w:sz w:val="21"/>
        </w:rPr>
      </w:pPr>
      <w:r>
        <w:rPr>
          <w:spacing w:val="-3"/>
          <w:sz w:val="21"/>
        </w:rPr>
        <w:t>采用综合评分法。即在最大限度地满足招标文件实质性要求前提下，按照招标文件中规定的各项</w:t>
      </w:r>
    </w:p>
    <w:p>
      <w:pPr>
        <w:pStyle w:val="BodyText"/>
        <w:spacing w:line="213" w:lineRule="exact"/>
        <w:ind w:left="254"/>
      </w:pPr>
      <w:r>
        <w:rPr>
          <w:spacing w:val="-1"/>
        </w:rPr>
        <w:t>因素进行综合评审后，以评标总得分最高的投标人作为中标候选供应商或者中标供应商的评标方法。</w:t>
      </w:r>
    </w:p>
    <w:p>
      <w:pPr>
        <w:pStyle w:val="ListParagraph"/>
        <w:numPr>
          <w:ilvl w:val="2"/>
          <w:numId w:val="18"/>
        </w:numPr>
        <w:tabs>
          <w:tab w:val="left" w:pos="1415"/>
        </w:tabs>
        <w:spacing w:before="0" w:after="0" w:line="331" w:lineRule="exact"/>
        <w:ind w:left="1414" w:right="0" w:hanging="741"/>
        <w:jc w:val="left"/>
        <w:rPr>
          <w:rFonts w:ascii="微软雅黑" w:eastAsia="微软雅黑"/>
          <w:b/>
          <w:sz w:val="21"/>
        </w:rPr>
      </w:pPr>
      <w:r>
        <w:rPr>
          <w:sz w:val="21"/>
        </w:rPr>
        <w:t>综合评分的主要因素是：</w:t>
      </w:r>
      <w:r>
        <w:rPr>
          <w:rFonts w:ascii="微软雅黑" w:eastAsia="微软雅黑"/>
          <w:b/>
          <w:sz w:val="21"/>
        </w:rPr>
        <w:t>价格、技术</w:t>
      </w:r>
      <w:r>
        <w:rPr>
          <w:spacing w:val="-5"/>
          <w:sz w:val="21"/>
        </w:rPr>
        <w:t>等。</w:t>
      </w:r>
    </w:p>
    <w:p>
      <w:pPr>
        <w:pStyle w:val="ListParagraph"/>
        <w:numPr>
          <w:ilvl w:val="2"/>
          <w:numId w:val="18"/>
        </w:numPr>
        <w:tabs>
          <w:tab w:val="left" w:pos="1409"/>
        </w:tabs>
        <w:spacing w:before="0" w:after="0" w:line="213" w:lineRule="exact"/>
        <w:ind w:left="1409" w:right="0" w:hanging="735"/>
        <w:jc w:val="left"/>
        <w:rPr>
          <w:sz w:val="21"/>
        </w:rPr>
      </w:pPr>
      <w:r>
        <w:rPr>
          <w:spacing w:val="-1"/>
          <w:sz w:val="21"/>
        </w:rPr>
        <w:t>评分标准详见第三章。</w:t>
      </w:r>
    </w:p>
    <w:p>
      <w:pPr>
        <w:pStyle w:val="Heading5"/>
        <w:spacing w:line="331" w:lineRule="exact"/>
        <w:rPr>
          <w:rFonts w:ascii="微软雅黑" w:eastAsia="微软雅黑"/>
        </w:rPr>
      </w:pPr>
      <w:r>
        <w:rPr>
          <w:rFonts w:ascii="微软雅黑" w:eastAsia="微软雅黑"/>
          <w:spacing w:val="-6"/>
        </w:rPr>
        <w:t>23</w:t>
      </w:r>
      <w:r>
        <w:rPr>
          <w:rFonts w:ascii="微软雅黑" w:eastAsia="微软雅黑"/>
          <w:spacing w:val="-7"/>
        </w:rPr>
        <w:t>、确定中标供应商</w:t>
      </w:r>
    </w:p>
    <w:p>
      <w:pPr>
        <w:pStyle w:val="ListParagraph"/>
        <w:numPr>
          <w:ilvl w:val="1"/>
          <w:numId w:val="14"/>
        </w:numPr>
        <w:tabs>
          <w:tab w:val="left" w:pos="1199"/>
        </w:tabs>
        <w:spacing w:before="0" w:after="0" w:line="245" w:lineRule="exact"/>
        <w:ind w:left="1199" w:right="0" w:hanging="525"/>
        <w:jc w:val="left"/>
        <w:rPr>
          <w:sz w:val="21"/>
        </w:rPr>
      </w:pPr>
      <w:r>
        <w:rPr>
          <w:spacing w:val="-11"/>
          <w:sz w:val="21"/>
        </w:rPr>
        <w:t>在评标期间，出现符合专业条件的供应商或者对招标文件作出实质性响应的供应商不足三家情形的，</w:t>
      </w:r>
    </w:p>
    <w:p>
      <w:pPr>
        <w:pStyle w:val="BodyText"/>
        <w:spacing w:before="3"/>
        <w:ind w:left="254"/>
      </w:pPr>
      <w:r>
        <w:t>比照21.6</w:t>
      </w:r>
      <w:r>
        <w:rPr>
          <w:spacing w:val="-3"/>
        </w:rPr>
        <w:t>款执行。</w:t>
      </w:r>
    </w:p>
    <w:p>
      <w:pPr>
        <w:pStyle w:val="ListParagraph"/>
        <w:numPr>
          <w:ilvl w:val="1"/>
          <w:numId w:val="14"/>
        </w:numPr>
        <w:tabs>
          <w:tab w:val="left" w:pos="1199"/>
        </w:tabs>
        <w:spacing w:before="4" w:after="0" w:line="242" w:lineRule="auto"/>
        <w:ind w:left="254" w:right="251" w:firstLine="420"/>
        <w:jc w:val="left"/>
        <w:rPr>
          <w:sz w:val="21"/>
        </w:rPr>
      </w:pPr>
      <w:r>
        <w:rPr>
          <w:spacing w:val="-2"/>
          <w:sz w:val="21"/>
        </w:rPr>
        <w:t>综合比较与评价后按照得分高低顺序对供应商进行排列。得分相同的，按投标报价由低到高顺序排</w:t>
      </w:r>
      <w:r>
        <w:rPr>
          <w:spacing w:val="-2"/>
          <w:sz w:val="21"/>
        </w:rPr>
        <w:t>列。得分且投标报价相同的，按技术指标优劣顺序排列。综合排名第一名的供应商确定为中标供应商。</w:t>
      </w:r>
    </w:p>
    <w:p>
      <w:pPr>
        <w:pStyle w:val="ListParagraph"/>
        <w:numPr>
          <w:ilvl w:val="1"/>
          <w:numId w:val="14"/>
        </w:numPr>
        <w:tabs>
          <w:tab w:val="left" w:pos="1199"/>
        </w:tabs>
        <w:spacing w:before="1" w:after="0" w:line="240" w:lineRule="auto"/>
        <w:ind w:left="1199" w:right="0" w:hanging="525"/>
        <w:jc w:val="left"/>
        <w:rPr>
          <w:sz w:val="21"/>
        </w:rPr>
      </w:pPr>
      <w:r>
        <w:rPr>
          <w:spacing w:val="-3"/>
          <w:sz w:val="21"/>
        </w:rPr>
        <w:t>中标供应商确定后，将中标结果在原招标公告发布媒体进行公示，公示期为七个工作日，公示期内</w:t>
      </w:r>
    </w:p>
    <w:p>
      <w:pPr>
        <w:spacing w:after="0" w:line="240" w:lineRule="auto"/>
        <w:jc w:val="left"/>
        <w:rPr>
          <w:sz w:val="21"/>
        </w:rPr>
        <w:sectPr>
          <w:headerReference w:type="default" r:id="rId18"/>
          <w:footerReference w:type="default" r:id="rId19"/>
          <w:pgSz w:w="12240" w:h="15840"/>
          <w:pgMar w:top="1080" w:right="880" w:bottom="920" w:left="880" w:header="748" w:footer="731"/>
          <w:pgNumType w:start="8"/>
          <w:cols w:space="708"/>
        </w:sectPr>
      </w:pPr>
    </w:p>
    <w:p>
      <w:pPr>
        <w:pStyle w:val="BodyText"/>
        <w:spacing w:before="6"/>
        <w:rPr>
          <w:sz w:val="20"/>
        </w:rPr>
      </w:pPr>
    </w:p>
    <w:p>
      <w:pPr>
        <w:pStyle w:val="BodyText"/>
        <w:spacing w:before="71"/>
        <w:ind w:left="254"/>
      </w:pPr>
      <w:r>
        <w:rPr>
          <w:spacing w:val="-1"/>
        </w:rPr>
        <w:t>无供应商质疑的，向中标供应商发出中标通知书。</w:t>
      </w:r>
    </w:p>
    <w:p>
      <w:pPr>
        <w:pStyle w:val="ListParagraph"/>
        <w:numPr>
          <w:ilvl w:val="1"/>
          <w:numId w:val="46"/>
        </w:numPr>
        <w:tabs>
          <w:tab w:val="left" w:pos="1199"/>
        </w:tabs>
        <w:spacing w:before="3" w:after="0" w:line="240" w:lineRule="auto"/>
        <w:ind w:left="1199" w:right="0" w:hanging="525"/>
        <w:jc w:val="left"/>
        <w:rPr>
          <w:sz w:val="21"/>
        </w:rPr>
      </w:pPr>
      <w:r>
        <w:rPr>
          <w:spacing w:val="-1"/>
          <w:sz w:val="21"/>
        </w:rPr>
        <w:t>中标通知书对采购人和中标供应商具有同等法律效力。</w:t>
      </w:r>
    </w:p>
    <w:p>
      <w:pPr>
        <w:pStyle w:val="ListParagraph"/>
        <w:numPr>
          <w:ilvl w:val="1"/>
          <w:numId w:val="46"/>
        </w:numPr>
        <w:tabs>
          <w:tab w:val="left" w:pos="1199"/>
        </w:tabs>
        <w:spacing w:before="4" w:after="0" w:line="242" w:lineRule="auto"/>
        <w:ind w:left="254" w:right="251" w:firstLine="420"/>
        <w:jc w:val="left"/>
        <w:rPr>
          <w:sz w:val="21"/>
        </w:rPr>
      </w:pPr>
      <w:r>
        <w:rPr>
          <w:spacing w:val="-2"/>
          <w:sz w:val="21"/>
        </w:rPr>
        <w:t>中标通知书发出后，采购人或中标供应商拒绝签订合同的，拒绝签订合同的一方应至少向另一方支</w:t>
      </w:r>
      <w:r>
        <w:rPr>
          <w:spacing w:val="-2"/>
          <w:sz w:val="21"/>
        </w:rPr>
        <w:t>付与投标保证金相等的补偿金，以及为招标、投标所发生的有关费用和双方商定的其他补偿。</w:t>
      </w:r>
    </w:p>
    <w:p>
      <w:pPr>
        <w:pStyle w:val="ListParagraph"/>
        <w:numPr>
          <w:ilvl w:val="1"/>
          <w:numId w:val="46"/>
        </w:numPr>
        <w:tabs>
          <w:tab w:val="left" w:pos="1199"/>
        </w:tabs>
        <w:spacing w:before="1" w:after="0" w:line="242" w:lineRule="auto"/>
        <w:ind w:left="254" w:right="251" w:firstLine="420"/>
        <w:jc w:val="left"/>
        <w:rPr>
          <w:sz w:val="21"/>
        </w:rPr>
      </w:pPr>
      <w:r>
        <w:rPr>
          <w:spacing w:val="-2"/>
          <w:sz w:val="21"/>
        </w:rPr>
        <w:t>中标通知书发出后，中标供应商无正当理由不与采购人签订合同的，投标保证金不予退还；情节严</w:t>
      </w:r>
      <w:r>
        <w:rPr>
          <w:spacing w:val="-2"/>
          <w:sz w:val="21"/>
        </w:rPr>
        <w:t>重的，由财政部门将其列入不良行为记录名单，在一至三年内禁止参加南京市政府采购活动，并予以通报。</w:t>
      </w:r>
    </w:p>
    <w:p>
      <w:pPr>
        <w:pStyle w:val="ListParagraph"/>
        <w:numPr>
          <w:ilvl w:val="1"/>
          <w:numId w:val="46"/>
        </w:numPr>
        <w:tabs>
          <w:tab w:val="left" w:pos="1199"/>
        </w:tabs>
        <w:spacing w:before="1" w:after="0" w:line="240" w:lineRule="auto"/>
        <w:ind w:left="1199" w:right="0" w:hanging="525"/>
        <w:jc w:val="left"/>
        <w:rPr>
          <w:sz w:val="21"/>
        </w:rPr>
      </w:pPr>
      <w:r>
        <w:rPr>
          <w:spacing w:val="-1"/>
          <w:sz w:val="21"/>
        </w:rPr>
        <w:t>采购中心对未中标的投标人不作未中标原因的解释。</w:t>
      </w:r>
    </w:p>
    <w:p>
      <w:pPr>
        <w:pStyle w:val="ListParagraph"/>
        <w:numPr>
          <w:ilvl w:val="1"/>
          <w:numId w:val="46"/>
        </w:numPr>
        <w:tabs>
          <w:tab w:val="left" w:pos="1199"/>
        </w:tabs>
        <w:spacing w:before="3" w:after="0" w:line="237" w:lineRule="exact"/>
        <w:ind w:left="1199" w:right="0" w:hanging="525"/>
        <w:jc w:val="left"/>
        <w:rPr>
          <w:sz w:val="21"/>
        </w:rPr>
      </w:pPr>
      <w:r>
        <w:rPr>
          <w:spacing w:val="-1"/>
          <w:sz w:val="21"/>
        </w:rPr>
        <w:t>所有投标文件都将作为档案保存，不论中标与否，采购中心均不退回。</w:t>
      </w:r>
    </w:p>
    <w:p>
      <w:pPr>
        <w:pStyle w:val="Heading5"/>
        <w:spacing w:line="331" w:lineRule="exact"/>
        <w:ind w:left="665"/>
        <w:rPr>
          <w:rFonts w:ascii="微软雅黑" w:eastAsia="微软雅黑"/>
        </w:rPr>
      </w:pPr>
      <w:r>
        <w:rPr>
          <w:rFonts w:ascii="微软雅黑" w:eastAsia="微软雅黑"/>
          <w:spacing w:val="-8"/>
        </w:rPr>
        <w:t>24</w:t>
      </w:r>
      <w:r>
        <w:rPr>
          <w:rFonts w:ascii="微软雅黑" w:eastAsia="微软雅黑"/>
          <w:spacing w:val="-9"/>
        </w:rPr>
        <w:t>、编写评标报告</w:t>
      </w:r>
    </w:p>
    <w:p>
      <w:pPr>
        <w:pStyle w:val="ListParagraph"/>
        <w:numPr>
          <w:ilvl w:val="1"/>
          <w:numId w:val="13"/>
        </w:numPr>
        <w:tabs>
          <w:tab w:val="left" w:pos="1199"/>
        </w:tabs>
        <w:spacing w:before="0" w:after="0" w:line="213" w:lineRule="exact"/>
        <w:ind w:left="1199" w:right="0" w:hanging="525"/>
        <w:jc w:val="left"/>
        <w:rPr>
          <w:sz w:val="21"/>
        </w:rPr>
      </w:pPr>
      <w:r>
        <w:rPr>
          <w:spacing w:val="-1"/>
          <w:sz w:val="21"/>
        </w:rPr>
        <w:t>评标委员会根据全体评标成员签字的原始评标记录和评标结果编写评标报告。</w:t>
      </w:r>
    </w:p>
    <w:p>
      <w:pPr>
        <w:pStyle w:val="Heading5"/>
        <w:spacing w:line="331" w:lineRule="exact"/>
        <w:rPr>
          <w:rFonts w:ascii="微软雅黑" w:eastAsia="微软雅黑"/>
        </w:rPr>
      </w:pPr>
      <w:r>
        <w:rPr>
          <w:rFonts w:ascii="微软雅黑" w:eastAsia="微软雅黑"/>
          <w:spacing w:val="-6"/>
        </w:rPr>
        <w:t>25</w:t>
      </w:r>
      <w:r>
        <w:rPr>
          <w:rFonts w:ascii="微软雅黑" w:eastAsia="微软雅黑"/>
          <w:spacing w:val="-7"/>
        </w:rPr>
        <w:t>、评标过程的保密性</w:t>
      </w:r>
    </w:p>
    <w:p>
      <w:pPr>
        <w:pStyle w:val="ListParagraph"/>
        <w:numPr>
          <w:ilvl w:val="1"/>
          <w:numId w:val="12"/>
        </w:numPr>
        <w:tabs>
          <w:tab w:val="left" w:pos="1199"/>
        </w:tabs>
        <w:spacing w:before="0" w:after="0" w:line="245" w:lineRule="exact"/>
        <w:ind w:left="1199" w:right="0" w:hanging="525"/>
        <w:jc w:val="left"/>
        <w:rPr>
          <w:sz w:val="21"/>
        </w:rPr>
      </w:pPr>
      <w:r>
        <w:rPr>
          <w:spacing w:val="-1"/>
          <w:sz w:val="21"/>
        </w:rPr>
        <w:t>采购中心将采取必要措施，保证评标在严格保密的情况下进行。</w:t>
      </w:r>
    </w:p>
    <w:p>
      <w:pPr>
        <w:pStyle w:val="ListParagraph"/>
        <w:numPr>
          <w:ilvl w:val="1"/>
          <w:numId w:val="12"/>
        </w:numPr>
        <w:tabs>
          <w:tab w:val="left" w:pos="1199"/>
        </w:tabs>
        <w:spacing w:before="3" w:after="0" w:line="240" w:lineRule="auto"/>
        <w:ind w:left="1199" w:right="0" w:hanging="525"/>
        <w:jc w:val="left"/>
        <w:rPr>
          <w:sz w:val="21"/>
        </w:rPr>
      </w:pPr>
      <w:r>
        <w:rPr>
          <w:spacing w:val="-1"/>
          <w:sz w:val="21"/>
        </w:rPr>
        <w:t>任何单位和个人不得非法干预、影响评标办法的确定，以及评标过程和结果。</w:t>
      </w:r>
    </w:p>
    <w:p>
      <w:pPr>
        <w:pStyle w:val="ListParagraph"/>
        <w:numPr>
          <w:ilvl w:val="1"/>
          <w:numId w:val="12"/>
        </w:numPr>
        <w:tabs>
          <w:tab w:val="left" w:pos="1199"/>
        </w:tabs>
        <w:spacing w:before="4" w:after="0" w:line="237" w:lineRule="exact"/>
        <w:ind w:left="1199" w:right="0" w:hanging="525"/>
        <w:jc w:val="left"/>
        <w:rPr>
          <w:sz w:val="21"/>
        </w:rPr>
      </w:pPr>
      <w:r>
        <w:rPr>
          <w:spacing w:val="-1"/>
          <w:sz w:val="21"/>
        </w:rPr>
        <w:t>凡是与审查、澄清、评价和比较投标的有关资料等，均不向投标人及与评标无关的其他人员透露。</w:t>
      </w:r>
    </w:p>
    <w:p>
      <w:pPr>
        <w:pStyle w:val="Heading5"/>
        <w:spacing w:line="298" w:lineRule="exact"/>
        <w:rPr>
          <w:rFonts w:ascii="微软雅黑" w:eastAsia="微软雅黑"/>
        </w:rPr>
      </w:pPr>
      <w:r>
        <w:rPr>
          <w:rFonts w:ascii="微软雅黑" w:eastAsia="微软雅黑"/>
          <w:spacing w:val="-2"/>
        </w:rPr>
        <w:t>六、签订合同</w:t>
      </w:r>
    </w:p>
    <w:p>
      <w:pPr>
        <w:spacing w:before="0" w:line="306" w:lineRule="exact"/>
        <w:ind w:left="674" w:right="0" w:firstLine="0"/>
        <w:jc w:val="left"/>
        <w:rPr>
          <w:rFonts w:ascii="微软雅黑" w:eastAsia="微软雅黑"/>
          <w:b/>
          <w:sz w:val="21"/>
        </w:rPr>
      </w:pPr>
      <w:r>
        <w:rPr>
          <w:rFonts w:ascii="微软雅黑" w:eastAsia="微软雅黑"/>
          <w:b/>
          <w:spacing w:val="-10"/>
          <w:sz w:val="21"/>
        </w:rPr>
        <w:t>26</w:t>
      </w:r>
      <w:r>
        <w:rPr>
          <w:rFonts w:ascii="微软雅黑" w:eastAsia="微软雅黑"/>
          <w:b/>
          <w:spacing w:val="-11"/>
          <w:sz w:val="21"/>
        </w:rPr>
        <w:t>、签订合同</w:t>
      </w:r>
    </w:p>
    <w:p>
      <w:pPr>
        <w:pStyle w:val="ListParagraph"/>
        <w:numPr>
          <w:ilvl w:val="1"/>
          <w:numId w:val="11"/>
        </w:numPr>
        <w:tabs>
          <w:tab w:val="left" w:pos="1199"/>
        </w:tabs>
        <w:spacing w:before="0" w:after="0" w:line="245" w:lineRule="exact"/>
        <w:ind w:left="1199" w:right="0" w:hanging="525"/>
        <w:jc w:val="left"/>
        <w:rPr>
          <w:sz w:val="21"/>
        </w:rPr>
      </w:pPr>
      <w:r>
        <w:rPr>
          <w:spacing w:val="-3"/>
          <w:sz w:val="21"/>
        </w:rPr>
        <w:t>中标供应商应当自中标通知书发出之日起七日内，按照招标文件和中标供应商投标文件的约定与采</w:t>
      </w:r>
    </w:p>
    <w:p>
      <w:pPr>
        <w:pStyle w:val="BodyText"/>
        <w:spacing w:before="3"/>
        <w:ind w:left="254"/>
      </w:pPr>
      <w:r>
        <w:rPr>
          <w:spacing w:val="-1"/>
        </w:rPr>
        <w:t>购人签订政府采购合同，所签订的合同不得对招标文件和中标供应商投标文件作实质性修改。</w:t>
      </w:r>
    </w:p>
    <w:p>
      <w:pPr>
        <w:pStyle w:val="ListParagraph"/>
        <w:numPr>
          <w:ilvl w:val="1"/>
          <w:numId w:val="11"/>
        </w:numPr>
        <w:tabs>
          <w:tab w:val="left" w:pos="1147"/>
        </w:tabs>
        <w:spacing w:before="3" w:after="0" w:line="242" w:lineRule="auto"/>
        <w:ind w:left="254" w:right="252" w:firstLine="420"/>
        <w:jc w:val="left"/>
        <w:rPr>
          <w:sz w:val="21"/>
        </w:rPr>
      </w:pPr>
      <w:r>
        <w:rPr>
          <w:spacing w:val="-2"/>
          <w:sz w:val="21"/>
        </w:rPr>
        <w:t>采购人不得向中标供应商提出任何不合理的要求作为签订合同的条件，不得与中标供应商私下订立</w:t>
      </w:r>
      <w:r>
        <w:rPr>
          <w:spacing w:val="-2"/>
          <w:sz w:val="21"/>
        </w:rPr>
        <w:t>背离合同实质性内容的协议。</w:t>
      </w:r>
    </w:p>
    <w:p>
      <w:pPr>
        <w:pStyle w:val="ListParagraph"/>
        <w:numPr>
          <w:ilvl w:val="1"/>
          <w:numId w:val="11"/>
        </w:numPr>
        <w:tabs>
          <w:tab w:val="left" w:pos="1199"/>
        </w:tabs>
        <w:spacing w:before="1" w:after="0" w:line="242" w:lineRule="auto"/>
        <w:ind w:left="254" w:right="251" w:firstLine="420"/>
        <w:jc w:val="left"/>
        <w:rPr>
          <w:sz w:val="21"/>
        </w:rPr>
      </w:pPr>
      <w:r>
        <w:rPr>
          <w:spacing w:val="-2"/>
          <w:sz w:val="21"/>
        </w:rPr>
        <w:t>中标供应商因不可抗力或者自身原因不能履行政府采购合同的，采购人可以视情与排位在中标供应</w:t>
      </w:r>
      <w:r>
        <w:rPr>
          <w:spacing w:val="-2"/>
          <w:sz w:val="21"/>
        </w:rPr>
        <w:t>商之后第一位的中标候选供应商签订政府采购合同，以此类推。</w:t>
      </w:r>
    </w:p>
    <w:p>
      <w:pPr>
        <w:pStyle w:val="ListParagraph"/>
        <w:numPr>
          <w:ilvl w:val="1"/>
          <w:numId w:val="11"/>
        </w:numPr>
        <w:tabs>
          <w:tab w:val="left" w:pos="1199"/>
        </w:tabs>
        <w:spacing w:before="2" w:after="0" w:line="242" w:lineRule="auto"/>
        <w:ind w:left="254" w:right="250" w:firstLine="420"/>
        <w:jc w:val="left"/>
        <w:rPr>
          <w:sz w:val="21"/>
        </w:rPr>
      </w:pPr>
      <w:r>
        <w:rPr>
          <w:spacing w:val="-2"/>
          <w:sz w:val="21"/>
        </w:rPr>
        <w:t>政府采购合同履行中，采购人需追加与合同标的相同的货物的，在不改变合同其他条款的前提下，</w:t>
      </w:r>
      <w:r>
        <w:rPr>
          <w:spacing w:val="-2"/>
          <w:sz w:val="21"/>
        </w:rPr>
        <w:t>可以与供应商协商签订补充合同，但所有补充合同的采购金额不得超过原合同采购金额的百分之十。</w:t>
      </w:r>
    </w:p>
    <w:p>
      <w:pPr>
        <w:pStyle w:val="Heading5"/>
        <w:spacing w:line="264" w:lineRule="exact"/>
        <w:rPr>
          <w:rFonts w:ascii="微软雅黑" w:eastAsia="微软雅黑"/>
        </w:rPr>
      </w:pPr>
      <w:r>
        <w:rPr>
          <w:rFonts w:ascii="微软雅黑" w:eastAsia="微软雅黑"/>
          <w:spacing w:val="-2"/>
        </w:rPr>
        <w:t>七、质疑和投诉</w:t>
      </w:r>
    </w:p>
    <w:p>
      <w:pPr>
        <w:spacing w:before="0" w:line="306" w:lineRule="exact"/>
        <w:ind w:left="674" w:right="0" w:firstLine="0"/>
        <w:jc w:val="left"/>
        <w:rPr>
          <w:rFonts w:ascii="微软雅黑" w:eastAsia="微软雅黑"/>
          <w:b/>
          <w:sz w:val="21"/>
        </w:rPr>
      </w:pPr>
      <w:r>
        <w:rPr>
          <w:rFonts w:ascii="微软雅黑" w:eastAsia="微软雅黑"/>
          <w:b/>
          <w:w w:val="90"/>
          <w:sz w:val="21"/>
        </w:rPr>
        <w:t>27</w:t>
      </w:r>
      <w:r>
        <w:rPr>
          <w:rFonts w:ascii="微软雅黑" w:eastAsia="微软雅黑"/>
          <w:b/>
          <w:w w:val="90"/>
          <w:sz w:val="21"/>
        </w:rPr>
        <w:t>、</w:t>
      </w:r>
      <w:r>
        <w:rPr>
          <w:rFonts w:ascii="微软雅黑" w:eastAsia="微软雅黑"/>
          <w:b/>
          <w:w w:val="90"/>
          <w:sz w:val="21"/>
        </w:rPr>
        <w:t>质</w:t>
      </w:r>
      <w:r>
        <w:rPr>
          <w:rFonts w:ascii="微软雅黑" w:eastAsia="微软雅黑"/>
          <w:b/>
          <w:spacing w:val="-10"/>
          <w:w w:val="90"/>
          <w:sz w:val="21"/>
        </w:rPr>
        <w:t>疑</w:t>
      </w:r>
    </w:p>
    <w:p>
      <w:pPr>
        <w:pStyle w:val="ListParagraph"/>
        <w:numPr>
          <w:ilvl w:val="1"/>
          <w:numId w:val="10"/>
        </w:numPr>
        <w:tabs>
          <w:tab w:val="left" w:pos="1199"/>
        </w:tabs>
        <w:spacing w:before="16" w:after="0" w:line="194" w:lineRule="auto"/>
        <w:ind w:left="254" w:right="251" w:firstLine="420"/>
        <w:jc w:val="left"/>
        <w:rPr>
          <w:rFonts w:ascii="微软雅黑" w:eastAsia="微软雅黑"/>
          <w:b/>
          <w:sz w:val="21"/>
        </w:rPr>
      </w:pPr>
      <w:r>
        <w:rPr>
          <w:spacing w:val="-2"/>
          <w:sz w:val="21"/>
        </w:rPr>
        <w:t>供应商对招标活动事项有疑问的，可以向采购中心提出询问，采购中心将依法作出答复，但答复的</w:t>
      </w:r>
      <w:r>
        <w:rPr>
          <w:spacing w:val="-2"/>
          <w:sz w:val="21"/>
        </w:rPr>
        <w:t>内容不涉及商业秘密</w:t>
      </w:r>
      <w:r>
        <w:rPr>
          <w:rFonts w:ascii="微软雅黑" w:eastAsia="微软雅黑"/>
          <w:b/>
          <w:spacing w:val="-2"/>
          <w:sz w:val="21"/>
        </w:rPr>
        <w:t>。</w:t>
      </w:r>
    </w:p>
    <w:p>
      <w:pPr>
        <w:pStyle w:val="ListParagraph"/>
        <w:numPr>
          <w:ilvl w:val="1"/>
          <w:numId w:val="10"/>
        </w:numPr>
        <w:tabs>
          <w:tab w:val="left" w:pos="1199"/>
        </w:tabs>
        <w:spacing w:before="0" w:after="0" w:line="242" w:lineRule="exact"/>
        <w:ind w:left="1199" w:right="0" w:hanging="525"/>
        <w:jc w:val="left"/>
        <w:rPr>
          <w:sz w:val="21"/>
        </w:rPr>
      </w:pPr>
      <w:r>
        <w:rPr>
          <w:spacing w:val="-3"/>
          <w:sz w:val="21"/>
        </w:rPr>
        <w:t>供应商认为采购文件、采购过程和中标结果使自己的合法权益受到损害的，可以在知道或者应当知</w:t>
      </w:r>
    </w:p>
    <w:p>
      <w:pPr>
        <w:pStyle w:val="BodyText"/>
        <w:spacing w:before="3"/>
        <w:ind w:left="254"/>
      </w:pPr>
      <w:r>
        <w:rPr>
          <w:spacing w:val="-1"/>
        </w:rPr>
        <w:t>道其权益受到损害之日起七个工作日内，将质疑文件原件送达采购中心。</w:t>
      </w:r>
    </w:p>
    <w:p>
      <w:pPr>
        <w:pStyle w:val="ListParagraph"/>
        <w:numPr>
          <w:ilvl w:val="1"/>
          <w:numId w:val="10"/>
        </w:numPr>
        <w:tabs>
          <w:tab w:val="left" w:pos="1199"/>
        </w:tabs>
        <w:spacing w:before="3" w:after="0" w:line="242" w:lineRule="auto"/>
        <w:ind w:left="254" w:right="251" w:firstLine="420"/>
        <w:jc w:val="left"/>
        <w:rPr>
          <w:sz w:val="21"/>
        </w:rPr>
      </w:pPr>
      <w:r>
        <w:rPr>
          <w:spacing w:val="-2"/>
          <w:sz w:val="21"/>
        </w:rPr>
        <w:t>质疑文件应包括以下主要内容，并按照“谁主张、谁举证”的原则，附上相关证明材料。否则，采</w:t>
      </w:r>
      <w:r>
        <w:rPr>
          <w:spacing w:val="-2"/>
          <w:sz w:val="21"/>
        </w:rPr>
        <w:t>购中心不予受理：</w:t>
      </w:r>
    </w:p>
    <w:p>
      <w:pPr>
        <w:pStyle w:val="ListParagraph"/>
        <w:numPr>
          <w:ilvl w:val="0"/>
          <w:numId w:val="9"/>
        </w:numPr>
        <w:tabs>
          <w:tab w:val="left" w:pos="1200"/>
        </w:tabs>
        <w:spacing w:before="1" w:after="0" w:line="240" w:lineRule="auto"/>
        <w:ind w:left="1200" w:right="0" w:hanging="526"/>
        <w:jc w:val="left"/>
        <w:rPr>
          <w:sz w:val="21"/>
        </w:rPr>
      </w:pPr>
      <w:r>
        <w:rPr>
          <w:spacing w:val="-1"/>
          <w:sz w:val="21"/>
        </w:rPr>
        <w:t>质疑项目名称、项目编号、包号、招标公告发布时间、开标时间；</w:t>
      </w:r>
    </w:p>
    <w:p>
      <w:pPr>
        <w:pStyle w:val="ListParagraph"/>
        <w:numPr>
          <w:ilvl w:val="0"/>
          <w:numId w:val="9"/>
        </w:numPr>
        <w:tabs>
          <w:tab w:val="left" w:pos="1200"/>
        </w:tabs>
        <w:spacing w:before="4" w:after="0" w:line="240" w:lineRule="auto"/>
        <w:ind w:left="1200" w:right="0" w:hanging="526"/>
        <w:jc w:val="left"/>
        <w:rPr>
          <w:sz w:val="21"/>
        </w:rPr>
      </w:pPr>
      <w:r>
        <w:rPr>
          <w:sz w:val="21"/>
        </w:rPr>
        <w:t>具体的质疑事项及法律依据（具体条款</w:t>
      </w:r>
      <w:r>
        <w:rPr>
          <w:spacing w:val="-5"/>
          <w:sz w:val="21"/>
        </w:rPr>
        <w:t>）；</w:t>
      </w:r>
    </w:p>
    <w:p>
      <w:pPr>
        <w:pStyle w:val="ListParagraph"/>
        <w:numPr>
          <w:ilvl w:val="0"/>
          <w:numId w:val="9"/>
        </w:numPr>
        <w:tabs>
          <w:tab w:val="left" w:pos="1200"/>
        </w:tabs>
        <w:spacing w:before="3" w:after="0" w:line="240" w:lineRule="auto"/>
        <w:ind w:left="1200" w:right="0" w:hanging="526"/>
        <w:jc w:val="left"/>
        <w:rPr>
          <w:sz w:val="21"/>
        </w:rPr>
      </w:pPr>
      <w:r>
        <w:rPr>
          <w:spacing w:val="-3"/>
          <w:sz w:val="21"/>
        </w:rPr>
        <w:t>质疑相关证明文件或证明材料，如果涉及到产品功能或技术指标的，应出具相关制造商的证明文件</w:t>
      </w:r>
    </w:p>
    <w:p>
      <w:pPr>
        <w:pStyle w:val="BodyText"/>
        <w:spacing w:before="3" w:line="242" w:lineRule="auto"/>
        <w:ind w:left="254" w:right="252"/>
      </w:pPr>
      <w:r>
        <w:rPr>
          <w:spacing w:val="-2"/>
        </w:rPr>
        <w:t>（友情提示：供应商全部产品线中没有满足技术需求要求的产品才可以对招标产品提出质疑，并提出修改理</w:t>
      </w:r>
      <w:r>
        <w:rPr>
          <w:spacing w:val="-2"/>
        </w:rPr>
        <w:t>由和修改建议）；</w:t>
      </w:r>
    </w:p>
    <w:p>
      <w:pPr>
        <w:pStyle w:val="ListParagraph"/>
        <w:numPr>
          <w:ilvl w:val="0"/>
          <w:numId w:val="9"/>
        </w:numPr>
        <w:tabs>
          <w:tab w:val="left" w:pos="1200"/>
        </w:tabs>
        <w:spacing w:before="1" w:after="0" w:line="240" w:lineRule="auto"/>
        <w:ind w:left="1200" w:right="0" w:hanging="526"/>
        <w:jc w:val="left"/>
        <w:rPr>
          <w:sz w:val="21"/>
        </w:rPr>
      </w:pPr>
      <w:r>
        <w:rPr>
          <w:sz w:val="21"/>
        </w:rPr>
        <w:t>质疑供应商名称、地址、联系方式（包括手机、传真号码</w:t>
      </w:r>
      <w:r>
        <w:rPr>
          <w:spacing w:val="-5"/>
          <w:sz w:val="21"/>
        </w:rPr>
        <w:t>）；</w:t>
      </w:r>
    </w:p>
    <w:p>
      <w:pPr>
        <w:pStyle w:val="ListParagraph"/>
        <w:numPr>
          <w:ilvl w:val="0"/>
          <w:numId w:val="9"/>
        </w:numPr>
        <w:tabs>
          <w:tab w:val="left" w:pos="1200"/>
        </w:tabs>
        <w:spacing w:before="4" w:after="0" w:line="242" w:lineRule="auto"/>
        <w:ind w:left="254" w:right="251" w:firstLine="420"/>
        <w:jc w:val="left"/>
        <w:rPr>
          <w:sz w:val="21"/>
        </w:rPr>
      </w:pPr>
      <w:r>
        <w:rPr>
          <w:spacing w:val="-2"/>
          <w:sz w:val="21"/>
        </w:rPr>
        <w:t>法定代表人签署本人姓名或印盖本人姓名章并加盖单位公章，或法定代表人授权委托代理人加盖单</w:t>
      </w:r>
      <w:r>
        <w:rPr>
          <w:spacing w:val="-2"/>
          <w:sz w:val="21"/>
        </w:rPr>
        <w:t>位公章，并由参加采购项目的授权委托代理人签署本人姓名或印盖本人姓名章等。</w:t>
      </w:r>
    </w:p>
    <w:p>
      <w:pPr>
        <w:pStyle w:val="ListParagraph"/>
        <w:numPr>
          <w:ilvl w:val="1"/>
          <w:numId w:val="10"/>
        </w:numPr>
        <w:tabs>
          <w:tab w:val="left" w:pos="1147"/>
        </w:tabs>
        <w:spacing w:before="1" w:after="0" w:line="242" w:lineRule="auto"/>
        <w:ind w:left="254" w:right="146" w:firstLine="420"/>
        <w:jc w:val="left"/>
        <w:rPr>
          <w:sz w:val="21"/>
        </w:rPr>
      </w:pPr>
      <w:r>
        <w:rPr>
          <w:sz w:val="21"/>
        </w:rPr>
        <w:t>质疑供应商是指直接参加本项目采购活动的供应商；对采购文件提出质疑的，应自供应商获得采购</w:t>
      </w:r>
      <w:r>
        <w:rPr>
          <w:spacing w:val="-3"/>
          <w:sz w:val="21"/>
        </w:rPr>
        <w:t>文件之日起计算，且应当在投标截止之日前提出；对采购过程提出质疑的，自采购程序环节结束之日起计算；</w:t>
      </w:r>
      <w:r>
        <w:rPr>
          <w:sz w:val="21"/>
        </w:rPr>
        <w:t>对中标结果提出质疑的，自中标结果公告之日起计算。</w:t>
      </w:r>
    </w:p>
    <w:p>
      <w:pPr>
        <w:pStyle w:val="ListParagraph"/>
        <w:numPr>
          <w:ilvl w:val="1"/>
          <w:numId w:val="10"/>
        </w:numPr>
        <w:tabs>
          <w:tab w:val="left" w:pos="1199"/>
        </w:tabs>
        <w:spacing w:before="2" w:after="0" w:line="242" w:lineRule="auto"/>
        <w:ind w:left="254" w:right="251" w:firstLine="420"/>
        <w:jc w:val="both"/>
        <w:rPr>
          <w:sz w:val="21"/>
        </w:rPr>
      </w:pPr>
      <w:r>
        <w:rPr>
          <w:spacing w:val="-2"/>
          <w:sz w:val="21"/>
        </w:rPr>
        <w:t>投标人不得虚假质疑和恶意质疑，并对质疑内容的真实性承担责任。投标人或者其他利害关系人通</w:t>
      </w:r>
      <w:r>
        <w:rPr>
          <w:spacing w:val="-2"/>
          <w:sz w:val="21"/>
        </w:rPr>
        <w:t>过捏造事实、伪造证明材料等方式提出异议或投诉，阻碍招投标活动正常进行的，属于严重不良行为，采购</w:t>
      </w:r>
      <w:r>
        <w:rPr>
          <w:spacing w:val="-2"/>
          <w:sz w:val="21"/>
        </w:rPr>
        <w:t>中心将提请财政部门将其列入不良行为记录名单，并依法予以处罚。</w:t>
      </w:r>
    </w:p>
    <w:p>
      <w:pPr>
        <w:pStyle w:val="ListParagraph"/>
        <w:numPr>
          <w:ilvl w:val="1"/>
          <w:numId w:val="10"/>
        </w:numPr>
        <w:tabs>
          <w:tab w:val="left" w:pos="1199"/>
        </w:tabs>
        <w:spacing w:before="0" w:after="0" w:line="322" w:lineRule="exact"/>
        <w:ind w:left="1199" w:right="0" w:hanging="525"/>
        <w:jc w:val="both"/>
        <w:rPr>
          <w:sz w:val="21"/>
        </w:rPr>
      </w:pPr>
      <w:r>
        <w:rPr>
          <w:spacing w:val="-2"/>
          <w:sz w:val="21"/>
        </w:rPr>
        <w:t>采购中心在收到投标人的书面质疑后将及时组织调查核实，在</w:t>
      </w:r>
      <w:r>
        <w:rPr>
          <w:rFonts w:ascii="微软雅黑" w:eastAsia="微软雅黑"/>
          <w:b/>
          <w:spacing w:val="-2"/>
          <w:sz w:val="21"/>
        </w:rPr>
        <w:t>七个工作日内</w:t>
      </w:r>
      <w:r>
        <w:rPr>
          <w:spacing w:val="-3"/>
          <w:sz w:val="21"/>
        </w:rPr>
        <w:t>作出答复，并以书面或</w:t>
      </w:r>
    </w:p>
    <w:p>
      <w:pPr>
        <w:spacing w:after="0" w:line="322" w:lineRule="exact"/>
        <w:jc w:val="both"/>
        <w:rPr>
          <w:sz w:val="21"/>
        </w:rPr>
        <w:sectPr>
          <w:headerReference w:type="default" r:id="rId20"/>
          <w:footerReference w:type="default" r:id="rId21"/>
          <w:pgSz w:w="12240" w:h="15840"/>
          <w:pgMar w:top="1080" w:right="880" w:bottom="920" w:left="880" w:header="748" w:footer="731"/>
          <w:pgNumType w:start="9"/>
          <w:cols w:space="708"/>
        </w:sectPr>
      </w:pPr>
    </w:p>
    <w:p>
      <w:pPr>
        <w:pStyle w:val="BodyText"/>
        <w:spacing w:before="6"/>
        <w:rPr>
          <w:sz w:val="20"/>
        </w:rPr>
      </w:pPr>
    </w:p>
    <w:p>
      <w:pPr>
        <w:pStyle w:val="BodyText"/>
        <w:spacing w:before="71" w:line="242" w:lineRule="auto"/>
        <w:ind w:left="254" w:right="252"/>
      </w:pPr>
      <w:r>
        <w:rPr>
          <w:spacing w:val="-2"/>
        </w:rPr>
        <w:t>在网站公告形式通知质疑投标人和其他有关投标人，答复的内容不涉及商业秘密。采购中心遵循“谁过错谁</w:t>
      </w:r>
      <w:r>
        <w:rPr>
          <w:spacing w:val="-2"/>
        </w:rPr>
        <w:t>负担”的原则，有过错的一方承担调查论证费用。</w:t>
      </w:r>
    </w:p>
    <w:p>
      <w:pPr>
        <w:pStyle w:val="Heading5"/>
        <w:spacing w:line="297" w:lineRule="exact"/>
        <w:rPr>
          <w:rFonts w:ascii="微软雅黑" w:eastAsia="微软雅黑"/>
        </w:rPr>
      </w:pPr>
      <w:r>
        <w:rPr>
          <w:rFonts w:ascii="微软雅黑" w:eastAsia="微软雅黑"/>
          <w:w w:val="90"/>
        </w:rPr>
        <w:t>28</w:t>
      </w:r>
      <w:r>
        <w:rPr>
          <w:rFonts w:ascii="微软雅黑" w:eastAsia="微软雅黑"/>
          <w:w w:val="90"/>
        </w:rPr>
        <w:t>、</w:t>
      </w:r>
      <w:r>
        <w:rPr>
          <w:rFonts w:ascii="微软雅黑" w:eastAsia="微软雅黑"/>
          <w:w w:val="90"/>
        </w:rPr>
        <w:t>投</w:t>
      </w:r>
      <w:r>
        <w:rPr>
          <w:rFonts w:ascii="微软雅黑" w:eastAsia="微软雅黑"/>
          <w:spacing w:val="-10"/>
          <w:w w:val="90"/>
        </w:rPr>
        <w:t>诉</w:t>
      </w:r>
    </w:p>
    <w:p>
      <w:pPr>
        <w:pStyle w:val="ListParagraph"/>
        <w:numPr>
          <w:ilvl w:val="1"/>
          <w:numId w:val="8"/>
        </w:numPr>
        <w:tabs>
          <w:tab w:val="left" w:pos="1199"/>
        </w:tabs>
        <w:spacing w:before="16" w:after="0" w:line="194" w:lineRule="auto"/>
        <w:ind w:left="254" w:right="251" w:firstLine="420"/>
        <w:jc w:val="left"/>
        <w:rPr>
          <w:sz w:val="21"/>
        </w:rPr>
      </w:pPr>
      <w:r>
        <w:rPr>
          <w:spacing w:val="-2"/>
          <w:sz w:val="21"/>
        </w:rPr>
        <w:t>质疑投标人对采购中心的答复不满意，或采购中心未在规定的时间内作出答复的，可以在答复期满</w:t>
      </w:r>
      <w:r>
        <w:rPr>
          <w:spacing w:val="-2"/>
          <w:sz w:val="21"/>
        </w:rPr>
        <w:t>后</w:t>
      </w:r>
      <w:r>
        <w:rPr>
          <w:rFonts w:ascii="微软雅黑" w:eastAsia="微软雅黑"/>
          <w:b/>
          <w:spacing w:val="-2"/>
          <w:sz w:val="21"/>
        </w:rPr>
        <w:t>十五个工作日内</w:t>
      </w:r>
      <w:r>
        <w:rPr>
          <w:spacing w:val="-2"/>
          <w:sz w:val="21"/>
        </w:rPr>
        <w:t>向采购人同级财政部门投诉。</w:t>
      </w:r>
    </w:p>
    <w:p>
      <w:pPr>
        <w:spacing w:after="0" w:line="194" w:lineRule="auto"/>
        <w:jc w:val="left"/>
        <w:rPr>
          <w:sz w:val="21"/>
        </w:rPr>
        <w:sectPr>
          <w:headerReference w:type="default" r:id="rId22"/>
          <w:footerReference w:type="default" r:id="rId23"/>
          <w:pgSz w:w="12240" w:h="15840"/>
          <w:pgMar w:top="1080" w:right="880" w:bottom="920" w:left="880" w:header="748" w:footer="731"/>
          <w:pgNumType w:start="10"/>
          <w:cols w:space="708"/>
        </w:sectPr>
      </w:pPr>
    </w:p>
    <w:p>
      <w:pPr>
        <w:pStyle w:val="BodyText"/>
        <w:rPr>
          <w:sz w:val="20"/>
        </w:rPr>
      </w:pPr>
    </w:p>
    <w:p>
      <w:pPr>
        <w:pStyle w:val="BodyText"/>
        <w:rPr>
          <w:sz w:val="20"/>
        </w:rPr>
      </w:pPr>
    </w:p>
    <w:p>
      <w:pPr>
        <w:pStyle w:val="BodyText"/>
        <w:spacing w:before="10"/>
        <w:rPr>
          <w:sz w:val="18"/>
        </w:rPr>
      </w:pPr>
    </w:p>
    <w:p>
      <w:pPr>
        <w:pStyle w:val="Heading1"/>
        <w:tabs>
          <w:tab w:val="left" w:pos="1444"/>
        </w:tabs>
        <w:spacing w:line="585" w:lineRule="exact"/>
      </w:pPr>
      <w:r>
        <w:t>第</w:t>
      </w:r>
      <w:r>
        <w:t>三</w:t>
      </w:r>
      <w:r>
        <w:rPr>
          <w:spacing w:val="-10"/>
        </w:rPr>
        <w:t>章</w:t>
      </w:r>
      <w:r>
        <w:tab/>
        <w:t>评</w:t>
      </w:r>
      <w:r>
        <w:t>标</w:t>
      </w:r>
      <w:r>
        <w:t>标</w:t>
      </w:r>
      <w:r>
        <w:rPr>
          <w:spacing w:val="-10"/>
        </w:rPr>
        <w:t>准</w:t>
      </w:r>
    </w:p>
    <w:p>
      <w:pPr>
        <w:pStyle w:val="Heading3"/>
        <w:spacing w:line="414" w:lineRule="exact"/>
        <w:rPr>
          <w:rFonts w:ascii="等线" w:eastAsia="等线"/>
        </w:rPr>
      </w:pPr>
      <w:r>
        <w:rPr>
          <w:rFonts w:ascii="等线" w:eastAsia="等线"/>
          <w:color w:val="FF0000"/>
        </w:rPr>
        <w:t>包一评标标准：加工中心（四轴）、加工中心（五轴</w:t>
      </w:r>
      <w:r>
        <w:rPr>
          <w:rFonts w:ascii="等线" w:eastAsia="等线"/>
          <w:color w:val="FF0000"/>
          <w:spacing w:val="-10"/>
        </w:rPr>
        <w:t>）</w:t>
      </w:r>
    </w:p>
    <w:p>
      <w:pPr>
        <w:pStyle w:val="BodyText"/>
        <w:spacing w:before="11"/>
        <w:rPr>
          <w:rFonts w:ascii="等线"/>
          <w:b/>
          <w:sz w:val="8"/>
        </w:rPr>
      </w:pPr>
    </w:p>
    <w:tbl>
      <w:tblPr>
        <w:tblStyle w:val="TableNormal0"/>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8"/>
        <w:gridCol w:w="1176"/>
        <w:gridCol w:w="6851"/>
        <w:gridCol w:w="1232"/>
      </w:tblGrid>
      <w:tr>
        <w:tblPrEx>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5"/>
          <w:jc w:val="left"/>
        </w:trPr>
        <w:tc>
          <w:tcPr>
            <w:tcW w:w="2184" w:type="dxa"/>
            <w:gridSpan w:val="2"/>
          </w:tcPr>
          <w:p>
            <w:pPr>
              <w:pStyle w:val="TableParagraph"/>
              <w:spacing w:before="3" w:line="383" w:lineRule="exact"/>
              <w:ind w:left="866" w:right="857"/>
              <w:jc w:val="center"/>
              <w:rPr>
                <w:rFonts w:ascii="微软雅黑" w:eastAsia="微软雅黑"/>
                <w:b/>
                <w:sz w:val="21"/>
              </w:rPr>
            </w:pPr>
            <w:r>
              <w:rPr>
                <w:rFonts w:ascii="微软雅黑" w:eastAsia="微软雅黑"/>
                <w:b/>
                <w:spacing w:val="-5"/>
                <w:sz w:val="21"/>
              </w:rPr>
              <w:t>项目</w:t>
            </w:r>
          </w:p>
        </w:tc>
        <w:tc>
          <w:tcPr>
            <w:tcW w:w="6851" w:type="dxa"/>
          </w:tcPr>
          <w:p>
            <w:pPr>
              <w:pStyle w:val="TableParagraph"/>
              <w:spacing w:before="3" w:line="383" w:lineRule="exact"/>
              <w:ind w:left="2991" w:right="2982"/>
              <w:jc w:val="center"/>
              <w:rPr>
                <w:rFonts w:ascii="微软雅黑" w:eastAsia="微软雅黑"/>
                <w:b/>
                <w:sz w:val="21"/>
              </w:rPr>
            </w:pPr>
            <w:r>
              <w:rPr>
                <w:rFonts w:ascii="微软雅黑" w:eastAsia="微软雅黑"/>
                <w:b/>
                <w:spacing w:val="-3"/>
                <w:sz w:val="21"/>
              </w:rPr>
              <w:t>评分标准</w:t>
            </w:r>
          </w:p>
        </w:tc>
        <w:tc>
          <w:tcPr>
            <w:tcW w:w="1232" w:type="dxa"/>
          </w:tcPr>
          <w:p>
            <w:pPr>
              <w:pStyle w:val="TableParagraph"/>
              <w:spacing w:before="3" w:line="383" w:lineRule="exact"/>
              <w:ind w:left="390" w:right="381"/>
              <w:jc w:val="center"/>
              <w:rPr>
                <w:rFonts w:ascii="微软雅黑" w:eastAsia="微软雅黑"/>
                <w:b/>
                <w:sz w:val="21"/>
              </w:rPr>
            </w:pPr>
            <w:r>
              <w:rPr>
                <w:rFonts w:ascii="微软雅黑" w:eastAsia="微软雅黑"/>
                <w:b/>
                <w:spacing w:val="-5"/>
                <w:sz w:val="21"/>
              </w:rPr>
              <w:t>分值</w:t>
            </w:r>
          </w:p>
        </w:tc>
      </w:tr>
      <w:tr>
        <w:tblPrEx>
          <w:tblW w:w="0" w:type="auto"/>
          <w:jc w:val="left"/>
          <w:tblInd w:w="111" w:type="dxa"/>
          <w:tblLayout w:type="fixed"/>
          <w:tblCellMar>
            <w:top w:w="0" w:type="dxa"/>
            <w:left w:w="0" w:type="dxa"/>
            <w:bottom w:w="0" w:type="dxa"/>
            <w:right w:w="0" w:type="dxa"/>
          </w:tblCellMar>
          <w:tblLook w:val="01E0"/>
        </w:tblPrEx>
        <w:trPr>
          <w:trHeight w:val="817"/>
          <w:jc w:val="left"/>
        </w:trPr>
        <w:tc>
          <w:tcPr>
            <w:tcW w:w="1008" w:type="dxa"/>
          </w:tcPr>
          <w:p>
            <w:pPr>
              <w:pStyle w:val="TableParagraph"/>
              <w:spacing w:before="4"/>
              <w:rPr>
                <w:rFonts w:ascii="等线"/>
                <w:b/>
                <w:sz w:val="18"/>
              </w:rPr>
            </w:pPr>
          </w:p>
          <w:p>
            <w:pPr>
              <w:pStyle w:val="TableParagraph"/>
              <w:ind w:left="9"/>
              <w:jc w:val="center"/>
              <w:rPr>
                <w:sz w:val="21"/>
              </w:rPr>
            </w:pPr>
            <w:r>
              <w:rPr>
                <w:sz w:val="21"/>
              </w:rPr>
              <w:t>1</w:t>
            </w:r>
          </w:p>
        </w:tc>
        <w:tc>
          <w:tcPr>
            <w:tcW w:w="1176" w:type="dxa"/>
          </w:tcPr>
          <w:p>
            <w:pPr>
              <w:pStyle w:val="TableParagraph"/>
              <w:spacing w:before="4"/>
              <w:rPr>
                <w:rFonts w:ascii="等线"/>
                <w:b/>
                <w:sz w:val="18"/>
              </w:rPr>
            </w:pPr>
          </w:p>
          <w:p>
            <w:pPr>
              <w:pStyle w:val="TableParagraph"/>
              <w:ind w:left="378"/>
              <w:rPr>
                <w:sz w:val="21"/>
              </w:rPr>
            </w:pPr>
            <w:r>
              <w:rPr>
                <w:spacing w:val="-5"/>
                <w:sz w:val="21"/>
              </w:rPr>
              <w:t>价格</w:t>
            </w:r>
          </w:p>
        </w:tc>
        <w:tc>
          <w:tcPr>
            <w:tcW w:w="6851" w:type="dxa"/>
          </w:tcPr>
          <w:p>
            <w:pPr>
              <w:pStyle w:val="TableParagraph"/>
              <w:spacing w:line="270" w:lineRule="atLeast"/>
              <w:ind w:left="107" w:right="96"/>
              <w:jc w:val="both"/>
              <w:rPr>
                <w:sz w:val="21"/>
              </w:rPr>
            </w:pPr>
            <w:r>
              <w:rPr>
                <w:spacing w:val="-11"/>
                <w:sz w:val="21"/>
              </w:rPr>
              <w:t>采用低价优先法计算，即满足招标文件要求且投标价格最低的投标报价为</w:t>
            </w:r>
            <w:r>
              <w:rPr>
                <w:spacing w:val="-21"/>
                <w:sz w:val="21"/>
              </w:rPr>
              <w:t>评标基准价，其价格分为满分。其他投标人的价格分按照下列公式计算</w:t>
            </w:r>
            <w:r>
              <w:rPr>
                <w:spacing w:val="-2"/>
                <w:sz w:val="21"/>
              </w:rPr>
              <w:t>（小</w:t>
            </w:r>
            <w:r>
              <w:rPr>
                <w:spacing w:val="-2"/>
                <w:sz w:val="21"/>
              </w:rPr>
              <w:t>数点后保留二位）：投标报价得分=(评标基准价／投标报价)×30</w:t>
            </w:r>
          </w:p>
        </w:tc>
        <w:tc>
          <w:tcPr>
            <w:tcW w:w="1232" w:type="dxa"/>
          </w:tcPr>
          <w:p>
            <w:pPr>
              <w:pStyle w:val="TableParagraph"/>
              <w:spacing w:before="4"/>
              <w:rPr>
                <w:rFonts w:ascii="等线"/>
                <w:b/>
                <w:sz w:val="18"/>
              </w:rPr>
            </w:pPr>
          </w:p>
          <w:p>
            <w:pPr>
              <w:pStyle w:val="TableParagraph"/>
              <w:ind w:left="390" w:right="381"/>
              <w:jc w:val="center"/>
              <w:rPr>
                <w:sz w:val="21"/>
              </w:rPr>
            </w:pPr>
            <w:r>
              <w:rPr>
                <w:spacing w:val="-5"/>
                <w:sz w:val="21"/>
              </w:rPr>
              <w:t>30</w:t>
            </w:r>
          </w:p>
        </w:tc>
      </w:tr>
      <w:tr>
        <w:tblPrEx>
          <w:tblW w:w="0" w:type="auto"/>
          <w:jc w:val="left"/>
          <w:tblInd w:w="111" w:type="dxa"/>
          <w:tblLayout w:type="fixed"/>
          <w:tblCellMar>
            <w:top w:w="0" w:type="dxa"/>
            <w:left w:w="0" w:type="dxa"/>
            <w:bottom w:w="0" w:type="dxa"/>
            <w:right w:w="0" w:type="dxa"/>
          </w:tblCellMar>
          <w:tblLook w:val="01E0"/>
        </w:tblPrEx>
        <w:trPr>
          <w:trHeight w:val="1089"/>
          <w:jc w:val="left"/>
        </w:trPr>
        <w:tc>
          <w:tcPr>
            <w:tcW w:w="1008" w:type="dxa"/>
          </w:tcPr>
          <w:p>
            <w:pPr>
              <w:pStyle w:val="TableParagraph"/>
              <w:spacing w:before="5"/>
              <w:rPr>
                <w:rFonts w:ascii="等线"/>
                <w:b/>
                <w:sz w:val="27"/>
              </w:rPr>
            </w:pPr>
          </w:p>
          <w:p>
            <w:pPr>
              <w:pStyle w:val="TableParagraph"/>
              <w:ind w:left="9"/>
              <w:jc w:val="center"/>
              <w:rPr>
                <w:sz w:val="21"/>
              </w:rPr>
            </w:pPr>
            <w:r>
              <w:rPr>
                <w:sz w:val="21"/>
              </w:rPr>
              <w:t>2</w:t>
            </w:r>
          </w:p>
        </w:tc>
        <w:tc>
          <w:tcPr>
            <w:tcW w:w="1176" w:type="dxa"/>
          </w:tcPr>
          <w:p>
            <w:pPr>
              <w:pStyle w:val="TableParagraph"/>
              <w:spacing w:before="5"/>
              <w:rPr>
                <w:rFonts w:ascii="等线"/>
                <w:b/>
                <w:sz w:val="27"/>
              </w:rPr>
            </w:pPr>
          </w:p>
          <w:p>
            <w:pPr>
              <w:pStyle w:val="TableParagraph"/>
              <w:ind w:left="378"/>
              <w:rPr>
                <w:sz w:val="21"/>
              </w:rPr>
            </w:pPr>
            <w:r>
              <w:rPr>
                <w:spacing w:val="-5"/>
                <w:sz w:val="21"/>
              </w:rPr>
              <w:t>技术</w:t>
            </w:r>
          </w:p>
        </w:tc>
        <w:tc>
          <w:tcPr>
            <w:tcW w:w="6851" w:type="dxa"/>
          </w:tcPr>
          <w:p>
            <w:pPr>
              <w:pStyle w:val="TableParagraph"/>
              <w:spacing w:line="270" w:lineRule="atLeast"/>
              <w:ind w:left="107" w:right="-15"/>
              <w:rPr>
                <w:sz w:val="21"/>
              </w:rPr>
            </w:pPr>
            <w:r>
              <w:rPr>
                <w:spacing w:val="-2"/>
                <w:sz w:val="21"/>
              </w:rPr>
              <w:t>招标文件中打“*”标记的为实质性要求条款，任何一项不满足按照无效</w:t>
            </w:r>
            <w:r>
              <w:rPr>
                <w:spacing w:val="-7"/>
                <w:sz w:val="21"/>
              </w:rPr>
              <w:t xml:space="preserve">投标处理。投标参数全部满足的得 </w:t>
            </w:r>
            <w:r>
              <w:rPr>
                <w:spacing w:val="-4"/>
                <w:sz w:val="21"/>
              </w:rPr>
              <w:t>30</w:t>
            </w:r>
            <w:r>
              <w:rPr>
                <w:spacing w:val="-11"/>
                <w:sz w:val="21"/>
              </w:rPr>
              <w:t xml:space="preserve"> 分。正偏离的，评委根据其重要性，</w:t>
            </w:r>
            <w:r>
              <w:rPr>
                <w:spacing w:val="-16"/>
                <w:sz w:val="21"/>
              </w:rPr>
              <w:t xml:space="preserve">每项加 </w:t>
            </w:r>
            <w:r>
              <w:rPr>
                <w:spacing w:val="-4"/>
                <w:sz w:val="21"/>
              </w:rPr>
              <w:t>1-2</w:t>
            </w:r>
            <w:r>
              <w:rPr>
                <w:spacing w:val="-15"/>
                <w:sz w:val="21"/>
              </w:rPr>
              <w:t xml:space="preserve"> 分，加分累计不超过 </w:t>
            </w:r>
            <w:r>
              <w:rPr>
                <w:spacing w:val="-4"/>
                <w:sz w:val="21"/>
              </w:rPr>
              <w:t>8</w:t>
            </w:r>
            <w:r>
              <w:rPr>
                <w:spacing w:val="-17"/>
                <w:sz w:val="21"/>
              </w:rPr>
              <w:t xml:space="preserve"> 分；若有负偏离的，评委根据其重要性，</w:t>
            </w:r>
            <w:r>
              <w:rPr>
                <w:spacing w:val="-14"/>
                <w:sz w:val="21"/>
              </w:rPr>
              <w:t xml:space="preserve">在 </w:t>
            </w:r>
            <w:r>
              <w:rPr>
                <w:sz w:val="21"/>
              </w:rPr>
              <w:t>30</w:t>
            </w:r>
            <w:r>
              <w:rPr>
                <w:spacing w:val="-9"/>
                <w:sz w:val="21"/>
              </w:rPr>
              <w:t xml:space="preserve"> 分基础上每项扣 </w:t>
            </w:r>
            <w:r>
              <w:rPr>
                <w:sz w:val="21"/>
              </w:rPr>
              <w:t>1～2</w:t>
            </w:r>
            <w:r>
              <w:rPr>
                <w:spacing w:val="-11"/>
                <w:sz w:val="21"/>
              </w:rPr>
              <w:t xml:space="preserve"> 分，扣至 </w:t>
            </w:r>
            <w:r>
              <w:rPr>
                <w:sz w:val="21"/>
              </w:rPr>
              <w:t>0</w:t>
            </w:r>
            <w:r>
              <w:rPr>
                <w:spacing w:val="-7"/>
                <w:sz w:val="21"/>
              </w:rPr>
              <w:t xml:space="preserve"> 分为止。</w:t>
            </w:r>
          </w:p>
        </w:tc>
        <w:tc>
          <w:tcPr>
            <w:tcW w:w="1232" w:type="dxa"/>
          </w:tcPr>
          <w:p>
            <w:pPr>
              <w:pStyle w:val="TableParagraph"/>
              <w:spacing w:before="5"/>
              <w:rPr>
                <w:rFonts w:ascii="等线"/>
                <w:b/>
                <w:sz w:val="27"/>
              </w:rPr>
            </w:pPr>
          </w:p>
          <w:p>
            <w:pPr>
              <w:pStyle w:val="TableParagraph"/>
              <w:ind w:left="390" w:right="381"/>
              <w:jc w:val="center"/>
              <w:rPr>
                <w:sz w:val="21"/>
              </w:rPr>
            </w:pPr>
            <w:r>
              <w:rPr>
                <w:spacing w:val="-5"/>
                <w:sz w:val="21"/>
              </w:rPr>
              <w:t>38</w:t>
            </w:r>
          </w:p>
        </w:tc>
      </w:tr>
      <w:tr>
        <w:tblPrEx>
          <w:tblW w:w="0" w:type="auto"/>
          <w:jc w:val="left"/>
          <w:tblInd w:w="111" w:type="dxa"/>
          <w:tblLayout w:type="fixed"/>
          <w:tblCellMar>
            <w:top w:w="0" w:type="dxa"/>
            <w:left w:w="0" w:type="dxa"/>
            <w:bottom w:w="0" w:type="dxa"/>
            <w:right w:w="0" w:type="dxa"/>
          </w:tblCellMar>
          <w:tblLook w:val="01E0"/>
        </w:tblPrEx>
        <w:trPr>
          <w:trHeight w:val="1634"/>
          <w:jc w:val="left"/>
        </w:trPr>
        <w:tc>
          <w:tcPr>
            <w:tcW w:w="1008" w:type="dxa"/>
          </w:tcPr>
          <w:p>
            <w:pPr>
              <w:pStyle w:val="TableParagraph"/>
              <w:rPr>
                <w:rFonts w:ascii="等线"/>
                <w:b/>
                <w:sz w:val="20"/>
              </w:rPr>
            </w:pPr>
          </w:p>
          <w:p>
            <w:pPr>
              <w:pStyle w:val="TableParagraph"/>
              <w:spacing w:before="6"/>
              <w:rPr>
                <w:rFonts w:ascii="等线"/>
                <w:b/>
                <w:sz w:val="25"/>
              </w:rPr>
            </w:pPr>
          </w:p>
          <w:p>
            <w:pPr>
              <w:pStyle w:val="TableParagraph"/>
              <w:ind w:left="334" w:right="324"/>
              <w:jc w:val="center"/>
              <w:rPr>
                <w:sz w:val="21"/>
              </w:rPr>
            </w:pPr>
            <w:r>
              <w:rPr>
                <w:spacing w:val="-5"/>
                <w:sz w:val="21"/>
              </w:rPr>
              <w:t>3.1</w:t>
            </w:r>
          </w:p>
        </w:tc>
        <w:tc>
          <w:tcPr>
            <w:tcW w:w="1176" w:type="dxa"/>
            <w:vMerge w:val="restart"/>
          </w:tcPr>
          <w:p>
            <w:pPr>
              <w:pStyle w:val="TableParagraph"/>
              <w:rPr>
                <w:rFonts w:ascii="等线"/>
                <w:b/>
                <w:sz w:val="20"/>
              </w:rPr>
            </w:pPr>
          </w:p>
          <w:p>
            <w:pPr>
              <w:pStyle w:val="TableParagraph"/>
              <w:rPr>
                <w:rFonts w:ascii="等线"/>
                <w:b/>
                <w:sz w:val="20"/>
              </w:rPr>
            </w:pPr>
          </w:p>
          <w:p>
            <w:pPr>
              <w:pStyle w:val="TableParagraph"/>
              <w:spacing w:before="12"/>
              <w:rPr>
                <w:rFonts w:ascii="等线"/>
                <w:b/>
                <w:sz w:val="14"/>
              </w:rPr>
            </w:pPr>
          </w:p>
          <w:p>
            <w:pPr>
              <w:pStyle w:val="TableParagraph"/>
              <w:ind w:left="378"/>
              <w:rPr>
                <w:sz w:val="21"/>
              </w:rPr>
            </w:pPr>
            <w:r>
              <w:rPr>
                <w:spacing w:val="-5"/>
                <w:sz w:val="21"/>
              </w:rPr>
              <w:t>服务</w:t>
            </w:r>
          </w:p>
        </w:tc>
        <w:tc>
          <w:tcPr>
            <w:tcW w:w="6851" w:type="dxa"/>
          </w:tcPr>
          <w:p>
            <w:pPr>
              <w:pStyle w:val="TableParagraph"/>
              <w:spacing w:line="270" w:lineRule="atLeast"/>
              <w:ind w:left="107" w:right="96"/>
              <w:jc w:val="both"/>
              <w:rPr>
                <w:sz w:val="21"/>
              </w:rPr>
            </w:pPr>
            <w:r>
              <w:rPr>
                <w:spacing w:val="-7"/>
                <w:sz w:val="21"/>
              </w:rPr>
              <w:t>按照供货方所提供的售后服务进行打分，按照上述售后服务要求机床设备</w:t>
            </w:r>
            <w:r>
              <w:rPr>
                <w:spacing w:val="-4"/>
                <w:sz w:val="21"/>
              </w:rPr>
              <w:t>至少一年质保；终生负责维修只收取成本费；免费提供技术服务与公司培</w:t>
            </w:r>
            <w:r>
              <w:rPr>
                <w:sz w:val="21"/>
              </w:rPr>
              <w:t>训；24</w:t>
            </w:r>
            <w:r>
              <w:rPr>
                <w:spacing w:val="-5"/>
                <w:sz w:val="21"/>
              </w:rPr>
              <w:t xml:space="preserve"> 小时内技术支持及现场技术服务到位。供货方承诺的售后服务满</w:t>
            </w:r>
            <w:r>
              <w:rPr>
                <w:spacing w:val="-10"/>
                <w:sz w:val="21"/>
              </w:rPr>
              <w:t xml:space="preserve">足以上要求得 </w:t>
            </w:r>
            <w:r>
              <w:rPr>
                <w:spacing w:val="-8"/>
                <w:sz w:val="21"/>
              </w:rPr>
              <w:t>2</w:t>
            </w:r>
            <w:r>
              <w:rPr>
                <w:spacing w:val="-11"/>
                <w:sz w:val="21"/>
              </w:rPr>
              <w:t xml:space="preserve"> 分，整机</w:t>
            </w:r>
            <w:r>
              <w:rPr>
                <w:spacing w:val="-8"/>
                <w:sz w:val="21"/>
              </w:rPr>
              <w:t>（包括数控系统）</w:t>
            </w:r>
            <w:r>
              <w:rPr>
                <w:spacing w:val="-10"/>
                <w:sz w:val="21"/>
              </w:rPr>
              <w:t xml:space="preserve">多一年质保加 </w:t>
            </w:r>
            <w:r>
              <w:rPr>
                <w:spacing w:val="-8"/>
                <w:sz w:val="21"/>
              </w:rPr>
              <w:t>2</w:t>
            </w:r>
            <w:r>
              <w:rPr>
                <w:spacing w:val="-12"/>
                <w:sz w:val="21"/>
              </w:rPr>
              <w:t xml:space="preserve"> 分，最多得 </w:t>
            </w:r>
            <w:r>
              <w:rPr>
                <w:spacing w:val="-8"/>
                <w:sz w:val="21"/>
              </w:rPr>
              <w:t>6</w:t>
            </w:r>
            <w:r>
              <w:rPr>
                <w:spacing w:val="-4"/>
                <w:sz w:val="21"/>
              </w:rPr>
              <w:t>分；服务响应不符合招标文件要求的按照无效投标处理。要求出具生产厂</w:t>
            </w:r>
            <w:r>
              <w:rPr>
                <w:spacing w:val="-2"/>
                <w:sz w:val="21"/>
              </w:rPr>
              <w:t>家的质量保证书原件。不提供不得分。</w:t>
            </w:r>
          </w:p>
        </w:tc>
        <w:tc>
          <w:tcPr>
            <w:tcW w:w="1232" w:type="dxa"/>
          </w:tcPr>
          <w:p>
            <w:pPr>
              <w:pStyle w:val="TableParagraph"/>
              <w:rPr>
                <w:rFonts w:ascii="等线"/>
                <w:b/>
                <w:sz w:val="20"/>
              </w:rPr>
            </w:pPr>
          </w:p>
          <w:p>
            <w:pPr>
              <w:pStyle w:val="TableParagraph"/>
              <w:spacing w:before="6"/>
              <w:rPr>
                <w:rFonts w:ascii="等线"/>
                <w:b/>
                <w:sz w:val="25"/>
              </w:rPr>
            </w:pPr>
          </w:p>
          <w:p>
            <w:pPr>
              <w:pStyle w:val="TableParagraph"/>
              <w:ind w:left="9"/>
              <w:jc w:val="center"/>
              <w:rPr>
                <w:sz w:val="21"/>
              </w:rPr>
            </w:pPr>
            <w:r>
              <w:rPr>
                <w:sz w:val="21"/>
              </w:rPr>
              <w:t>6</w:t>
            </w:r>
          </w:p>
        </w:tc>
      </w:tr>
      <w:tr>
        <w:tblPrEx>
          <w:tblW w:w="0" w:type="auto"/>
          <w:jc w:val="left"/>
          <w:tblInd w:w="111" w:type="dxa"/>
          <w:tblLayout w:type="fixed"/>
          <w:tblCellMar>
            <w:top w:w="0" w:type="dxa"/>
            <w:left w:w="0" w:type="dxa"/>
            <w:bottom w:w="0" w:type="dxa"/>
            <w:right w:w="0" w:type="dxa"/>
          </w:tblCellMar>
          <w:tblLook w:val="01E0"/>
        </w:tblPrEx>
        <w:trPr>
          <w:trHeight w:val="272"/>
          <w:jc w:val="left"/>
        </w:trPr>
        <w:tc>
          <w:tcPr>
            <w:tcW w:w="1008" w:type="dxa"/>
          </w:tcPr>
          <w:p>
            <w:pPr>
              <w:pStyle w:val="TableParagraph"/>
              <w:spacing w:before="3" w:line="249" w:lineRule="exact"/>
              <w:ind w:left="334" w:right="324"/>
              <w:jc w:val="center"/>
              <w:rPr>
                <w:sz w:val="21"/>
              </w:rPr>
            </w:pPr>
            <w:r>
              <w:rPr>
                <w:spacing w:val="-5"/>
                <w:sz w:val="21"/>
              </w:rPr>
              <w:t>3.2</w:t>
            </w:r>
          </w:p>
        </w:tc>
        <w:tc>
          <w:tcPr>
            <w:tcW w:w="1176" w:type="dxa"/>
            <w:vMerge/>
            <w:tcBorders>
              <w:top w:val="nil"/>
            </w:tcBorders>
          </w:tcPr>
          <w:p>
            <w:pPr>
              <w:rPr>
                <w:sz w:val="2"/>
                <w:szCs w:val="2"/>
              </w:rPr>
            </w:pPr>
          </w:p>
        </w:tc>
        <w:tc>
          <w:tcPr>
            <w:tcW w:w="6851" w:type="dxa"/>
          </w:tcPr>
          <w:p>
            <w:pPr>
              <w:pStyle w:val="TableParagraph"/>
              <w:spacing w:before="3" w:line="249" w:lineRule="exact"/>
              <w:ind w:left="107" w:right="-15"/>
              <w:rPr>
                <w:sz w:val="21"/>
              </w:rPr>
            </w:pPr>
            <w:r>
              <w:rPr>
                <w:spacing w:val="-14"/>
                <w:sz w:val="21"/>
              </w:rPr>
              <w:t>提供详细的培训方案，最优的得满分，其他酌情评分，没有提供的不得分。</w:t>
            </w:r>
          </w:p>
        </w:tc>
        <w:tc>
          <w:tcPr>
            <w:tcW w:w="1232" w:type="dxa"/>
          </w:tcPr>
          <w:p>
            <w:pPr>
              <w:pStyle w:val="TableParagraph"/>
              <w:spacing w:before="3" w:line="249" w:lineRule="exact"/>
              <w:ind w:left="9"/>
              <w:jc w:val="center"/>
              <w:rPr>
                <w:sz w:val="21"/>
              </w:rPr>
            </w:pPr>
            <w:r>
              <w:rPr>
                <w:sz w:val="21"/>
              </w:rPr>
              <w:t>1</w:t>
            </w:r>
          </w:p>
        </w:tc>
      </w:tr>
      <w:tr>
        <w:tblPrEx>
          <w:tblW w:w="0" w:type="auto"/>
          <w:jc w:val="left"/>
          <w:tblInd w:w="111" w:type="dxa"/>
          <w:tblLayout w:type="fixed"/>
          <w:tblCellMar>
            <w:top w:w="0" w:type="dxa"/>
            <w:left w:w="0" w:type="dxa"/>
            <w:bottom w:w="0" w:type="dxa"/>
            <w:right w:w="0" w:type="dxa"/>
          </w:tblCellMar>
          <w:tblLook w:val="01E0"/>
        </w:tblPrEx>
        <w:trPr>
          <w:trHeight w:val="817"/>
          <w:jc w:val="left"/>
        </w:trPr>
        <w:tc>
          <w:tcPr>
            <w:tcW w:w="1008" w:type="dxa"/>
          </w:tcPr>
          <w:p>
            <w:pPr>
              <w:pStyle w:val="TableParagraph"/>
              <w:spacing w:before="4"/>
              <w:rPr>
                <w:rFonts w:ascii="等线"/>
                <w:b/>
                <w:sz w:val="18"/>
              </w:rPr>
            </w:pPr>
          </w:p>
          <w:p>
            <w:pPr>
              <w:pStyle w:val="TableParagraph"/>
              <w:ind w:left="334" w:right="324"/>
              <w:jc w:val="center"/>
              <w:rPr>
                <w:sz w:val="21"/>
              </w:rPr>
            </w:pPr>
            <w:r>
              <w:rPr>
                <w:spacing w:val="-5"/>
                <w:sz w:val="21"/>
              </w:rPr>
              <w:t>4.1</w:t>
            </w:r>
          </w:p>
        </w:tc>
        <w:tc>
          <w:tcPr>
            <w:tcW w:w="1176" w:type="dxa"/>
            <w:vMerge w:val="restart"/>
          </w:tcPr>
          <w:p>
            <w:pPr>
              <w:pStyle w:val="TableParagraph"/>
              <w:rPr>
                <w:rFonts w:ascii="等线"/>
                <w:b/>
                <w:sz w:val="20"/>
              </w:rPr>
            </w:pPr>
          </w:p>
          <w:p>
            <w:pPr>
              <w:pStyle w:val="TableParagraph"/>
              <w:rPr>
                <w:rFonts w:ascii="等线"/>
                <w:b/>
                <w:sz w:val="20"/>
              </w:rPr>
            </w:pPr>
          </w:p>
          <w:p>
            <w:pPr>
              <w:pStyle w:val="TableParagraph"/>
              <w:spacing w:before="1"/>
              <w:rPr>
                <w:rFonts w:ascii="等线"/>
                <w:b/>
                <w:sz w:val="26"/>
              </w:rPr>
            </w:pPr>
          </w:p>
          <w:p>
            <w:pPr>
              <w:pStyle w:val="TableParagraph"/>
              <w:ind w:left="378"/>
              <w:rPr>
                <w:sz w:val="21"/>
              </w:rPr>
            </w:pPr>
            <w:r>
              <w:rPr>
                <w:spacing w:val="-5"/>
                <w:sz w:val="21"/>
              </w:rPr>
              <w:t>业绩</w:t>
            </w:r>
          </w:p>
        </w:tc>
        <w:tc>
          <w:tcPr>
            <w:tcW w:w="6851" w:type="dxa"/>
          </w:tcPr>
          <w:p>
            <w:pPr>
              <w:pStyle w:val="TableParagraph"/>
              <w:spacing w:line="270" w:lineRule="atLeast"/>
              <w:ind w:left="107" w:right="96"/>
              <w:jc w:val="both"/>
              <w:rPr>
                <w:sz w:val="21"/>
              </w:rPr>
            </w:pPr>
            <w:r>
              <w:rPr>
                <w:spacing w:val="-5"/>
                <w:sz w:val="21"/>
              </w:rPr>
              <w:t xml:space="preserve">根据投标人提供 </w:t>
            </w:r>
            <w:r>
              <w:rPr>
                <w:spacing w:val="-2"/>
                <w:sz w:val="21"/>
              </w:rPr>
              <w:t>2012</w:t>
            </w:r>
            <w:r>
              <w:rPr>
                <w:spacing w:val="-7"/>
                <w:sz w:val="21"/>
              </w:rPr>
              <w:t xml:space="preserve"> 年元月起至今，投标人在同类学校政府招标中的设</w:t>
            </w:r>
            <w:r>
              <w:rPr>
                <w:spacing w:val="-9"/>
                <w:sz w:val="21"/>
              </w:rPr>
              <w:t xml:space="preserve">备中标业绩进行打分，提供一个超过 </w:t>
            </w:r>
            <w:r>
              <w:rPr>
                <w:spacing w:val="-8"/>
                <w:sz w:val="21"/>
              </w:rPr>
              <w:t>200</w:t>
            </w:r>
            <w:r>
              <w:rPr>
                <w:spacing w:val="-12"/>
                <w:sz w:val="21"/>
              </w:rPr>
              <w:t xml:space="preserve"> 万</w:t>
            </w:r>
            <w:r>
              <w:rPr>
                <w:spacing w:val="-8"/>
                <w:sz w:val="21"/>
              </w:rPr>
              <w:t>（</w:t>
            </w:r>
            <w:r>
              <w:rPr>
                <w:spacing w:val="-12"/>
                <w:sz w:val="21"/>
              </w:rPr>
              <w:t xml:space="preserve">含 </w:t>
            </w:r>
            <w:r>
              <w:rPr>
                <w:spacing w:val="-8"/>
                <w:sz w:val="21"/>
              </w:rPr>
              <w:t>200</w:t>
            </w:r>
            <w:r>
              <w:rPr>
                <w:spacing w:val="-12"/>
                <w:sz w:val="21"/>
              </w:rPr>
              <w:t xml:space="preserve"> 万</w:t>
            </w:r>
            <w:r>
              <w:rPr>
                <w:spacing w:val="-8"/>
                <w:sz w:val="21"/>
              </w:rPr>
              <w:t>）的同类数控设备</w:t>
            </w:r>
            <w:r>
              <w:rPr>
                <w:spacing w:val="-3"/>
                <w:sz w:val="21"/>
              </w:rPr>
              <w:t xml:space="preserve">中标合同得 </w:t>
            </w:r>
            <w:r>
              <w:rPr>
                <w:sz w:val="21"/>
              </w:rPr>
              <w:t>2</w:t>
            </w:r>
            <w:r>
              <w:rPr>
                <w:spacing w:val="-6"/>
                <w:sz w:val="21"/>
              </w:rPr>
              <w:t xml:space="preserve"> 分，最多得 </w:t>
            </w:r>
            <w:r>
              <w:rPr>
                <w:sz w:val="21"/>
              </w:rPr>
              <w:t>4</w:t>
            </w:r>
            <w:r>
              <w:rPr>
                <w:spacing w:val="-4"/>
                <w:sz w:val="21"/>
              </w:rPr>
              <w:t xml:space="preserve"> 分。(请提供原件</w:t>
            </w:r>
            <w:r>
              <w:rPr>
                <w:sz w:val="21"/>
              </w:rPr>
              <w:t>）</w:t>
            </w:r>
          </w:p>
        </w:tc>
        <w:tc>
          <w:tcPr>
            <w:tcW w:w="1232" w:type="dxa"/>
          </w:tcPr>
          <w:p>
            <w:pPr>
              <w:pStyle w:val="TableParagraph"/>
              <w:spacing w:before="4"/>
              <w:rPr>
                <w:rFonts w:ascii="等线"/>
                <w:b/>
                <w:sz w:val="18"/>
              </w:rPr>
            </w:pPr>
          </w:p>
          <w:p>
            <w:pPr>
              <w:pStyle w:val="TableParagraph"/>
              <w:ind w:left="9"/>
              <w:jc w:val="center"/>
              <w:rPr>
                <w:sz w:val="21"/>
              </w:rPr>
            </w:pPr>
            <w:r>
              <w:rPr>
                <w:sz w:val="21"/>
              </w:rPr>
              <w:t>4</w:t>
            </w:r>
          </w:p>
        </w:tc>
      </w:tr>
      <w:tr>
        <w:tblPrEx>
          <w:tblW w:w="0" w:type="auto"/>
          <w:jc w:val="left"/>
          <w:tblInd w:w="111" w:type="dxa"/>
          <w:tblLayout w:type="fixed"/>
          <w:tblCellMar>
            <w:top w:w="0" w:type="dxa"/>
            <w:left w:w="0" w:type="dxa"/>
            <w:bottom w:w="0" w:type="dxa"/>
            <w:right w:w="0" w:type="dxa"/>
          </w:tblCellMar>
          <w:tblLook w:val="01E0"/>
        </w:tblPrEx>
        <w:trPr>
          <w:trHeight w:val="817"/>
          <w:jc w:val="left"/>
        </w:trPr>
        <w:tc>
          <w:tcPr>
            <w:tcW w:w="1008" w:type="dxa"/>
          </w:tcPr>
          <w:p>
            <w:pPr>
              <w:pStyle w:val="TableParagraph"/>
              <w:spacing w:before="4"/>
              <w:rPr>
                <w:rFonts w:ascii="等线"/>
                <w:b/>
                <w:sz w:val="18"/>
              </w:rPr>
            </w:pPr>
          </w:p>
          <w:p>
            <w:pPr>
              <w:pStyle w:val="TableParagraph"/>
              <w:ind w:left="334" w:right="324"/>
              <w:jc w:val="center"/>
              <w:rPr>
                <w:sz w:val="21"/>
              </w:rPr>
            </w:pPr>
            <w:r>
              <w:rPr>
                <w:spacing w:val="-5"/>
                <w:sz w:val="21"/>
              </w:rPr>
              <w:t>4.2</w:t>
            </w:r>
          </w:p>
        </w:tc>
        <w:tc>
          <w:tcPr>
            <w:tcW w:w="1176" w:type="dxa"/>
            <w:vMerge/>
            <w:tcBorders>
              <w:top w:val="nil"/>
            </w:tcBorders>
          </w:tcPr>
          <w:p>
            <w:pPr>
              <w:rPr>
                <w:sz w:val="2"/>
                <w:szCs w:val="2"/>
              </w:rPr>
            </w:pPr>
          </w:p>
        </w:tc>
        <w:tc>
          <w:tcPr>
            <w:tcW w:w="6851" w:type="dxa"/>
          </w:tcPr>
          <w:p>
            <w:pPr>
              <w:pStyle w:val="TableParagraph"/>
              <w:spacing w:before="43" w:line="194" w:lineRule="auto"/>
              <w:ind w:left="107" w:right="96"/>
              <w:rPr>
                <w:rFonts w:ascii="微软雅黑" w:eastAsia="微软雅黑"/>
                <w:b/>
                <w:sz w:val="21"/>
              </w:rPr>
            </w:pPr>
            <w:r>
              <w:rPr>
                <w:sz w:val="21"/>
              </w:rPr>
              <w:t>2012</w:t>
            </w:r>
            <w:r>
              <w:rPr>
                <w:spacing w:val="-7"/>
                <w:sz w:val="21"/>
              </w:rPr>
              <w:t xml:space="preserve"> 年元月起至今，投标人在学校政府招标五轴加工中心中标业绩进行</w:t>
            </w:r>
            <w:r>
              <w:rPr>
                <w:spacing w:val="-8"/>
                <w:sz w:val="21"/>
              </w:rPr>
              <w:t xml:space="preserve">打分，提供一个合同得 </w:t>
            </w:r>
            <w:r>
              <w:rPr>
                <w:spacing w:val="-4"/>
                <w:sz w:val="21"/>
              </w:rPr>
              <w:t>2</w:t>
            </w:r>
            <w:r>
              <w:rPr>
                <w:spacing w:val="-17"/>
                <w:sz w:val="21"/>
              </w:rPr>
              <w:t xml:space="preserve"> 分，最多得 </w:t>
            </w:r>
            <w:r>
              <w:rPr>
                <w:spacing w:val="-4"/>
                <w:sz w:val="21"/>
              </w:rPr>
              <w:t>4</w:t>
            </w:r>
            <w:r>
              <w:rPr>
                <w:spacing w:val="-10"/>
                <w:sz w:val="21"/>
              </w:rPr>
              <w:t xml:space="preserve"> 分.(请提供原件</w:t>
            </w:r>
            <w:r>
              <w:rPr>
                <w:spacing w:val="-4"/>
                <w:sz w:val="21"/>
              </w:rPr>
              <w:t>）</w:t>
            </w:r>
            <w:r>
              <w:rPr>
                <w:rFonts w:ascii="微软雅黑" w:eastAsia="微软雅黑"/>
                <w:b/>
                <w:spacing w:val="-5"/>
                <w:sz w:val="21"/>
              </w:rPr>
              <w:t>同一份合同只能</w:t>
            </w:r>
          </w:p>
          <w:p>
            <w:pPr>
              <w:pStyle w:val="TableParagraph"/>
              <w:spacing w:line="222" w:lineRule="exact"/>
              <w:ind w:left="107"/>
              <w:rPr>
                <w:rFonts w:ascii="微软雅黑" w:eastAsia="微软雅黑"/>
                <w:b/>
                <w:sz w:val="21"/>
              </w:rPr>
            </w:pPr>
            <w:r>
              <w:rPr>
                <w:rFonts w:ascii="微软雅黑" w:eastAsia="微软雅黑"/>
                <w:b/>
                <w:spacing w:val="-1"/>
                <w:sz w:val="21"/>
              </w:rPr>
              <w:t>评一次分，请在提供时说明。</w:t>
            </w:r>
          </w:p>
        </w:tc>
        <w:tc>
          <w:tcPr>
            <w:tcW w:w="1232" w:type="dxa"/>
          </w:tcPr>
          <w:p>
            <w:pPr>
              <w:pStyle w:val="TableParagraph"/>
              <w:spacing w:before="4"/>
              <w:rPr>
                <w:rFonts w:ascii="等线"/>
                <w:b/>
                <w:sz w:val="18"/>
              </w:rPr>
            </w:pPr>
          </w:p>
          <w:p>
            <w:pPr>
              <w:pStyle w:val="TableParagraph"/>
              <w:ind w:left="9"/>
              <w:jc w:val="center"/>
              <w:rPr>
                <w:sz w:val="21"/>
              </w:rPr>
            </w:pPr>
            <w:r>
              <w:rPr>
                <w:sz w:val="21"/>
              </w:rPr>
              <w:t>4</w:t>
            </w:r>
          </w:p>
        </w:tc>
      </w:tr>
      <w:tr>
        <w:tblPrEx>
          <w:tblW w:w="0" w:type="auto"/>
          <w:jc w:val="left"/>
          <w:tblInd w:w="111" w:type="dxa"/>
          <w:tblLayout w:type="fixed"/>
          <w:tblCellMar>
            <w:top w:w="0" w:type="dxa"/>
            <w:left w:w="0" w:type="dxa"/>
            <w:bottom w:w="0" w:type="dxa"/>
            <w:right w:w="0" w:type="dxa"/>
          </w:tblCellMar>
          <w:tblLook w:val="01E0"/>
        </w:tblPrEx>
        <w:trPr>
          <w:trHeight w:val="602"/>
          <w:jc w:val="left"/>
        </w:trPr>
        <w:tc>
          <w:tcPr>
            <w:tcW w:w="1008" w:type="dxa"/>
          </w:tcPr>
          <w:p>
            <w:pPr>
              <w:pStyle w:val="TableParagraph"/>
              <w:spacing w:before="168"/>
              <w:ind w:left="334" w:right="324"/>
              <w:jc w:val="center"/>
              <w:rPr>
                <w:sz w:val="21"/>
              </w:rPr>
            </w:pPr>
            <w:r>
              <w:rPr>
                <w:spacing w:val="-5"/>
                <w:sz w:val="21"/>
              </w:rPr>
              <w:t>4.3</w:t>
            </w:r>
          </w:p>
        </w:tc>
        <w:tc>
          <w:tcPr>
            <w:tcW w:w="1176" w:type="dxa"/>
            <w:vMerge/>
            <w:tcBorders>
              <w:top w:val="nil"/>
            </w:tcBorders>
          </w:tcPr>
          <w:p>
            <w:pPr>
              <w:rPr>
                <w:sz w:val="2"/>
                <w:szCs w:val="2"/>
              </w:rPr>
            </w:pPr>
          </w:p>
        </w:tc>
        <w:tc>
          <w:tcPr>
            <w:tcW w:w="6851" w:type="dxa"/>
          </w:tcPr>
          <w:p>
            <w:pPr>
              <w:pStyle w:val="TableParagraph"/>
              <w:spacing w:before="3" w:line="242" w:lineRule="auto"/>
              <w:ind w:left="107" w:right="96"/>
              <w:rPr>
                <w:sz w:val="21"/>
              </w:rPr>
            </w:pPr>
            <w:r>
              <w:rPr>
                <w:spacing w:val="-9"/>
                <w:sz w:val="21"/>
              </w:rPr>
              <w:t xml:space="preserve">投标产品生产企业在 </w:t>
            </w:r>
            <w:r>
              <w:rPr>
                <w:spacing w:val="-4"/>
                <w:sz w:val="21"/>
              </w:rPr>
              <w:t>2013</w:t>
            </w:r>
            <w:r>
              <w:rPr>
                <w:spacing w:val="-20"/>
                <w:sz w:val="21"/>
              </w:rPr>
              <w:t xml:space="preserve"> 年后</w:t>
            </w:r>
            <w:r>
              <w:rPr>
                <w:spacing w:val="-4"/>
                <w:sz w:val="21"/>
              </w:rPr>
              <w:t>（</w:t>
            </w:r>
            <w:r>
              <w:rPr>
                <w:spacing w:val="-27"/>
                <w:sz w:val="21"/>
              </w:rPr>
              <w:t xml:space="preserve">含 </w:t>
            </w:r>
            <w:r>
              <w:rPr>
                <w:spacing w:val="-4"/>
                <w:sz w:val="21"/>
              </w:rPr>
              <w:t>2013</w:t>
            </w:r>
            <w:r>
              <w:rPr>
                <w:spacing w:val="-27"/>
                <w:sz w:val="21"/>
              </w:rPr>
              <w:t xml:space="preserve"> 年</w:t>
            </w:r>
            <w:r>
              <w:rPr>
                <w:spacing w:val="-4"/>
                <w:sz w:val="21"/>
              </w:rPr>
              <w:t>）是省级及以上技能大赛入选</w:t>
            </w:r>
            <w:r>
              <w:rPr>
                <w:spacing w:val="-4"/>
                <w:sz w:val="21"/>
              </w:rPr>
              <w:t xml:space="preserve">产品企业加 </w:t>
            </w:r>
            <w:r>
              <w:rPr>
                <w:sz w:val="21"/>
              </w:rPr>
              <w:t>6</w:t>
            </w:r>
            <w:r>
              <w:rPr>
                <w:spacing w:val="-5"/>
                <w:sz w:val="21"/>
              </w:rPr>
              <w:t xml:space="preserve"> 分；(提供证明原件</w:t>
            </w:r>
            <w:r>
              <w:rPr>
                <w:sz w:val="21"/>
              </w:rPr>
              <w:t>）</w:t>
            </w:r>
          </w:p>
        </w:tc>
        <w:tc>
          <w:tcPr>
            <w:tcW w:w="1232" w:type="dxa"/>
          </w:tcPr>
          <w:p>
            <w:pPr>
              <w:pStyle w:val="TableParagraph"/>
              <w:spacing w:before="168"/>
              <w:ind w:left="9"/>
              <w:jc w:val="center"/>
              <w:rPr>
                <w:sz w:val="21"/>
              </w:rPr>
            </w:pPr>
            <w:r>
              <w:rPr>
                <w:sz w:val="21"/>
              </w:rPr>
              <w:t>6</w:t>
            </w:r>
          </w:p>
        </w:tc>
      </w:tr>
      <w:tr>
        <w:tblPrEx>
          <w:tblW w:w="0" w:type="auto"/>
          <w:jc w:val="left"/>
          <w:tblInd w:w="111" w:type="dxa"/>
          <w:tblLayout w:type="fixed"/>
          <w:tblCellMar>
            <w:top w:w="0" w:type="dxa"/>
            <w:left w:w="0" w:type="dxa"/>
            <w:bottom w:w="0" w:type="dxa"/>
            <w:right w:w="0" w:type="dxa"/>
          </w:tblCellMar>
          <w:tblLook w:val="01E0"/>
        </w:tblPrEx>
        <w:trPr>
          <w:trHeight w:val="544"/>
          <w:jc w:val="left"/>
        </w:trPr>
        <w:tc>
          <w:tcPr>
            <w:tcW w:w="1008" w:type="dxa"/>
          </w:tcPr>
          <w:p>
            <w:pPr>
              <w:pStyle w:val="TableParagraph"/>
              <w:spacing w:before="139"/>
              <w:ind w:left="9"/>
              <w:jc w:val="center"/>
              <w:rPr>
                <w:sz w:val="21"/>
              </w:rPr>
            </w:pPr>
            <w:r>
              <w:rPr>
                <w:sz w:val="21"/>
              </w:rPr>
              <w:t>5</w:t>
            </w:r>
          </w:p>
        </w:tc>
        <w:tc>
          <w:tcPr>
            <w:tcW w:w="1176" w:type="dxa"/>
          </w:tcPr>
          <w:p>
            <w:pPr>
              <w:pStyle w:val="TableParagraph"/>
              <w:spacing w:before="139"/>
              <w:ind w:left="168"/>
              <w:rPr>
                <w:sz w:val="21"/>
              </w:rPr>
            </w:pPr>
            <w:r>
              <w:rPr>
                <w:spacing w:val="-3"/>
                <w:sz w:val="21"/>
              </w:rPr>
              <w:t>财务状况</w:t>
            </w:r>
          </w:p>
        </w:tc>
        <w:tc>
          <w:tcPr>
            <w:tcW w:w="6851" w:type="dxa"/>
          </w:tcPr>
          <w:p>
            <w:pPr>
              <w:pStyle w:val="TableParagraph"/>
              <w:spacing w:line="270" w:lineRule="atLeast"/>
              <w:ind w:left="107" w:right="96"/>
              <w:rPr>
                <w:sz w:val="21"/>
              </w:rPr>
            </w:pPr>
            <w:r>
              <w:rPr>
                <w:spacing w:val="-6"/>
                <w:sz w:val="21"/>
              </w:rPr>
              <w:t xml:space="preserve">根据投标人提供的 </w:t>
            </w:r>
            <w:r>
              <w:rPr>
                <w:sz w:val="21"/>
              </w:rPr>
              <w:t>2013</w:t>
            </w:r>
            <w:r>
              <w:rPr>
                <w:spacing w:val="-8"/>
                <w:sz w:val="21"/>
              </w:rPr>
              <w:t xml:space="preserve"> 年会计师事务所出具的证明其上一年度财务状况</w:t>
            </w:r>
            <w:r>
              <w:rPr>
                <w:spacing w:val="-2"/>
                <w:sz w:val="21"/>
              </w:rPr>
              <w:t>的审验报告评分，最优的得满分，其他酌情评分，没有提供的不得分。</w:t>
            </w:r>
          </w:p>
        </w:tc>
        <w:tc>
          <w:tcPr>
            <w:tcW w:w="1232" w:type="dxa"/>
          </w:tcPr>
          <w:p>
            <w:pPr>
              <w:pStyle w:val="TableParagraph"/>
              <w:spacing w:before="139"/>
              <w:ind w:left="9"/>
              <w:jc w:val="center"/>
              <w:rPr>
                <w:sz w:val="21"/>
              </w:rPr>
            </w:pPr>
            <w:r>
              <w:rPr>
                <w:sz w:val="21"/>
              </w:rPr>
              <w:t>1</w:t>
            </w:r>
          </w:p>
        </w:tc>
      </w:tr>
      <w:tr>
        <w:tblPrEx>
          <w:tblW w:w="0" w:type="auto"/>
          <w:jc w:val="left"/>
          <w:tblInd w:w="111" w:type="dxa"/>
          <w:tblLayout w:type="fixed"/>
          <w:tblCellMar>
            <w:top w:w="0" w:type="dxa"/>
            <w:left w:w="0" w:type="dxa"/>
            <w:bottom w:w="0" w:type="dxa"/>
            <w:right w:w="0" w:type="dxa"/>
          </w:tblCellMar>
          <w:tblLook w:val="01E0"/>
        </w:tblPrEx>
        <w:trPr>
          <w:trHeight w:val="400"/>
          <w:jc w:val="left"/>
        </w:trPr>
        <w:tc>
          <w:tcPr>
            <w:tcW w:w="1008" w:type="dxa"/>
          </w:tcPr>
          <w:p>
            <w:pPr>
              <w:pStyle w:val="TableParagraph"/>
              <w:spacing w:before="67"/>
              <w:ind w:left="334" w:right="324"/>
              <w:jc w:val="center"/>
              <w:rPr>
                <w:sz w:val="21"/>
              </w:rPr>
            </w:pPr>
            <w:r>
              <w:rPr>
                <w:spacing w:val="-5"/>
                <w:sz w:val="21"/>
              </w:rPr>
              <w:t>6.1</w:t>
            </w:r>
          </w:p>
        </w:tc>
        <w:tc>
          <w:tcPr>
            <w:tcW w:w="1176" w:type="dxa"/>
            <w:vMerge w:val="restart"/>
          </w:tcPr>
          <w:p>
            <w:pPr>
              <w:pStyle w:val="TableParagraph"/>
              <w:rPr>
                <w:rFonts w:ascii="等线"/>
                <w:b/>
                <w:sz w:val="20"/>
              </w:rPr>
            </w:pPr>
          </w:p>
          <w:p>
            <w:pPr>
              <w:pStyle w:val="TableParagraph"/>
              <w:rPr>
                <w:rFonts w:ascii="等线"/>
                <w:b/>
                <w:sz w:val="20"/>
              </w:rPr>
            </w:pPr>
          </w:p>
          <w:p>
            <w:pPr>
              <w:pStyle w:val="TableParagraph"/>
              <w:spacing w:before="4"/>
              <w:rPr>
                <w:rFonts w:ascii="等线"/>
                <w:b/>
                <w:sz w:val="14"/>
              </w:rPr>
            </w:pPr>
          </w:p>
          <w:p>
            <w:pPr>
              <w:pStyle w:val="TableParagraph"/>
              <w:ind w:left="108"/>
              <w:rPr>
                <w:sz w:val="21"/>
              </w:rPr>
            </w:pPr>
            <w:r>
              <w:rPr>
                <w:spacing w:val="-22"/>
                <w:sz w:val="21"/>
              </w:rPr>
              <w:t>资信、资质</w:t>
            </w:r>
          </w:p>
        </w:tc>
        <w:tc>
          <w:tcPr>
            <w:tcW w:w="6851" w:type="dxa"/>
          </w:tcPr>
          <w:p>
            <w:pPr>
              <w:pStyle w:val="TableParagraph"/>
              <w:spacing w:before="67"/>
              <w:ind w:left="107"/>
              <w:rPr>
                <w:sz w:val="21"/>
              </w:rPr>
            </w:pPr>
            <w:r>
              <w:rPr>
                <w:spacing w:val="-5"/>
                <w:sz w:val="21"/>
              </w:rPr>
              <w:t xml:space="preserve">投标产品生产企业通过 </w:t>
            </w:r>
            <w:r>
              <w:rPr>
                <w:sz w:val="21"/>
              </w:rPr>
              <w:t>ISO</w:t>
            </w:r>
            <w:r>
              <w:rPr>
                <w:spacing w:val="-12"/>
                <w:sz w:val="21"/>
              </w:rPr>
              <w:t xml:space="preserve"> 质量管理体系认证的得 </w:t>
            </w:r>
            <w:r>
              <w:rPr>
                <w:sz w:val="21"/>
              </w:rPr>
              <w:t>1</w:t>
            </w:r>
            <w:r>
              <w:rPr>
                <w:spacing w:val="-18"/>
                <w:sz w:val="21"/>
              </w:rPr>
              <w:t xml:space="preserve"> 分。</w:t>
            </w:r>
            <w:r>
              <w:rPr>
                <w:sz w:val="21"/>
              </w:rPr>
              <w:t>（请提供原件</w:t>
            </w:r>
            <w:r>
              <w:rPr>
                <w:spacing w:val="-10"/>
                <w:sz w:val="21"/>
              </w:rPr>
              <w:t>）</w:t>
            </w:r>
          </w:p>
        </w:tc>
        <w:tc>
          <w:tcPr>
            <w:tcW w:w="1232" w:type="dxa"/>
          </w:tcPr>
          <w:p>
            <w:pPr>
              <w:pStyle w:val="TableParagraph"/>
              <w:spacing w:before="67"/>
              <w:ind w:left="9"/>
              <w:jc w:val="center"/>
              <w:rPr>
                <w:sz w:val="21"/>
              </w:rPr>
            </w:pPr>
            <w:r>
              <w:rPr>
                <w:sz w:val="21"/>
              </w:rPr>
              <w:t>1</w:t>
            </w:r>
          </w:p>
        </w:tc>
      </w:tr>
      <w:tr>
        <w:tblPrEx>
          <w:tblW w:w="0" w:type="auto"/>
          <w:jc w:val="left"/>
          <w:tblInd w:w="111" w:type="dxa"/>
          <w:tblLayout w:type="fixed"/>
          <w:tblCellMar>
            <w:top w:w="0" w:type="dxa"/>
            <w:left w:w="0" w:type="dxa"/>
            <w:bottom w:w="0" w:type="dxa"/>
            <w:right w:w="0" w:type="dxa"/>
          </w:tblCellMar>
          <w:tblLook w:val="01E0"/>
        </w:tblPrEx>
        <w:trPr>
          <w:trHeight w:val="544"/>
          <w:jc w:val="left"/>
        </w:trPr>
        <w:tc>
          <w:tcPr>
            <w:tcW w:w="1008" w:type="dxa"/>
          </w:tcPr>
          <w:p>
            <w:pPr>
              <w:pStyle w:val="TableParagraph"/>
              <w:spacing w:before="139"/>
              <w:ind w:left="334" w:right="324"/>
              <w:jc w:val="center"/>
              <w:rPr>
                <w:sz w:val="21"/>
              </w:rPr>
            </w:pPr>
            <w:r>
              <w:rPr>
                <w:spacing w:val="-5"/>
                <w:sz w:val="21"/>
              </w:rPr>
              <w:t>6.2</w:t>
            </w:r>
          </w:p>
        </w:tc>
        <w:tc>
          <w:tcPr>
            <w:tcW w:w="1176" w:type="dxa"/>
            <w:vMerge/>
            <w:tcBorders>
              <w:top w:val="nil"/>
            </w:tcBorders>
          </w:tcPr>
          <w:p>
            <w:pPr>
              <w:rPr>
                <w:sz w:val="2"/>
                <w:szCs w:val="2"/>
              </w:rPr>
            </w:pPr>
          </w:p>
        </w:tc>
        <w:tc>
          <w:tcPr>
            <w:tcW w:w="6851" w:type="dxa"/>
          </w:tcPr>
          <w:p>
            <w:pPr>
              <w:pStyle w:val="TableParagraph"/>
              <w:spacing w:line="270" w:lineRule="atLeast"/>
              <w:ind w:left="107" w:right="96"/>
              <w:rPr>
                <w:sz w:val="21"/>
              </w:rPr>
            </w:pPr>
            <w:r>
              <w:rPr>
                <w:spacing w:val="-6"/>
                <w:sz w:val="21"/>
              </w:rPr>
              <w:t xml:space="preserve">投标产品生产企业通过 </w:t>
            </w:r>
            <w:r>
              <w:rPr>
                <w:spacing w:val="-2"/>
                <w:sz w:val="21"/>
              </w:rPr>
              <w:t>ISO14001</w:t>
            </w:r>
            <w:r>
              <w:rPr>
                <w:spacing w:val="-12"/>
                <w:sz w:val="21"/>
              </w:rPr>
              <w:t xml:space="preserve"> 环境管理体系认证的得 </w:t>
            </w:r>
            <w:r>
              <w:rPr>
                <w:spacing w:val="-2"/>
                <w:sz w:val="21"/>
              </w:rPr>
              <w:t>1</w:t>
            </w:r>
            <w:r>
              <w:rPr>
                <w:spacing w:val="-20"/>
                <w:sz w:val="21"/>
              </w:rPr>
              <w:t xml:space="preserve"> 分。(请提供原</w:t>
            </w:r>
            <w:r>
              <w:rPr>
                <w:spacing w:val="-6"/>
                <w:sz w:val="21"/>
              </w:rPr>
              <w:t>件）</w:t>
            </w:r>
          </w:p>
        </w:tc>
        <w:tc>
          <w:tcPr>
            <w:tcW w:w="1232" w:type="dxa"/>
          </w:tcPr>
          <w:p>
            <w:pPr>
              <w:pStyle w:val="TableParagraph"/>
              <w:spacing w:before="139"/>
              <w:ind w:left="9"/>
              <w:jc w:val="center"/>
              <w:rPr>
                <w:sz w:val="21"/>
              </w:rPr>
            </w:pPr>
            <w:r>
              <w:rPr>
                <w:sz w:val="21"/>
              </w:rPr>
              <w:t>1</w:t>
            </w:r>
          </w:p>
        </w:tc>
      </w:tr>
      <w:tr>
        <w:tblPrEx>
          <w:tblW w:w="0" w:type="auto"/>
          <w:jc w:val="left"/>
          <w:tblInd w:w="111" w:type="dxa"/>
          <w:tblLayout w:type="fixed"/>
          <w:tblCellMar>
            <w:top w:w="0" w:type="dxa"/>
            <w:left w:w="0" w:type="dxa"/>
            <w:bottom w:w="0" w:type="dxa"/>
            <w:right w:w="0" w:type="dxa"/>
          </w:tblCellMar>
          <w:tblLook w:val="01E0"/>
        </w:tblPrEx>
        <w:trPr>
          <w:trHeight w:val="544"/>
          <w:jc w:val="left"/>
        </w:trPr>
        <w:tc>
          <w:tcPr>
            <w:tcW w:w="1008" w:type="dxa"/>
          </w:tcPr>
          <w:p>
            <w:pPr>
              <w:pStyle w:val="TableParagraph"/>
              <w:spacing w:before="139"/>
              <w:ind w:left="334" w:right="324"/>
              <w:jc w:val="center"/>
              <w:rPr>
                <w:sz w:val="21"/>
              </w:rPr>
            </w:pPr>
            <w:r>
              <w:rPr>
                <w:spacing w:val="-5"/>
                <w:sz w:val="21"/>
              </w:rPr>
              <w:t>6.3</w:t>
            </w:r>
          </w:p>
        </w:tc>
        <w:tc>
          <w:tcPr>
            <w:tcW w:w="1176" w:type="dxa"/>
            <w:vMerge/>
            <w:tcBorders>
              <w:top w:val="nil"/>
            </w:tcBorders>
          </w:tcPr>
          <w:p>
            <w:pPr>
              <w:rPr>
                <w:sz w:val="2"/>
                <w:szCs w:val="2"/>
              </w:rPr>
            </w:pPr>
          </w:p>
        </w:tc>
        <w:tc>
          <w:tcPr>
            <w:tcW w:w="6851" w:type="dxa"/>
          </w:tcPr>
          <w:p>
            <w:pPr>
              <w:pStyle w:val="TableParagraph"/>
              <w:spacing w:line="270" w:lineRule="atLeast"/>
              <w:ind w:left="107" w:right="96"/>
              <w:rPr>
                <w:sz w:val="21"/>
              </w:rPr>
            </w:pPr>
            <w:r>
              <w:rPr>
                <w:spacing w:val="-4"/>
                <w:sz w:val="21"/>
              </w:rPr>
              <w:t>投标产品生产企业获省级以上“院校技能大赛先进单位”（省级教育厅颁</w:t>
            </w:r>
            <w:r>
              <w:rPr>
                <w:sz w:val="21"/>
              </w:rPr>
              <w:t>发）</w:t>
            </w:r>
            <w:r>
              <w:rPr>
                <w:spacing w:val="-8"/>
                <w:sz w:val="21"/>
              </w:rPr>
              <w:t xml:space="preserve">的得 </w:t>
            </w:r>
            <w:r>
              <w:rPr>
                <w:sz w:val="21"/>
              </w:rPr>
              <w:t>2</w:t>
            </w:r>
            <w:r>
              <w:rPr>
                <w:spacing w:val="-11"/>
                <w:sz w:val="21"/>
              </w:rPr>
              <w:t xml:space="preserve"> 分</w:t>
            </w:r>
            <w:r>
              <w:rPr>
                <w:sz w:val="21"/>
              </w:rPr>
              <w:t>（提供原件）</w:t>
            </w:r>
          </w:p>
        </w:tc>
        <w:tc>
          <w:tcPr>
            <w:tcW w:w="1232" w:type="dxa"/>
          </w:tcPr>
          <w:p>
            <w:pPr>
              <w:pStyle w:val="TableParagraph"/>
              <w:spacing w:before="139"/>
              <w:ind w:left="9"/>
              <w:jc w:val="center"/>
              <w:rPr>
                <w:sz w:val="21"/>
              </w:rPr>
            </w:pPr>
            <w:r>
              <w:rPr>
                <w:sz w:val="21"/>
              </w:rPr>
              <w:t>2</w:t>
            </w:r>
          </w:p>
        </w:tc>
      </w:tr>
      <w:tr>
        <w:tblPrEx>
          <w:tblW w:w="0" w:type="auto"/>
          <w:jc w:val="left"/>
          <w:tblInd w:w="111" w:type="dxa"/>
          <w:tblLayout w:type="fixed"/>
          <w:tblCellMar>
            <w:top w:w="0" w:type="dxa"/>
            <w:left w:w="0" w:type="dxa"/>
            <w:bottom w:w="0" w:type="dxa"/>
            <w:right w:w="0" w:type="dxa"/>
          </w:tblCellMar>
          <w:tblLook w:val="01E0"/>
        </w:tblPrEx>
        <w:trPr>
          <w:trHeight w:val="382"/>
          <w:jc w:val="left"/>
        </w:trPr>
        <w:tc>
          <w:tcPr>
            <w:tcW w:w="1008" w:type="dxa"/>
          </w:tcPr>
          <w:p>
            <w:pPr>
              <w:pStyle w:val="TableParagraph"/>
              <w:spacing w:before="58"/>
              <w:ind w:left="334" w:right="324"/>
              <w:jc w:val="center"/>
              <w:rPr>
                <w:sz w:val="21"/>
              </w:rPr>
            </w:pPr>
            <w:r>
              <w:rPr>
                <w:spacing w:val="-5"/>
                <w:sz w:val="21"/>
              </w:rPr>
              <w:t>6.4</w:t>
            </w:r>
          </w:p>
        </w:tc>
        <w:tc>
          <w:tcPr>
            <w:tcW w:w="1176" w:type="dxa"/>
            <w:vMerge/>
            <w:tcBorders>
              <w:top w:val="nil"/>
            </w:tcBorders>
          </w:tcPr>
          <w:p>
            <w:pPr>
              <w:rPr>
                <w:sz w:val="2"/>
                <w:szCs w:val="2"/>
              </w:rPr>
            </w:pPr>
          </w:p>
        </w:tc>
        <w:tc>
          <w:tcPr>
            <w:tcW w:w="6851" w:type="dxa"/>
          </w:tcPr>
          <w:p>
            <w:pPr>
              <w:pStyle w:val="TableParagraph"/>
              <w:spacing w:before="3"/>
              <w:ind w:left="107"/>
              <w:rPr>
                <w:sz w:val="21"/>
              </w:rPr>
            </w:pPr>
            <w:r>
              <w:rPr>
                <w:spacing w:val="-3"/>
                <w:sz w:val="21"/>
              </w:rPr>
              <w:t xml:space="preserve">投标产品生产企业为省级科技型企业的得 </w:t>
            </w:r>
            <w:r>
              <w:rPr>
                <w:sz w:val="21"/>
              </w:rPr>
              <w:t>2</w:t>
            </w:r>
            <w:r>
              <w:rPr>
                <w:spacing w:val="-27"/>
                <w:sz w:val="21"/>
              </w:rPr>
              <w:t xml:space="preserve"> 分</w:t>
            </w:r>
            <w:r>
              <w:rPr>
                <w:sz w:val="21"/>
              </w:rPr>
              <w:t>（提供原件</w:t>
            </w:r>
            <w:r>
              <w:rPr>
                <w:spacing w:val="-10"/>
                <w:sz w:val="21"/>
              </w:rPr>
              <w:t>）</w:t>
            </w:r>
          </w:p>
        </w:tc>
        <w:tc>
          <w:tcPr>
            <w:tcW w:w="1232" w:type="dxa"/>
          </w:tcPr>
          <w:p>
            <w:pPr>
              <w:pStyle w:val="TableParagraph"/>
              <w:spacing w:before="58"/>
              <w:ind w:left="9"/>
              <w:jc w:val="center"/>
              <w:rPr>
                <w:sz w:val="21"/>
              </w:rPr>
            </w:pPr>
            <w:r>
              <w:rPr>
                <w:sz w:val="21"/>
              </w:rPr>
              <w:t>2</w:t>
            </w:r>
          </w:p>
        </w:tc>
      </w:tr>
      <w:tr>
        <w:tblPrEx>
          <w:tblW w:w="0" w:type="auto"/>
          <w:jc w:val="left"/>
          <w:tblInd w:w="111" w:type="dxa"/>
          <w:tblLayout w:type="fixed"/>
          <w:tblCellMar>
            <w:top w:w="0" w:type="dxa"/>
            <w:left w:w="0" w:type="dxa"/>
            <w:bottom w:w="0" w:type="dxa"/>
            <w:right w:w="0" w:type="dxa"/>
          </w:tblCellMar>
          <w:tblLook w:val="01E0"/>
        </w:tblPrEx>
        <w:trPr>
          <w:trHeight w:val="817"/>
          <w:jc w:val="left"/>
        </w:trPr>
        <w:tc>
          <w:tcPr>
            <w:tcW w:w="1008" w:type="dxa"/>
          </w:tcPr>
          <w:p>
            <w:pPr>
              <w:pStyle w:val="TableParagraph"/>
              <w:spacing w:before="4"/>
              <w:rPr>
                <w:rFonts w:ascii="等线"/>
                <w:b/>
                <w:sz w:val="18"/>
              </w:rPr>
            </w:pPr>
          </w:p>
          <w:p>
            <w:pPr>
              <w:pStyle w:val="TableParagraph"/>
              <w:ind w:left="334" w:right="324"/>
              <w:jc w:val="center"/>
              <w:rPr>
                <w:sz w:val="21"/>
              </w:rPr>
            </w:pPr>
            <w:r>
              <w:rPr>
                <w:spacing w:val="-5"/>
                <w:sz w:val="21"/>
              </w:rPr>
              <w:t>7.1</w:t>
            </w:r>
          </w:p>
        </w:tc>
        <w:tc>
          <w:tcPr>
            <w:tcW w:w="1176" w:type="dxa"/>
          </w:tcPr>
          <w:p>
            <w:pPr>
              <w:pStyle w:val="TableParagraph"/>
              <w:spacing w:before="4"/>
              <w:rPr>
                <w:rFonts w:ascii="等线"/>
                <w:b/>
                <w:sz w:val="18"/>
              </w:rPr>
            </w:pPr>
          </w:p>
          <w:p>
            <w:pPr>
              <w:pStyle w:val="TableParagraph"/>
              <w:ind w:left="108"/>
              <w:rPr>
                <w:sz w:val="21"/>
              </w:rPr>
            </w:pPr>
            <w:r>
              <w:rPr>
                <w:spacing w:val="-3"/>
                <w:sz w:val="21"/>
              </w:rPr>
              <w:t>优惠承诺</w:t>
            </w:r>
          </w:p>
        </w:tc>
        <w:tc>
          <w:tcPr>
            <w:tcW w:w="6851" w:type="dxa"/>
          </w:tcPr>
          <w:p>
            <w:pPr>
              <w:pStyle w:val="TableParagraph"/>
              <w:spacing w:line="270" w:lineRule="atLeast"/>
              <w:ind w:left="107" w:right="12"/>
              <w:rPr>
                <w:sz w:val="21"/>
              </w:rPr>
            </w:pPr>
            <w:r>
              <w:rPr>
                <w:spacing w:val="-4"/>
                <w:sz w:val="21"/>
              </w:rPr>
              <w:t xml:space="preserve">按照供货方的相关优惠承诺进行打分，相比优惠承诺最多的得 </w:t>
            </w:r>
            <w:r>
              <w:rPr>
                <w:spacing w:val="-2"/>
                <w:sz w:val="21"/>
              </w:rPr>
              <w:t>2</w:t>
            </w:r>
            <w:r>
              <w:rPr>
                <w:spacing w:val="-10"/>
                <w:sz w:val="21"/>
              </w:rPr>
              <w:t xml:space="preserve"> 分，其它</w:t>
            </w:r>
            <w:r>
              <w:rPr>
                <w:spacing w:val="-2"/>
                <w:sz w:val="21"/>
              </w:rPr>
              <w:t>酌情评分。（优惠承诺包括教师培训、校企合作、课程开发、赠送刀具、</w:t>
            </w:r>
            <w:r>
              <w:rPr>
                <w:spacing w:val="-2"/>
                <w:sz w:val="21"/>
              </w:rPr>
              <w:t>设备附件等）。</w:t>
            </w:r>
          </w:p>
        </w:tc>
        <w:tc>
          <w:tcPr>
            <w:tcW w:w="1232" w:type="dxa"/>
          </w:tcPr>
          <w:p>
            <w:pPr>
              <w:pStyle w:val="TableParagraph"/>
              <w:spacing w:before="4"/>
              <w:rPr>
                <w:rFonts w:ascii="等线"/>
                <w:b/>
                <w:sz w:val="18"/>
              </w:rPr>
            </w:pPr>
          </w:p>
          <w:p>
            <w:pPr>
              <w:pStyle w:val="TableParagraph"/>
              <w:ind w:left="9"/>
              <w:jc w:val="center"/>
              <w:rPr>
                <w:sz w:val="21"/>
              </w:rPr>
            </w:pPr>
            <w:r>
              <w:rPr>
                <w:sz w:val="21"/>
              </w:rPr>
              <w:t>2</w:t>
            </w:r>
          </w:p>
        </w:tc>
      </w:tr>
      <w:tr>
        <w:tblPrEx>
          <w:tblW w:w="0" w:type="auto"/>
          <w:jc w:val="left"/>
          <w:tblInd w:w="111" w:type="dxa"/>
          <w:tblLayout w:type="fixed"/>
          <w:tblCellMar>
            <w:top w:w="0" w:type="dxa"/>
            <w:left w:w="0" w:type="dxa"/>
            <w:bottom w:w="0" w:type="dxa"/>
            <w:right w:w="0" w:type="dxa"/>
          </w:tblCellMar>
          <w:tblLook w:val="01E0"/>
        </w:tblPrEx>
        <w:trPr>
          <w:trHeight w:val="531"/>
          <w:jc w:val="left"/>
        </w:trPr>
        <w:tc>
          <w:tcPr>
            <w:tcW w:w="1008" w:type="dxa"/>
          </w:tcPr>
          <w:p>
            <w:pPr>
              <w:pStyle w:val="TableParagraph"/>
              <w:spacing w:before="133"/>
              <w:ind w:left="334" w:right="324"/>
              <w:jc w:val="center"/>
              <w:rPr>
                <w:sz w:val="21"/>
              </w:rPr>
            </w:pPr>
            <w:r>
              <w:rPr>
                <w:spacing w:val="-5"/>
                <w:sz w:val="21"/>
              </w:rPr>
              <w:t>7.2</w:t>
            </w:r>
          </w:p>
        </w:tc>
        <w:tc>
          <w:tcPr>
            <w:tcW w:w="1176" w:type="dxa"/>
          </w:tcPr>
          <w:p>
            <w:pPr>
              <w:pStyle w:val="TableParagraph"/>
              <w:spacing w:before="133"/>
              <w:ind w:left="108"/>
              <w:rPr>
                <w:sz w:val="21"/>
              </w:rPr>
            </w:pPr>
            <w:r>
              <w:rPr>
                <w:spacing w:val="-5"/>
                <w:sz w:val="21"/>
              </w:rPr>
              <w:t>其他</w:t>
            </w:r>
          </w:p>
        </w:tc>
        <w:tc>
          <w:tcPr>
            <w:tcW w:w="6851" w:type="dxa"/>
          </w:tcPr>
          <w:p>
            <w:pPr>
              <w:pStyle w:val="TableParagraph"/>
              <w:spacing w:before="133"/>
              <w:ind w:left="107"/>
              <w:rPr>
                <w:sz w:val="21"/>
              </w:rPr>
            </w:pPr>
            <w:r>
              <w:rPr>
                <w:spacing w:val="-6"/>
                <w:sz w:val="21"/>
              </w:rPr>
              <w:t xml:space="preserve">根据投标文件对招标文件的响应程度评分，最优的得 </w:t>
            </w:r>
            <w:r>
              <w:rPr>
                <w:spacing w:val="-4"/>
                <w:sz w:val="21"/>
              </w:rPr>
              <w:t>2</w:t>
            </w:r>
            <w:r>
              <w:rPr>
                <w:spacing w:val="-10"/>
                <w:sz w:val="21"/>
              </w:rPr>
              <w:t xml:space="preserve"> 分，其他酌情评分</w:t>
            </w:r>
          </w:p>
        </w:tc>
        <w:tc>
          <w:tcPr>
            <w:tcW w:w="1232" w:type="dxa"/>
          </w:tcPr>
          <w:p>
            <w:pPr>
              <w:pStyle w:val="TableParagraph"/>
              <w:spacing w:before="133"/>
              <w:ind w:left="9"/>
              <w:jc w:val="center"/>
              <w:rPr>
                <w:sz w:val="21"/>
              </w:rPr>
            </w:pPr>
            <w:r>
              <w:rPr>
                <w:sz w:val="21"/>
              </w:rPr>
              <w:t>2</w:t>
            </w:r>
          </w:p>
        </w:tc>
      </w:tr>
    </w:tbl>
    <w:p>
      <w:pPr>
        <w:spacing w:after="0"/>
        <w:jc w:val="center"/>
        <w:rPr>
          <w:sz w:val="21"/>
        </w:rPr>
        <w:sectPr>
          <w:headerReference w:type="default" r:id="rId24"/>
          <w:footerReference w:type="default" r:id="rId25"/>
          <w:pgSz w:w="12240" w:h="15840"/>
          <w:pgMar w:top="1080" w:right="880" w:bottom="920" w:left="880" w:header="748" w:footer="731"/>
          <w:pgNumType w:start="11"/>
          <w:cols w:space="708"/>
        </w:sectPr>
      </w:pPr>
    </w:p>
    <w:p>
      <w:pPr>
        <w:pStyle w:val="BodyText"/>
        <w:spacing w:before="2"/>
        <w:rPr>
          <w:rFonts w:ascii="等线"/>
          <w:b/>
          <w:sz w:val="18"/>
        </w:rPr>
      </w:pPr>
    </w:p>
    <w:p>
      <w:pPr>
        <w:spacing w:before="0" w:line="488" w:lineRule="exact"/>
        <w:ind w:left="254" w:right="0" w:firstLine="0"/>
        <w:jc w:val="left"/>
        <w:rPr>
          <w:rFonts w:ascii="微软雅黑" w:eastAsia="微软雅黑"/>
          <w:b/>
          <w:sz w:val="28"/>
        </w:rPr>
      </w:pPr>
      <w:r>
        <w:rPr>
          <w:rFonts w:ascii="微软雅黑" w:eastAsia="微软雅黑"/>
          <w:b/>
          <w:color w:val="FF0000"/>
          <w:spacing w:val="-1"/>
          <w:sz w:val="28"/>
        </w:rPr>
        <w:t>包二评标标准：硬件检测维修综合实训系统综合平台</w:t>
      </w:r>
    </w:p>
    <w:p>
      <w:pPr>
        <w:pStyle w:val="BodyText"/>
        <w:spacing w:before="6"/>
        <w:rPr>
          <w:rFonts w:ascii="微软雅黑"/>
          <w:b/>
          <w:sz w:val="13"/>
        </w:rPr>
      </w:pPr>
    </w:p>
    <w:tbl>
      <w:tblPr>
        <w:tblStyle w:val="TableNormal1"/>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9"/>
        <w:gridCol w:w="1276"/>
        <w:gridCol w:w="1604"/>
        <w:gridCol w:w="5949"/>
      </w:tblGrid>
      <w:tr>
        <w:tblPrEx>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00"/>
          <w:jc w:val="left"/>
        </w:trPr>
        <w:tc>
          <w:tcPr>
            <w:tcW w:w="709" w:type="dxa"/>
          </w:tcPr>
          <w:p>
            <w:pPr>
              <w:pStyle w:val="TableParagraph"/>
              <w:spacing w:before="10"/>
              <w:rPr>
                <w:rFonts w:ascii="微软雅黑"/>
                <w:b/>
                <w:sz w:val="12"/>
              </w:rPr>
            </w:pPr>
          </w:p>
          <w:p>
            <w:pPr>
              <w:pStyle w:val="TableParagraph"/>
              <w:ind w:left="129" w:right="120"/>
              <w:jc w:val="center"/>
              <w:rPr>
                <w:rFonts w:ascii="微软雅黑" w:eastAsia="微软雅黑"/>
                <w:b/>
                <w:sz w:val="21"/>
              </w:rPr>
            </w:pPr>
            <w:r>
              <w:rPr>
                <w:rFonts w:ascii="微软雅黑" w:eastAsia="微软雅黑"/>
                <w:b/>
                <w:spacing w:val="-5"/>
                <w:sz w:val="21"/>
              </w:rPr>
              <w:t>序号</w:t>
            </w:r>
          </w:p>
        </w:tc>
        <w:tc>
          <w:tcPr>
            <w:tcW w:w="1276" w:type="dxa"/>
          </w:tcPr>
          <w:p>
            <w:pPr>
              <w:pStyle w:val="TableParagraph"/>
              <w:spacing w:before="10"/>
              <w:rPr>
                <w:rFonts w:ascii="微软雅黑"/>
                <w:b/>
                <w:sz w:val="12"/>
              </w:rPr>
            </w:pPr>
          </w:p>
          <w:p>
            <w:pPr>
              <w:pStyle w:val="TableParagraph"/>
              <w:ind w:left="203" w:right="194"/>
              <w:jc w:val="center"/>
              <w:rPr>
                <w:rFonts w:ascii="微软雅黑" w:eastAsia="微软雅黑"/>
                <w:b/>
                <w:sz w:val="21"/>
              </w:rPr>
            </w:pPr>
            <w:r>
              <w:rPr>
                <w:rFonts w:ascii="微软雅黑" w:eastAsia="微软雅黑"/>
                <w:b/>
                <w:spacing w:val="-3"/>
                <w:sz w:val="21"/>
              </w:rPr>
              <w:t>评分项目</w:t>
            </w:r>
          </w:p>
        </w:tc>
        <w:tc>
          <w:tcPr>
            <w:tcW w:w="1604" w:type="dxa"/>
          </w:tcPr>
          <w:p>
            <w:pPr>
              <w:pStyle w:val="TableParagraph"/>
              <w:spacing w:before="27"/>
              <w:ind w:left="149" w:right="140"/>
              <w:jc w:val="center"/>
              <w:rPr>
                <w:rFonts w:ascii="微软雅黑" w:eastAsia="微软雅黑"/>
                <w:b/>
                <w:sz w:val="21"/>
              </w:rPr>
            </w:pPr>
            <w:r>
              <w:rPr>
                <w:rFonts w:ascii="微软雅黑" w:eastAsia="微软雅黑"/>
                <w:b/>
                <w:spacing w:val="-5"/>
                <w:sz w:val="21"/>
              </w:rPr>
              <w:t>分值</w:t>
            </w:r>
          </w:p>
          <w:p>
            <w:pPr>
              <w:pStyle w:val="TableParagraph"/>
              <w:spacing w:before="22"/>
              <w:ind w:left="149" w:right="140"/>
              <w:jc w:val="center"/>
              <w:rPr>
                <w:rFonts w:ascii="微软雅黑" w:eastAsia="微软雅黑"/>
                <w:b/>
                <w:sz w:val="21"/>
              </w:rPr>
            </w:pPr>
            <w:r>
              <w:rPr>
                <w:rFonts w:ascii="微软雅黑" w:eastAsia="微软雅黑"/>
                <w:b/>
                <w:sz w:val="21"/>
              </w:rPr>
              <w:t>（</w:t>
            </w:r>
            <w:r>
              <w:rPr>
                <w:rFonts w:ascii="微软雅黑" w:eastAsia="微软雅黑"/>
                <w:b/>
                <w:spacing w:val="-4"/>
                <w:sz w:val="21"/>
              </w:rPr>
              <w:t>满分 100）</w:t>
            </w:r>
          </w:p>
        </w:tc>
        <w:tc>
          <w:tcPr>
            <w:tcW w:w="5949" w:type="dxa"/>
          </w:tcPr>
          <w:p>
            <w:pPr>
              <w:pStyle w:val="TableParagraph"/>
              <w:spacing w:before="10"/>
              <w:rPr>
                <w:rFonts w:ascii="微软雅黑"/>
                <w:b/>
                <w:sz w:val="12"/>
              </w:rPr>
            </w:pPr>
          </w:p>
          <w:p>
            <w:pPr>
              <w:pStyle w:val="TableParagraph"/>
              <w:ind w:left="2540" w:right="2531"/>
              <w:jc w:val="center"/>
              <w:rPr>
                <w:rFonts w:ascii="微软雅黑" w:eastAsia="微软雅黑"/>
                <w:b/>
                <w:sz w:val="21"/>
              </w:rPr>
            </w:pPr>
            <w:r>
              <w:rPr>
                <w:rFonts w:ascii="微软雅黑" w:eastAsia="微软雅黑"/>
                <w:b/>
                <w:spacing w:val="-3"/>
                <w:sz w:val="21"/>
              </w:rPr>
              <w:t>评分标准</w:t>
            </w:r>
          </w:p>
        </w:tc>
      </w:tr>
      <w:tr>
        <w:tblPrEx>
          <w:tblW w:w="0" w:type="auto"/>
          <w:jc w:val="left"/>
          <w:tblInd w:w="465" w:type="dxa"/>
          <w:tblLayout w:type="fixed"/>
          <w:tblCellMar>
            <w:top w:w="0" w:type="dxa"/>
            <w:left w:w="0" w:type="dxa"/>
            <w:bottom w:w="0" w:type="dxa"/>
            <w:right w:w="0" w:type="dxa"/>
          </w:tblCellMar>
          <w:tblLook w:val="01E0"/>
        </w:tblPrEx>
        <w:trPr>
          <w:trHeight w:val="1238"/>
          <w:jc w:val="left"/>
        </w:trPr>
        <w:tc>
          <w:tcPr>
            <w:tcW w:w="709" w:type="dxa"/>
          </w:tcPr>
          <w:p>
            <w:pPr>
              <w:pStyle w:val="TableParagraph"/>
              <w:spacing w:before="13"/>
              <w:rPr>
                <w:rFonts w:ascii="微软雅黑"/>
                <w:b/>
                <w:sz w:val="22"/>
              </w:rPr>
            </w:pPr>
          </w:p>
          <w:p>
            <w:pPr>
              <w:pStyle w:val="TableParagraph"/>
              <w:ind w:left="10"/>
              <w:jc w:val="center"/>
              <w:rPr>
                <w:sz w:val="21"/>
              </w:rPr>
            </w:pPr>
            <w:r>
              <w:rPr>
                <w:sz w:val="21"/>
              </w:rPr>
              <w:t>1</w:t>
            </w:r>
          </w:p>
        </w:tc>
        <w:tc>
          <w:tcPr>
            <w:tcW w:w="1276" w:type="dxa"/>
          </w:tcPr>
          <w:p>
            <w:pPr>
              <w:pStyle w:val="TableParagraph"/>
              <w:spacing w:before="13"/>
              <w:rPr>
                <w:rFonts w:ascii="微软雅黑"/>
                <w:b/>
                <w:sz w:val="22"/>
              </w:rPr>
            </w:pPr>
          </w:p>
          <w:p>
            <w:pPr>
              <w:pStyle w:val="TableParagraph"/>
              <w:ind w:left="203" w:right="193"/>
              <w:jc w:val="center"/>
              <w:rPr>
                <w:sz w:val="21"/>
              </w:rPr>
            </w:pPr>
            <w:r>
              <w:rPr>
                <w:spacing w:val="-5"/>
                <w:sz w:val="21"/>
              </w:rPr>
              <w:t>价格</w:t>
            </w:r>
          </w:p>
        </w:tc>
        <w:tc>
          <w:tcPr>
            <w:tcW w:w="1604" w:type="dxa"/>
          </w:tcPr>
          <w:p>
            <w:pPr>
              <w:pStyle w:val="TableParagraph"/>
              <w:spacing w:before="13"/>
              <w:rPr>
                <w:rFonts w:ascii="微软雅黑"/>
                <w:b/>
                <w:sz w:val="22"/>
              </w:rPr>
            </w:pPr>
          </w:p>
          <w:p>
            <w:pPr>
              <w:pStyle w:val="TableParagraph"/>
              <w:ind w:left="697"/>
              <w:rPr>
                <w:sz w:val="21"/>
              </w:rPr>
            </w:pPr>
            <w:r>
              <w:rPr>
                <w:spacing w:val="-5"/>
                <w:sz w:val="21"/>
              </w:rPr>
              <w:t>30</w:t>
            </w:r>
          </w:p>
        </w:tc>
        <w:tc>
          <w:tcPr>
            <w:tcW w:w="5949" w:type="dxa"/>
          </w:tcPr>
          <w:p>
            <w:pPr>
              <w:pStyle w:val="TableParagraph"/>
              <w:spacing w:before="78" w:line="242" w:lineRule="auto"/>
              <w:ind w:left="107" w:right="97"/>
              <w:jc w:val="both"/>
              <w:rPr>
                <w:sz w:val="21"/>
              </w:rPr>
            </w:pPr>
            <w:r>
              <w:rPr>
                <w:spacing w:val="-2"/>
                <w:sz w:val="21"/>
              </w:rPr>
              <w:t>采用低价优先法计算，即满足招标文件要求且投标价格最低的</w:t>
            </w:r>
            <w:r>
              <w:rPr>
                <w:spacing w:val="-2"/>
                <w:sz w:val="21"/>
              </w:rPr>
              <w:t>投标报价为评标基准价，其价格分为满分。其他投标人的价格</w:t>
            </w:r>
            <w:r>
              <w:rPr>
                <w:spacing w:val="-2"/>
                <w:sz w:val="21"/>
              </w:rPr>
              <w:t>分按照下列公式计算（小数点后保留二位</w:t>
            </w:r>
            <w:r>
              <w:rPr>
                <w:spacing w:val="-53"/>
                <w:sz w:val="21"/>
              </w:rPr>
              <w:t>）：</w:t>
            </w:r>
            <w:r>
              <w:rPr>
                <w:spacing w:val="-2"/>
                <w:sz w:val="21"/>
              </w:rPr>
              <w:t>投标报价得分=(评</w:t>
            </w:r>
            <w:r>
              <w:rPr>
                <w:spacing w:val="-2"/>
                <w:sz w:val="21"/>
              </w:rPr>
              <w:t>标基准价／投标报价)×30</w:t>
            </w:r>
          </w:p>
        </w:tc>
      </w:tr>
      <w:tr>
        <w:tblPrEx>
          <w:tblW w:w="0" w:type="auto"/>
          <w:jc w:val="left"/>
          <w:tblInd w:w="465" w:type="dxa"/>
          <w:tblLayout w:type="fixed"/>
          <w:tblCellMar>
            <w:top w:w="0" w:type="dxa"/>
            <w:left w:w="0" w:type="dxa"/>
            <w:bottom w:w="0" w:type="dxa"/>
            <w:right w:w="0" w:type="dxa"/>
          </w:tblCellMar>
          <w:tblLook w:val="01E0"/>
        </w:tblPrEx>
        <w:trPr>
          <w:trHeight w:val="1634"/>
          <w:jc w:val="left"/>
        </w:trPr>
        <w:tc>
          <w:tcPr>
            <w:tcW w:w="709" w:type="dxa"/>
          </w:tcPr>
          <w:p>
            <w:pPr>
              <w:pStyle w:val="TableParagraph"/>
              <w:rPr>
                <w:rFonts w:ascii="微软雅黑"/>
                <w:b/>
                <w:sz w:val="20"/>
              </w:rPr>
            </w:pPr>
          </w:p>
          <w:p>
            <w:pPr>
              <w:pStyle w:val="TableParagraph"/>
              <w:spacing w:before="7"/>
              <w:rPr>
                <w:rFonts w:ascii="微软雅黑"/>
                <w:b/>
                <w:sz w:val="13"/>
              </w:rPr>
            </w:pPr>
          </w:p>
          <w:p>
            <w:pPr>
              <w:pStyle w:val="TableParagraph"/>
              <w:ind w:left="10"/>
              <w:jc w:val="center"/>
              <w:rPr>
                <w:sz w:val="21"/>
              </w:rPr>
            </w:pPr>
            <w:r>
              <w:rPr>
                <w:sz w:val="21"/>
              </w:rPr>
              <w:t>2</w:t>
            </w:r>
          </w:p>
        </w:tc>
        <w:tc>
          <w:tcPr>
            <w:tcW w:w="1276" w:type="dxa"/>
          </w:tcPr>
          <w:p>
            <w:pPr>
              <w:pStyle w:val="TableParagraph"/>
              <w:rPr>
                <w:rFonts w:ascii="微软雅黑"/>
                <w:b/>
                <w:sz w:val="20"/>
              </w:rPr>
            </w:pPr>
          </w:p>
          <w:p>
            <w:pPr>
              <w:pStyle w:val="TableParagraph"/>
              <w:spacing w:before="7"/>
              <w:rPr>
                <w:rFonts w:ascii="微软雅黑"/>
                <w:b/>
                <w:sz w:val="13"/>
              </w:rPr>
            </w:pPr>
          </w:p>
          <w:p>
            <w:pPr>
              <w:pStyle w:val="TableParagraph"/>
              <w:ind w:left="194" w:right="194"/>
              <w:jc w:val="center"/>
              <w:rPr>
                <w:sz w:val="21"/>
              </w:rPr>
            </w:pPr>
            <w:r>
              <w:rPr>
                <w:spacing w:val="-5"/>
                <w:sz w:val="21"/>
              </w:rPr>
              <w:t>设计</w:t>
            </w:r>
          </w:p>
        </w:tc>
        <w:tc>
          <w:tcPr>
            <w:tcW w:w="1604" w:type="dxa"/>
          </w:tcPr>
          <w:p>
            <w:pPr>
              <w:pStyle w:val="TableParagraph"/>
              <w:rPr>
                <w:rFonts w:ascii="微软雅黑"/>
                <w:b/>
                <w:sz w:val="20"/>
              </w:rPr>
            </w:pPr>
          </w:p>
          <w:p>
            <w:pPr>
              <w:pStyle w:val="TableParagraph"/>
              <w:spacing w:before="7"/>
              <w:rPr>
                <w:rFonts w:ascii="微软雅黑"/>
                <w:b/>
                <w:sz w:val="13"/>
              </w:rPr>
            </w:pPr>
          </w:p>
          <w:p>
            <w:pPr>
              <w:pStyle w:val="TableParagraph"/>
              <w:ind w:left="697"/>
              <w:rPr>
                <w:sz w:val="21"/>
              </w:rPr>
            </w:pPr>
            <w:r>
              <w:rPr>
                <w:spacing w:val="-5"/>
                <w:sz w:val="21"/>
              </w:rPr>
              <w:t>11</w:t>
            </w:r>
          </w:p>
        </w:tc>
        <w:tc>
          <w:tcPr>
            <w:tcW w:w="5949" w:type="dxa"/>
          </w:tcPr>
          <w:p>
            <w:pPr>
              <w:pStyle w:val="TableParagraph"/>
              <w:spacing w:line="270" w:lineRule="atLeast"/>
              <w:ind w:left="107" w:right="97" w:firstLine="105"/>
              <w:jc w:val="both"/>
              <w:rPr>
                <w:sz w:val="21"/>
              </w:rPr>
            </w:pPr>
            <w:r>
              <w:rPr>
                <w:spacing w:val="5"/>
                <w:sz w:val="21"/>
              </w:rPr>
              <w:t>对提供硬件检测维修综合实训台实物图片与设计图进行符合</w:t>
            </w:r>
            <w:r>
              <w:rPr>
                <w:spacing w:val="1"/>
                <w:sz w:val="21"/>
              </w:rPr>
              <w:t>性综合评价打分，无上述图片提供者此项不得分。根据提供硬件检测维修综合实训台实物图及设计图是否满足参数、设计是</w:t>
            </w:r>
            <w:r>
              <w:rPr>
                <w:spacing w:val="-3"/>
                <w:sz w:val="21"/>
              </w:rPr>
              <w:t xml:space="preserve">否科学、实用，酌情评分，满分为 </w:t>
            </w:r>
            <w:r>
              <w:rPr>
                <w:sz w:val="21"/>
              </w:rPr>
              <w:t>8</w:t>
            </w:r>
            <w:r>
              <w:rPr>
                <w:spacing w:val="-6"/>
                <w:sz w:val="21"/>
              </w:rPr>
              <w:t xml:space="preserve"> 分，硬件检测维修综合实</w:t>
            </w:r>
            <w:r>
              <w:rPr>
                <w:spacing w:val="-2"/>
                <w:sz w:val="21"/>
              </w:rPr>
              <w:t xml:space="preserve">训台有专利技术，开发实物产品的加 </w:t>
            </w:r>
            <w:r>
              <w:rPr>
                <w:sz w:val="21"/>
              </w:rPr>
              <w:t>3</w:t>
            </w:r>
            <w:r>
              <w:rPr>
                <w:spacing w:val="-26"/>
                <w:sz w:val="21"/>
              </w:rPr>
              <w:t xml:space="preserve"> 分</w:t>
            </w:r>
            <w:r>
              <w:rPr>
                <w:spacing w:val="2"/>
                <w:sz w:val="21"/>
              </w:rPr>
              <w:t>（</w:t>
            </w:r>
            <w:r>
              <w:rPr>
                <w:spacing w:val="1"/>
                <w:sz w:val="21"/>
              </w:rPr>
              <w:t>提供相关专利证明文件）。</w:t>
            </w:r>
          </w:p>
        </w:tc>
      </w:tr>
      <w:tr>
        <w:tblPrEx>
          <w:tblW w:w="0" w:type="auto"/>
          <w:jc w:val="left"/>
          <w:tblInd w:w="465" w:type="dxa"/>
          <w:tblLayout w:type="fixed"/>
          <w:tblCellMar>
            <w:top w:w="0" w:type="dxa"/>
            <w:left w:w="0" w:type="dxa"/>
            <w:bottom w:w="0" w:type="dxa"/>
            <w:right w:w="0" w:type="dxa"/>
          </w:tblCellMar>
          <w:tblLook w:val="01E0"/>
        </w:tblPrEx>
        <w:trPr>
          <w:trHeight w:val="1906"/>
          <w:jc w:val="left"/>
        </w:trPr>
        <w:tc>
          <w:tcPr>
            <w:tcW w:w="709" w:type="dxa"/>
          </w:tcPr>
          <w:p>
            <w:pPr>
              <w:pStyle w:val="TableParagraph"/>
              <w:rPr>
                <w:rFonts w:ascii="微软雅黑"/>
                <w:b/>
                <w:sz w:val="20"/>
              </w:rPr>
            </w:pPr>
          </w:p>
          <w:p>
            <w:pPr>
              <w:pStyle w:val="TableParagraph"/>
              <w:spacing w:before="14"/>
              <w:rPr>
                <w:rFonts w:ascii="微软雅黑"/>
                <w:b/>
                <w:sz w:val="20"/>
              </w:rPr>
            </w:pPr>
          </w:p>
          <w:p>
            <w:pPr>
              <w:pStyle w:val="TableParagraph"/>
              <w:spacing w:before="1"/>
              <w:ind w:left="129" w:right="119"/>
              <w:jc w:val="center"/>
              <w:rPr>
                <w:sz w:val="21"/>
              </w:rPr>
            </w:pPr>
            <w:r>
              <w:rPr>
                <w:spacing w:val="-5"/>
                <w:sz w:val="21"/>
              </w:rPr>
              <w:t>3.1</w:t>
            </w:r>
          </w:p>
        </w:tc>
        <w:tc>
          <w:tcPr>
            <w:tcW w:w="1276" w:type="dxa"/>
            <w:vMerge w:val="restart"/>
          </w:tcPr>
          <w:p>
            <w:pPr>
              <w:pStyle w:val="TableParagraph"/>
              <w:rPr>
                <w:rFonts w:ascii="微软雅黑"/>
                <w:b/>
                <w:sz w:val="20"/>
              </w:rPr>
            </w:pPr>
          </w:p>
          <w:p>
            <w:pPr>
              <w:pStyle w:val="TableParagraph"/>
              <w:rPr>
                <w:rFonts w:ascii="微软雅黑"/>
                <w:b/>
                <w:sz w:val="20"/>
              </w:rPr>
            </w:pPr>
          </w:p>
          <w:p>
            <w:pPr>
              <w:pStyle w:val="TableParagraph"/>
              <w:spacing w:before="5"/>
              <w:rPr>
                <w:rFonts w:ascii="微软雅黑"/>
                <w:b/>
                <w:sz w:val="23"/>
              </w:rPr>
            </w:pPr>
          </w:p>
          <w:p>
            <w:pPr>
              <w:pStyle w:val="TableParagraph"/>
              <w:ind w:left="113"/>
              <w:rPr>
                <w:sz w:val="21"/>
              </w:rPr>
            </w:pPr>
            <w:r>
              <w:rPr>
                <w:spacing w:val="-2"/>
                <w:sz w:val="21"/>
              </w:rPr>
              <w:t>技术与应用</w:t>
            </w:r>
          </w:p>
        </w:tc>
        <w:tc>
          <w:tcPr>
            <w:tcW w:w="1604" w:type="dxa"/>
            <w:vMerge w:val="restart"/>
          </w:tcPr>
          <w:p>
            <w:pPr>
              <w:pStyle w:val="TableParagraph"/>
              <w:rPr>
                <w:rFonts w:ascii="微软雅黑"/>
                <w:b/>
                <w:sz w:val="20"/>
              </w:rPr>
            </w:pPr>
          </w:p>
          <w:p>
            <w:pPr>
              <w:pStyle w:val="TableParagraph"/>
              <w:rPr>
                <w:rFonts w:ascii="微软雅黑"/>
                <w:b/>
                <w:sz w:val="20"/>
              </w:rPr>
            </w:pPr>
          </w:p>
          <w:p>
            <w:pPr>
              <w:pStyle w:val="TableParagraph"/>
              <w:spacing w:before="5"/>
              <w:rPr>
                <w:rFonts w:ascii="微软雅黑"/>
                <w:b/>
                <w:sz w:val="23"/>
              </w:rPr>
            </w:pPr>
          </w:p>
          <w:p>
            <w:pPr>
              <w:pStyle w:val="TableParagraph"/>
              <w:ind w:left="682" w:right="672"/>
              <w:jc w:val="center"/>
              <w:rPr>
                <w:sz w:val="21"/>
              </w:rPr>
            </w:pPr>
            <w:r>
              <w:rPr>
                <w:spacing w:val="-5"/>
                <w:sz w:val="21"/>
              </w:rPr>
              <w:t>51</w:t>
            </w:r>
          </w:p>
        </w:tc>
        <w:tc>
          <w:tcPr>
            <w:tcW w:w="5949" w:type="dxa"/>
          </w:tcPr>
          <w:p>
            <w:pPr>
              <w:pStyle w:val="TableParagraph"/>
              <w:spacing w:line="270" w:lineRule="atLeast"/>
              <w:ind w:left="107" w:right="-15"/>
              <w:rPr>
                <w:sz w:val="21"/>
              </w:rPr>
            </w:pPr>
            <w:r>
              <w:rPr>
                <w:spacing w:val="1"/>
                <w:sz w:val="21"/>
              </w:rPr>
              <w:t>招标文件中打“★”标记的为实质性要求条款，任何一项不满足按照无效投标处理；打“▲”标记的为主要条款技术，根据</w:t>
            </w:r>
            <w:r>
              <w:rPr>
                <w:spacing w:val="-4"/>
                <w:sz w:val="21"/>
              </w:rPr>
              <w:t xml:space="preserve">投标人的响应情况进行评分。投标参数全部满足的得 </w:t>
            </w:r>
            <w:r>
              <w:rPr>
                <w:sz w:val="21"/>
              </w:rPr>
              <w:t>30</w:t>
            </w:r>
            <w:r>
              <w:rPr>
                <w:spacing w:val="-19"/>
                <w:sz w:val="21"/>
              </w:rPr>
              <w:t xml:space="preserve"> 分。正</w:t>
            </w:r>
            <w:r>
              <w:rPr>
                <w:spacing w:val="-12"/>
                <w:sz w:val="21"/>
              </w:rPr>
              <w:t xml:space="preserve">偏离的，评委根据其重要性与提供的证明文件，每项加 </w:t>
            </w:r>
            <w:r>
              <w:rPr>
                <w:sz w:val="21"/>
              </w:rPr>
              <w:t>1-2</w:t>
            </w:r>
            <w:r>
              <w:rPr>
                <w:spacing w:val="-18"/>
                <w:sz w:val="21"/>
              </w:rPr>
              <w:t xml:space="preserve"> 分，</w:t>
            </w:r>
            <w:r>
              <w:rPr>
                <w:spacing w:val="-6"/>
                <w:sz w:val="21"/>
              </w:rPr>
              <w:t xml:space="preserve">加分累计不超过 </w:t>
            </w:r>
            <w:r>
              <w:rPr>
                <w:sz w:val="21"/>
              </w:rPr>
              <w:t>15</w:t>
            </w:r>
            <w:r>
              <w:rPr>
                <w:spacing w:val="-11"/>
                <w:sz w:val="21"/>
              </w:rPr>
              <w:t xml:space="preserve"> 分，此项最高分为 </w:t>
            </w:r>
            <w:r>
              <w:rPr>
                <w:sz w:val="21"/>
              </w:rPr>
              <w:t>45</w:t>
            </w:r>
            <w:r>
              <w:rPr>
                <w:spacing w:val="-6"/>
                <w:sz w:val="21"/>
              </w:rPr>
              <w:t xml:space="preserve"> 分；若有负偏离的，</w:t>
            </w:r>
            <w:r>
              <w:rPr>
                <w:spacing w:val="-4"/>
                <w:sz w:val="21"/>
              </w:rPr>
              <w:t xml:space="preserve">评委根据其重要性，在 </w:t>
            </w:r>
            <w:r>
              <w:rPr>
                <w:sz w:val="21"/>
              </w:rPr>
              <w:t>30</w:t>
            </w:r>
            <w:r>
              <w:rPr>
                <w:spacing w:val="-12"/>
                <w:sz w:val="21"/>
              </w:rPr>
              <w:t xml:space="preserve"> 分基础上每项扣 </w:t>
            </w:r>
            <w:r>
              <w:rPr>
                <w:sz w:val="21"/>
              </w:rPr>
              <w:t>1</w:t>
            </w:r>
            <w:r>
              <w:rPr>
                <w:spacing w:val="2"/>
                <w:sz w:val="21"/>
              </w:rPr>
              <w:t>～</w:t>
            </w:r>
            <w:r>
              <w:rPr>
                <w:sz w:val="21"/>
              </w:rPr>
              <w:t>2</w:t>
            </w:r>
            <w:r>
              <w:rPr>
                <w:spacing w:val="-18"/>
                <w:sz w:val="21"/>
              </w:rPr>
              <w:t xml:space="preserve"> 分，扣至 </w:t>
            </w:r>
            <w:r>
              <w:rPr>
                <w:sz w:val="21"/>
              </w:rPr>
              <w:t>0</w:t>
            </w:r>
            <w:r>
              <w:rPr>
                <w:spacing w:val="-27"/>
                <w:sz w:val="21"/>
              </w:rPr>
              <w:t xml:space="preserve"> 分为止。</w:t>
            </w:r>
          </w:p>
        </w:tc>
      </w:tr>
      <w:tr>
        <w:tblPrEx>
          <w:tblW w:w="0" w:type="auto"/>
          <w:jc w:val="left"/>
          <w:tblInd w:w="465" w:type="dxa"/>
          <w:tblLayout w:type="fixed"/>
          <w:tblCellMar>
            <w:top w:w="0" w:type="dxa"/>
            <w:left w:w="0" w:type="dxa"/>
            <w:bottom w:w="0" w:type="dxa"/>
            <w:right w:w="0" w:type="dxa"/>
          </w:tblCellMar>
          <w:tblLook w:val="01E0"/>
        </w:tblPrEx>
        <w:trPr>
          <w:trHeight w:val="819"/>
          <w:jc w:val="left"/>
        </w:trPr>
        <w:tc>
          <w:tcPr>
            <w:tcW w:w="709" w:type="dxa"/>
          </w:tcPr>
          <w:p>
            <w:pPr>
              <w:pStyle w:val="TableParagraph"/>
              <w:spacing w:before="5"/>
              <w:rPr>
                <w:rFonts w:ascii="微软雅黑"/>
                <w:b/>
                <w:sz w:val="11"/>
              </w:rPr>
            </w:pPr>
          </w:p>
          <w:p>
            <w:pPr>
              <w:pStyle w:val="TableParagraph"/>
              <w:ind w:left="129" w:right="119"/>
              <w:jc w:val="center"/>
              <w:rPr>
                <w:sz w:val="21"/>
              </w:rPr>
            </w:pPr>
            <w:r>
              <w:rPr>
                <w:spacing w:val="-5"/>
                <w:sz w:val="21"/>
              </w:rPr>
              <w:t>3.2</w:t>
            </w:r>
          </w:p>
        </w:tc>
        <w:tc>
          <w:tcPr>
            <w:tcW w:w="1276" w:type="dxa"/>
            <w:vMerge/>
            <w:tcBorders>
              <w:top w:val="nil"/>
            </w:tcBorders>
          </w:tcPr>
          <w:p>
            <w:pPr>
              <w:rPr>
                <w:sz w:val="2"/>
                <w:szCs w:val="2"/>
              </w:rPr>
            </w:pPr>
          </w:p>
        </w:tc>
        <w:tc>
          <w:tcPr>
            <w:tcW w:w="1604" w:type="dxa"/>
            <w:vMerge/>
            <w:tcBorders>
              <w:top w:val="nil"/>
            </w:tcBorders>
          </w:tcPr>
          <w:p>
            <w:pPr>
              <w:rPr>
                <w:sz w:val="2"/>
                <w:szCs w:val="2"/>
              </w:rPr>
            </w:pPr>
          </w:p>
        </w:tc>
        <w:tc>
          <w:tcPr>
            <w:tcW w:w="5949" w:type="dxa"/>
          </w:tcPr>
          <w:p>
            <w:pPr>
              <w:pStyle w:val="TableParagraph"/>
              <w:spacing w:line="270" w:lineRule="atLeast"/>
              <w:ind w:left="107" w:right="97"/>
              <w:jc w:val="both"/>
              <w:rPr>
                <w:sz w:val="21"/>
              </w:rPr>
            </w:pPr>
            <w:r>
              <w:rPr>
                <w:spacing w:val="-6"/>
                <w:sz w:val="21"/>
              </w:rPr>
              <w:t xml:space="preserve">实际应用 </w:t>
            </w:r>
            <w:r>
              <w:rPr>
                <w:sz w:val="21"/>
              </w:rPr>
              <w:t>6</w:t>
            </w:r>
            <w:r>
              <w:rPr>
                <w:spacing w:val="-5"/>
                <w:sz w:val="21"/>
              </w:rPr>
              <w:t xml:space="preserve"> 分：用于过市、省级职业院校技能大赛</w:t>
            </w:r>
            <w:r>
              <w:rPr>
                <w:sz w:val="21"/>
              </w:rPr>
              <w:t>（计算机组</w:t>
            </w:r>
            <w:r>
              <w:rPr>
                <w:spacing w:val="-2"/>
                <w:sz w:val="21"/>
              </w:rPr>
              <w:t>装维修项目）的产品（提供相关证明材料），并获得认可的酌</w:t>
            </w:r>
            <w:r>
              <w:rPr>
                <w:spacing w:val="-2"/>
                <w:sz w:val="21"/>
              </w:rPr>
              <w:t xml:space="preserve">情加分，最高不能超过 </w:t>
            </w:r>
            <w:r>
              <w:rPr>
                <w:sz w:val="21"/>
              </w:rPr>
              <w:t>6</w:t>
            </w:r>
            <w:r>
              <w:rPr>
                <w:spacing w:val="-8"/>
                <w:sz w:val="21"/>
              </w:rPr>
              <w:t xml:space="preserve"> 分。</w:t>
            </w:r>
          </w:p>
        </w:tc>
      </w:tr>
      <w:tr>
        <w:tblPrEx>
          <w:tblW w:w="0" w:type="auto"/>
          <w:jc w:val="left"/>
          <w:tblInd w:w="465" w:type="dxa"/>
          <w:tblLayout w:type="fixed"/>
          <w:tblCellMar>
            <w:top w:w="0" w:type="dxa"/>
            <w:left w:w="0" w:type="dxa"/>
            <w:bottom w:w="0" w:type="dxa"/>
            <w:right w:w="0" w:type="dxa"/>
          </w:tblCellMar>
          <w:tblLook w:val="01E0"/>
        </w:tblPrEx>
        <w:trPr>
          <w:trHeight w:val="544"/>
          <w:jc w:val="left"/>
        </w:trPr>
        <w:tc>
          <w:tcPr>
            <w:tcW w:w="709" w:type="dxa"/>
          </w:tcPr>
          <w:p>
            <w:pPr>
              <w:pStyle w:val="TableParagraph"/>
              <w:spacing w:before="71"/>
              <w:ind w:left="129" w:right="119"/>
              <w:jc w:val="center"/>
              <w:rPr>
                <w:sz w:val="21"/>
              </w:rPr>
            </w:pPr>
            <w:r>
              <w:rPr>
                <w:spacing w:val="-5"/>
                <w:sz w:val="21"/>
              </w:rPr>
              <w:t>4.1</w:t>
            </w:r>
          </w:p>
        </w:tc>
        <w:tc>
          <w:tcPr>
            <w:tcW w:w="1276" w:type="dxa"/>
            <w:vMerge w:val="restart"/>
          </w:tcPr>
          <w:p>
            <w:pPr>
              <w:pStyle w:val="TableParagraph"/>
              <w:spacing w:before="1"/>
              <w:rPr>
                <w:rFonts w:ascii="微软雅黑"/>
                <w:b/>
                <w:sz w:val="20"/>
              </w:rPr>
            </w:pPr>
          </w:p>
          <w:p>
            <w:pPr>
              <w:pStyle w:val="TableParagraph"/>
              <w:spacing w:line="364" w:lineRule="auto"/>
              <w:ind w:left="218" w:right="102" w:hanging="105"/>
              <w:rPr>
                <w:sz w:val="21"/>
              </w:rPr>
            </w:pPr>
            <w:r>
              <w:rPr>
                <w:spacing w:val="-2"/>
                <w:sz w:val="21"/>
              </w:rPr>
              <w:t>培训教学与</w:t>
            </w:r>
            <w:r>
              <w:rPr>
                <w:spacing w:val="-4"/>
                <w:sz w:val="21"/>
              </w:rPr>
              <w:t>售后服务</w:t>
            </w:r>
          </w:p>
        </w:tc>
        <w:tc>
          <w:tcPr>
            <w:tcW w:w="1604" w:type="dxa"/>
            <w:vMerge w:val="restart"/>
          </w:tcPr>
          <w:p>
            <w:pPr>
              <w:pStyle w:val="TableParagraph"/>
              <w:rPr>
                <w:rFonts w:ascii="微软雅黑"/>
                <w:b/>
                <w:sz w:val="20"/>
              </w:rPr>
            </w:pPr>
          </w:p>
          <w:p>
            <w:pPr>
              <w:pStyle w:val="TableParagraph"/>
              <w:spacing w:before="2"/>
              <w:rPr>
                <w:rFonts w:ascii="微软雅黑"/>
                <w:b/>
                <w:sz w:val="11"/>
              </w:rPr>
            </w:pPr>
          </w:p>
          <w:p>
            <w:pPr>
              <w:pStyle w:val="TableParagraph"/>
              <w:spacing w:before="1"/>
              <w:ind w:left="10"/>
              <w:jc w:val="center"/>
              <w:rPr>
                <w:sz w:val="21"/>
              </w:rPr>
            </w:pPr>
            <w:r>
              <w:rPr>
                <w:sz w:val="21"/>
              </w:rPr>
              <w:t>8</w:t>
            </w:r>
          </w:p>
        </w:tc>
        <w:tc>
          <w:tcPr>
            <w:tcW w:w="5949" w:type="dxa"/>
          </w:tcPr>
          <w:p>
            <w:pPr>
              <w:pStyle w:val="TableParagraph"/>
              <w:spacing w:before="3"/>
              <w:ind w:left="107"/>
              <w:rPr>
                <w:sz w:val="21"/>
              </w:rPr>
            </w:pPr>
            <w:r>
              <w:rPr>
                <w:spacing w:val="-12"/>
                <w:sz w:val="21"/>
              </w:rPr>
              <w:t xml:space="preserve">所有设备，供应商提供免费质保期至少为 </w:t>
            </w:r>
            <w:r>
              <w:rPr>
                <w:sz w:val="21"/>
              </w:rPr>
              <w:t>1</w:t>
            </w:r>
            <w:r>
              <w:rPr>
                <w:spacing w:val="-28"/>
                <w:sz w:val="21"/>
              </w:rPr>
              <w:t xml:space="preserve"> 年，每增加 </w:t>
            </w:r>
            <w:r>
              <w:rPr>
                <w:sz w:val="21"/>
              </w:rPr>
              <w:t>1</w:t>
            </w:r>
            <w:r>
              <w:rPr>
                <w:spacing w:val="-27"/>
                <w:sz w:val="21"/>
              </w:rPr>
              <w:t xml:space="preserve"> 年得 </w:t>
            </w:r>
            <w:r>
              <w:rPr>
                <w:spacing w:val="-10"/>
                <w:sz w:val="21"/>
              </w:rPr>
              <w:t>1</w:t>
            </w:r>
          </w:p>
          <w:p>
            <w:pPr>
              <w:pStyle w:val="TableParagraph"/>
              <w:spacing w:before="3" w:line="249" w:lineRule="exact"/>
              <w:ind w:left="107"/>
              <w:rPr>
                <w:sz w:val="21"/>
              </w:rPr>
            </w:pPr>
            <w:r>
              <w:rPr>
                <w:spacing w:val="-11"/>
                <w:sz w:val="21"/>
              </w:rPr>
              <w:t xml:space="preserve">分，最高 </w:t>
            </w:r>
            <w:r>
              <w:rPr>
                <w:sz w:val="21"/>
              </w:rPr>
              <w:t>3</w:t>
            </w:r>
            <w:r>
              <w:rPr>
                <w:spacing w:val="-22"/>
                <w:sz w:val="21"/>
              </w:rPr>
              <w:t xml:space="preserve"> 分。</w:t>
            </w:r>
          </w:p>
        </w:tc>
      </w:tr>
      <w:tr>
        <w:tblPrEx>
          <w:tblW w:w="0" w:type="auto"/>
          <w:jc w:val="left"/>
          <w:tblInd w:w="465" w:type="dxa"/>
          <w:tblLayout w:type="fixed"/>
          <w:tblCellMar>
            <w:top w:w="0" w:type="dxa"/>
            <w:left w:w="0" w:type="dxa"/>
            <w:bottom w:w="0" w:type="dxa"/>
            <w:right w:w="0" w:type="dxa"/>
          </w:tblCellMar>
          <w:tblLook w:val="01E0"/>
        </w:tblPrEx>
        <w:trPr>
          <w:trHeight w:val="995"/>
          <w:jc w:val="left"/>
        </w:trPr>
        <w:tc>
          <w:tcPr>
            <w:tcW w:w="709" w:type="dxa"/>
          </w:tcPr>
          <w:p>
            <w:pPr>
              <w:pStyle w:val="TableParagraph"/>
              <w:spacing w:before="2"/>
              <w:rPr>
                <w:rFonts w:ascii="微软雅黑"/>
                <w:b/>
                <w:sz w:val="16"/>
              </w:rPr>
            </w:pPr>
          </w:p>
          <w:p>
            <w:pPr>
              <w:pStyle w:val="TableParagraph"/>
              <w:ind w:left="129" w:right="119"/>
              <w:jc w:val="center"/>
              <w:rPr>
                <w:sz w:val="21"/>
              </w:rPr>
            </w:pPr>
            <w:r>
              <w:rPr>
                <w:spacing w:val="-5"/>
                <w:sz w:val="21"/>
              </w:rPr>
              <w:t>4.2</w:t>
            </w:r>
          </w:p>
        </w:tc>
        <w:tc>
          <w:tcPr>
            <w:tcW w:w="1276" w:type="dxa"/>
            <w:vMerge/>
            <w:tcBorders>
              <w:top w:val="nil"/>
            </w:tcBorders>
          </w:tcPr>
          <w:p>
            <w:pPr>
              <w:rPr>
                <w:sz w:val="2"/>
                <w:szCs w:val="2"/>
              </w:rPr>
            </w:pPr>
          </w:p>
        </w:tc>
        <w:tc>
          <w:tcPr>
            <w:tcW w:w="1604" w:type="dxa"/>
            <w:vMerge/>
            <w:tcBorders>
              <w:top w:val="nil"/>
            </w:tcBorders>
          </w:tcPr>
          <w:p>
            <w:pPr>
              <w:rPr>
                <w:sz w:val="2"/>
                <w:szCs w:val="2"/>
              </w:rPr>
            </w:pPr>
          </w:p>
        </w:tc>
        <w:tc>
          <w:tcPr>
            <w:tcW w:w="5949" w:type="dxa"/>
          </w:tcPr>
          <w:p>
            <w:pPr>
              <w:pStyle w:val="TableParagraph"/>
              <w:spacing w:before="7"/>
              <w:rPr>
                <w:rFonts w:ascii="微软雅黑"/>
                <w:b/>
                <w:sz w:val="12"/>
              </w:rPr>
            </w:pPr>
          </w:p>
          <w:p>
            <w:pPr>
              <w:pStyle w:val="TableParagraph"/>
              <w:spacing w:line="242" w:lineRule="auto"/>
              <w:ind w:left="107" w:right="97"/>
              <w:rPr>
                <w:sz w:val="21"/>
              </w:rPr>
            </w:pPr>
            <w:r>
              <w:rPr>
                <w:spacing w:val="-4"/>
                <w:sz w:val="21"/>
              </w:rPr>
              <w:t>培训与教学（5</w:t>
            </w:r>
            <w:r>
              <w:rPr>
                <w:spacing w:val="-29"/>
                <w:sz w:val="21"/>
              </w:rPr>
              <w:t xml:space="preserve"> 分</w:t>
            </w:r>
            <w:r>
              <w:rPr>
                <w:spacing w:val="-4"/>
                <w:sz w:val="21"/>
              </w:rPr>
              <w:t>）：能够提供详细设备使用培训方案和教学建</w:t>
            </w:r>
            <w:r>
              <w:rPr>
                <w:spacing w:val="-3"/>
                <w:sz w:val="21"/>
              </w:rPr>
              <w:t xml:space="preserve">议方案，根据方案优劣酌情加分，最高 </w:t>
            </w:r>
            <w:r>
              <w:rPr>
                <w:sz w:val="21"/>
              </w:rPr>
              <w:t>5</w:t>
            </w:r>
            <w:r>
              <w:rPr>
                <w:spacing w:val="-7"/>
                <w:sz w:val="21"/>
              </w:rPr>
              <w:t xml:space="preserve"> 分；没有的不得分。</w:t>
            </w:r>
          </w:p>
        </w:tc>
      </w:tr>
    </w:tbl>
    <w:p>
      <w:pPr>
        <w:spacing w:before="0" w:line="269" w:lineRule="exact"/>
        <w:ind w:left="254" w:right="0" w:firstLine="0"/>
        <w:jc w:val="left"/>
        <w:rPr>
          <w:rFonts w:ascii="微软雅黑" w:eastAsia="微软雅黑"/>
          <w:b/>
          <w:sz w:val="21"/>
        </w:rPr>
      </w:pPr>
      <w:r>
        <w:rPr>
          <w:rFonts w:ascii="微软雅黑" w:eastAsia="微软雅黑"/>
          <w:b/>
          <w:spacing w:val="-4"/>
          <w:sz w:val="21"/>
        </w:rPr>
        <w:t>说明：</w:t>
      </w:r>
    </w:p>
    <w:p>
      <w:pPr>
        <w:spacing w:before="0" w:line="330" w:lineRule="exact"/>
        <w:ind w:left="665" w:right="0" w:firstLine="0"/>
        <w:jc w:val="left"/>
        <w:rPr>
          <w:rFonts w:ascii="微软雅黑" w:eastAsia="微软雅黑"/>
          <w:b/>
          <w:sz w:val="21"/>
        </w:rPr>
      </w:pPr>
      <w:r>
        <w:rPr>
          <w:rFonts w:ascii="Times New Roman" w:eastAsia="Times New Roman"/>
          <w:b/>
          <w:spacing w:val="-4"/>
          <w:sz w:val="21"/>
        </w:rPr>
        <w:t>1</w:t>
      </w:r>
      <w:r>
        <w:rPr>
          <w:rFonts w:ascii="微软雅黑" w:eastAsia="微软雅黑"/>
          <w:b/>
          <w:spacing w:val="-4"/>
          <w:sz w:val="21"/>
        </w:rPr>
        <w:t>、对中小型和微型企业产品的价格给予 6%</w:t>
      </w:r>
      <w:r>
        <w:rPr>
          <w:rFonts w:ascii="微软雅黑" w:eastAsia="微软雅黑"/>
          <w:b/>
          <w:spacing w:val="-5"/>
          <w:sz w:val="21"/>
        </w:rPr>
        <w:t>扣除，用扣除后的价格参与评审。</w:t>
      </w:r>
    </w:p>
    <w:p>
      <w:pPr>
        <w:spacing w:before="5"/>
        <w:ind w:left="665" w:right="0" w:firstLine="0"/>
        <w:jc w:val="left"/>
        <w:rPr>
          <w:rFonts w:ascii="微软雅黑" w:eastAsia="微软雅黑"/>
          <w:b/>
          <w:sz w:val="21"/>
        </w:rPr>
      </w:pPr>
      <w:r>
        <w:rPr>
          <w:rFonts w:ascii="Times New Roman" w:eastAsia="Times New Roman"/>
          <w:b/>
          <w:sz w:val="21"/>
        </w:rPr>
        <w:t>2</w:t>
      </w:r>
      <w:r>
        <w:rPr>
          <w:rFonts w:ascii="微软雅黑" w:eastAsia="微软雅黑"/>
          <w:b/>
          <w:spacing w:val="-1"/>
          <w:sz w:val="21"/>
        </w:rPr>
        <w:t>、以上需提供的证明材料，必须是有效的复印件加盖投标人公章为依据，原件备查。</w:t>
      </w:r>
    </w:p>
    <w:p>
      <w:pPr>
        <w:pStyle w:val="BodyText"/>
        <w:spacing w:before="179"/>
        <w:ind w:left="352"/>
      </w:pPr>
      <w:r>
        <w:rPr>
          <w:color w:val="FF0000"/>
        </w:rPr>
        <w:t>备注：1</w:t>
      </w:r>
      <w:r>
        <w:rPr>
          <w:color w:val="FF0000"/>
          <w:spacing w:val="-1"/>
        </w:rPr>
        <w:t>、评审小组不保证有效报价最低的供应商中标。</w:t>
      </w:r>
    </w:p>
    <w:p>
      <w:pPr>
        <w:pStyle w:val="BodyText"/>
        <w:spacing w:before="131"/>
        <w:ind w:left="974"/>
      </w:pPr>
      <w:r>
        <w:rPr>
          <w:color w:val="FF0000"/>
        </w:rPr>
        <w:t>2</w:t>
      </w:r>
      <w:r>
        <w:rPr>
          <w:color w:val="FF0000"/>
          <w:spacing w:val="-1"/>
        </w:rPr>
        <w:t>、若投标人提供虚假资料，一经查实作废标处理并没收投标保证金。</w:t>
      </w:r>
    </w:p>
    <w:p>
      <w:pPr>
        <w:pStyle w:val="BodyText"/>
        <w:rPr>
          <w:sz w:val="20"/>
        </w:rPr>
      </w:pPr>
    </w:p>
    <w:p>
      <w:pPr>
        <w:pStyle w:val="BodyText"/>
        <w:spacing w:before="3"/>
        <w:rPr>
          <w:sz w:val="25"/>
        </w:rPr>
      </w:pPr>
    </w:p>
    <w:p>
      <w:pPr>
        <w:pStyle w:val="Heading1"/>
        <w:spacing w:before="1"/>
      </w:pPr>
      <w:r>
        <w:t>第四章</w:t>
      </w:r>
      <w:r>
        <w:rPr>
          <w:spacing w:val="61"/>
          <w:w w:val="150"/>
        </w:rPr>
        <w:t xml:space="preserve"> </w:t>
      </w:r>
      <w:r>
        <w:t>招标项目的技术规格</w:t>
      </w:r>
      <w:r>
        <w:rPr>
          <w:rFonts w:ascii="宋体" w:eastAsia="宋体" w:hint="eastAsia"/>
          <w:b w:val="0"/>
          <w:sz w:val="21"/>
        </w:rPr>
        <w:t>、</w:t>
      </w:r>
      <w:r>
        <w:rPr>
          <w:spacing w:val="-2"/>
        </w:rPr>
        <w:t>要求和数量</w:t>
      </w:r>
    </w:p>
    <w:p>
      <w:pPr>
        <w:spacing w:after="0"/>
        <w:sectPr>
          <w:headerReference w:type="default" r:id="rId26"/>
          <w:footerReference w:type="default" r:id="rId27"/>
          <w:pgSz w:w="12240" w:h="15840"/>
          <w:pgMar w:top="1080" w:right="880" w:bottom="920" w:left="880" w:header="748" w:footer="731"/>
          <w:pgNumType w:start="12"/>
          <w:cols w:space="708"/>
        </w:sectPr>
      </w:pPr>
    </w:p>
    <w:p>
      <w:pPr>
        <w:pStyle w:val="BodyText"/>
        <w:spacing w:before="17"/>
        <w:rPr>
          <w:rFonts w:ascii="Microsoft JhengHei"/>
          <w:b/>
          <w:sz w:val="17"/>
        </w:rPr>
      </w:pPr>
    </w:p>
    <w:tbl>
      <w:tblPr>
        <w:tblStyle w:val="TableNormal2"/>
        <w:tblW w:w="0" w:type="auto"/>
        <w:jc w:val="left"/>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4"/>
        <w:gridCol w:w="4292"/>
        <w:gridCol w:w="3165"/>
      </w:tblGrid>
      <w:tr>
        <w:tblPrEx>
          <w:tblW w:w="0" w:type="auto"/>
          <w:jc w:val="left"/>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84"/>
          <w:jc w:val="left"/>
        </w:trPr>
        <w:tc>
          <w:tcPr>
            <w:tcW w:w="1094" w:type="dxa"/>
          </w:tcPr>
          <w:p>
            <w:pPr>
              <w:pStyle w:val="TableParagraph"/>
              <w:spacing w:before="16"/>
              <w:rPr>
                <w:rFonts w:ascii="Microsoft JhengHei"/>
                <w:b/>
                <w:sz w:val="15"/>
              </w:rPr>
            </w:pPr>
          </w:p>
          <w:p>
            <w:pPr>
              <w:pStyle w:val="TableParagraph"/>
              <w:ind w:left="321" w:right="312"/>
              <w:jc w:val="center"/>
              <w:rPr>
                <w:rFonts w:ascii="微软雅黑" w:eastAsia="微软雅黑"/>
                <w:b/>
                <w:sz w:val="21"/>
              </w:rPr>
            </w:pPr>
            <w:r>
              <w:rPr>
                <w:rFonts w:ascii="微软雅黑" w:eastAsia="微软雅黑"/>
                <w:b/>
                <w:spacing w:val="-5"/>
                <w:sz w:val="21"/>
              </w:rPr>
              <w:t>序号</w:t>
            </w:r>
          </w:p>
        </w:tc>
        <w:tc>
          <w:tcPr>
            <w:tcW w:w="4292" w:type="dxa"/>
          </w:tcPr>
          <w:p>
            <w:pPr>
              <w:pStyle w:val="TableParagraph"/>
              <w:spacing w:before="16"/>
              <w:rPr>
                <w:rFonts w:ascii="Microsoft JhengHei"/>
                <w:b/>
                <w:sz w:val="15"/>
              </w:rPr>
            </w:pPr>
          </w:p>
          <w:p>
            <w:pPr>
              <w:pStyle w:val="TableParagraph"/>
              <w:ind w:left="453" w:right="444"/>
              <w:jc w:val="center"/>
              <w:rPr>
                <w:rFonts w:ascii="微软雅黑" w:eastAsia="微软雅黑"/>
                <w:b/>
                <w:sz w:val="21"/>
              </w:rPr>
            </w:pPr>
            <w:r>
              <w:rPr>
                <w:rFonts w:ascii="微软雅黑" w:eastAsia="微软雅黑"/>
                <w:b/>
                <w:spacing w:val="-3"/>
                <w:sz w:val="21"/>
              </w:rPr>
              <w:t>设备名称</w:t>
            </w:r>
          </w:p>
        </w:tc>
        <w:tc>
          <w:tcPr>
            <w:tcW w:w="3165" w:type="dxa"/>
          </w:tcPr>
          <w:p>
            <w:pPr>
              <w:pStyle w:val="TableParagraph"/>
              <w:spacing w:before="16"/>
              <w:rPr>
                <w:rFonts w:ascii="Microsoft JhengHei"/>
                <w:b/>
                <w:sz w:val="15"/>
              </w:rPr>
            </w:pPr>
          </w:p>
          <w:p>
            <w:pPr>
              <w:pStyle w:val="TableParagraph"/>
              <w:ind w:left="730" w:right="721"/>
              <w:jc w:val="center"/>
              <w:rPr>
                <w:rFonts w:ascii="微软雅黑" w:eastAsia="微软雅黑"/>
                <w:b/>
                <w:sz w:val="21"/>
              </w:rPr>
            </w:pPr>
            <w:r>
              <w:rPr>
                <w:rFonts w:ascii="微软雅黑" w:eastAsia="微软雅黑"/>
                <w:b/>
                <w:spacing w:val="-2"/>
                <w:sz w:val="21"/>
              </w:rPr>
              <w:t>型号、规格、数量</w:t>
            </w:r>
          </w:p>
        </w:tc>
      </w:tr>
      <w:tr>
        <w:tblPrEx>
          <w:tblW w:w="0" w:type="auto"/>
          <w:jc w:val="left"/>
          <w:tblInd w:w="969" w:type="dxa"/>
          <w:tblLayout w:type="fixed"/>
          <w:tblCellMar>
            <w:top w:w="0" w:type="dxa"/>
            <w:left w:w="0" w:type="dxa"/>
            <w:bottom w:w="0" w:type="dxa"/>
            <w:right w:w="0" w:type="dxa"/>
          </w:tblCellMar>
          <w:tblLook w:val="01E0"/>
        </w:tblPrEx>
        <w:trPr>
          <w:trHeight w:val="564"/>
          <w:jc w:val="left"/>
        </w:trPr>
        <w:tc>
          <w:tcPr>
            <w:tcW w:w="1094" w:type="dxa"/>
            <w:vMerge w:val="restart"/>
          </w:tcPr>
          <w:p>
            <w:pPr>
              <w:pStyle w:val="TableParagraph"/>
              <w:spacing w:before="2"/>
              <w:rPr>
                <w:rFonts w:ascii="Microsoft JhengHei"/>
                <w:b/>
                <w:sz w:val="20"/>
              </w:rPr>
            </w:pPr>
          </w:p>
          <w:p>
            <w:pPr>
              <w:pStyle w:val="TableParagraph"/>
              <w:ind w:left="336"/>
              <w:rPr>
                <w:rFonts w:ascii="微软雅黑" w:eastAsia="微软雅黑"/>
                <w:b/>
                <w:sz w:val="21"/>
              </w:rPr>
            </w:pPr>
            <w:r>
              <w:rPr>
                <w:rFonts w:ascii="微软雅黑" w:eastAsia="微软雅黑"/>
                <w:b/>
                <w:spacing w:val="-5"/>
                <w:sz w:val="21"/>
              </w:rPr>
              <w:t>包一</w:t>
            </w:r>
          </w:p>
        </w:tc>
        <w:tc>
          <w:tcPr>
            <w:tcW w:w="4292" w:type="dxa"/>
          </w:tcPr>
          <w:p>
            <w:pPr>
              <w:pStyle w:val="TableParagraph"/>
              <w:spacing w:before="149"/>
              <w:ind w:left="454" w:right="444"/>
              <w:jc w:val="center"/>
              <w:rPr>
                <w:sz w:val="21"/>
              </w:rPr>
            </w:pPr>
            <w:r>
              <w:rPr>
                <w:sz w:val="21"/>
              </w:rPr>
              <w:t>加工中心（四轴</w:t>
            </w:r>
            <w:r>
              <w:rPr>
                <w:spacing w:val="-10"/>
                <w:sz w:val="21"/>
              </w:rPr>
              <w:t>）</w:t>
            </w:r>
          </w:p>
        </w:tc>
        <w:tc>
          <w:tcPr>
            <w:tcW w:w="3165" w:type="dxa"/>
          </w:tcPr>
          <w:p>
            <w:pPr>
              <w:pStyle w:val="TableParagraph"/>
              <w:spacing w:before="149"/>
              <w:ind w:left="730" w:right="721"/>
              <w:jc w:val="center"/>
              <w:rPr>
                <w:sz w:val="21"/>
              </w:rPr>
            </w:pPr>
            <w:r>
              <w:rPr>
                <w:spacing w:val="-2"/>
                <w:sz w:val="21"/>
              </w:rPr>
              <w:t>具体见分包</w:t>
            </w:r>
          </w:p>
        </w:tc>
      </w:tr>
      <w:tr>
        <w:tblPrEx>
          <w:tblW w:w="0" w:type="auto"/>
          <w:jc w:val="left"/>
          <w:tblInd w:w="969" w:type="dxa"/>
          <w:tblLayout w:type="fixed"/>
          <w:tblCellMar>
            <w:top w:w="0" w:type="dxa"/>
            <w:left w:w="0" w:type="dxa"/>
            <w:bottom w:w="0" w:type="dxa"/>
            <w:right w:w="0" w:type="dxa"/>
          </w:tblCellMar>
          <w:tblLook w:val="01E0"/>
        </w:tblPrEx>
        <w:trPr>
          <w:trHeight w:val="565"/>
          <w:jc w:val="left"/>
        </w:trPr>
        <w:tc>
          <w:tcPr>
            <w:tcW w:w="1094" w:type="dxa"/>
            <w:vMerge/>
            <w:tcBorders>
              <w:top w:val="nil"/>
            </w:tcBorders>
          </w:tcPr>
          <w:p>
            <w:pPr>
              <w:rPr>
                <w:sz w:val="2"/>
                <w:szCs w:val="2"/>
              </w:rPr>
            </w:pPr>
          </w:p>
        </w:tc>
        <w:tc>
          <w:tcPr>
            <w:tcW w:w="4292" w:type="dxa"/>
          </w:tcPr>
          <w:p>
            <w:pPr>
              <w:pStyle w:val="TableParagraph"/>
              <w:spacing w:before="149"/>
              <w:ind w:left="454" w:right="444"/>
              <w:jc w:val="center"/>
              <w:rPr>
                <w:sz w:val="21"/>
              </w:rPr>
            </w:pPr>
            <w:r>
              <w:rPr>
                <w:sz w:val="21"/>
              </w:rPr>
              <w:t>加工中心（五轴</w:t>
            </w:r>
            <w:r>
              <w:rPr>
                <w:spacing w:val="-10"/>
                <w:sz w:val="21"/>
              </w:rPr>
              <w:t>）</w:t>
            </w:r>
          </w:p>
        </w:tc>
        <w:tc>
          <w:tcPr>
            <w:tcW w:w="3165" w:type="dxa"/>
          </w:tcPr>
          <w:p>
            <w:pPr>
              <w:pStyle w:val="TableParagraph"/>
              <w:spacing w:before="149"/>
              <w:ind w:left="730" w:right="721"/>
              <w:jc w:val="center"/>
              <w:rPr>
                <w:sz w:val="21"/>
              </w:rPr>
            </w:pPr>
            <w:r>
              <w:rPr>
                <w:spacing w:val="-2"/>
                <w:sz w:val="21"/>
              </w:rPr>
              <w:t>具体见分包</w:t>
            </w:r>
          </w:p>
        </w:tc>
      </w:tr>
      <w:tr>
        <w:tblPrEx>
          <w:tblW w:w="0" w:type="auto"/>
          <w:jc w:val="left"/>
          <w:tblInd w:w="969" w:type="dxa"/>
          <w:tblLayout w:type="fixed"/>
          <w:tblCellMar>
            <w:top w:w="0" w:type="dxa"/>
            <w:left w:w="0" w:type="dxa"/>
            <w:bottom w:w="0" w:type="dxa"/>
            <w:right w:w="0" w:type="dxa"/>
          </w:tblCellMar>
          <w:tblLook w:val="01E0"/>
        </w:tblPrEx>
        <w:trPr>
          <w:trHeight w:val="600"/>
          <w:jc w:val="left"/>
        </w:trPr>
        <w:tc>
          <w:tcPr>
            <w:tcW w:w="1094" w:type="dxa"/>
          </w:tcPr>
          <w:p>
            <w:pPr>
              <w:pStyle w:val="TableParagraph"/>
              <w:spacing w:before="100"/>
              <w:ind w:left="321" w:right="312"/>
              <w:jc w:val="center"/>
              <w:rPr>
                <w:rFonts w:ascii="微软雅黑" w:eastAsia="微软雅黑"/>
                <w:b/>
                <w:sz w:val="21"/>
              </w:rPr>
            </w:pPr>
            <w:r>
              <w:rPr>
                <w:rFonts w:ascii="微软雅黑" w:eastAsia="微软雅黑"/>
                <w:b/>
                <w:spacing w:val="-5"/>
                <w:sz w:val="21"/>
              </w:rPr>
              <w:t>包二</w:t>
            </w:r>
          </w:p>
        </w:tc>
        <w:tc>
          <w:tcPr>
            <w:tcW w:w="4292" w:type="dxa"/>
          </w:tcPr>
          <w:p>
            <w:pPr>
              <w:pStyle w:val="TableParagraph"/>
              <w:spacing w:before="167"/>
              <w:ind w:left="454" w:right="444"/>
              <w:jc w:val="center"/>
              <w:rPr>
                <w:sz w:val="21"/>
              </w:rPr>
            </w:pPr>
            <w:r>
              <w:rPr>
                <w:spacing w:val="-1"/>
                <w:sz w:val="21"/>
              </w:rPr>
              <w:t>硬件检测维修综合实训系统综合平台</w:t>
            </w:r>
          </w:p>
        </w:tc>
        <w:tc>
          <w:tcPr>
            <w:tcW w:w="3165" w:type="dxa"/>
          </w:tcPr>
          <w:p>
            <w:pPr>
              <w:pStyle w:val="TableParagraph"/>
              <w:spacing w:before="167"/>
              <w:ind w:left="730" w:right="721"/>
              <w:jc w:val="center"/>
              <w:rPr>
                <w:sz w:val="21"/>
              </w:rPr>
            </w:pPr>
            <w:r>
              <w:rPr>
                <w:spacing w:val="-2"/>
                <w:sz w:val="21"/>
              </w:rPr>
              <w:t>具体见分包</w:t>
            </w:r>
          </w:p>
        </w:tc>
      </w:tr>
    </w:tbl>
    <w:p>
      <w:pPr>
        <w:pStyle w:val="BodyText"/>
        <w:rPr>
          <w:rFonts w:ascii="Microsoft JhengHei"/>
          <w:b/>
          <w:sz w:val="20"/>
        </w:rPr>
      </w:pPr>
    </w:p>
    <w:p>
      <w:pPr>
        <w:pStyle w:val="BodyText"/>
        <w:spacing w:before="6"/>
        <w:rPr>
          <w:rFonts w:ascii="Microsoft JhengHei"/>
          <w:b/>
          <w:sz w:val="10"/>
        </w:rPr>
      </w:pPr>
    </w:p>
    <w:p>
      <w:pPr>
        <w:pStyle w:val="Heading4"/>
        <w:spacing w:line="431" w:lineRule="exact"/>
        <w:ind w:left="371"/>
        <w:rPr>
          <w:rFonts w:ascii="微软雅黑" w:eastAsia="微软雅黑"/>
        </w:rPr>
      </w:pPr>
      <w:r>
        <w:rPr>
          <w:rFonts w:ascii="微软雅黑" w:eastAsia="微软雅黑"/>
          <w:color w:val="FF0000"/>
        </w:rPr>
        <w:t>包一：加工中心（四轴）和加工中心（五轴</w:t>
      </w:r>
      <w:r>
        <w:rPr>
          <w:rFonts w:ascii="微软雅黑" w:eastAsia="微软雅黑"/>
          <w:color w:val="FF0000"/>
          <w:spacing w:val="-10"/>
        </w:rPr>
        <w:t>）</w:t>
      </w:r>
    </w:p>
    <w:p>
      <w:pPr>
        <w:spacing w:before="0" w:line="386" w:lineRule="exact"/>
        <w:ind w:left="254" w:right="0" w:firstLine="0"/>
        <w:jc w:val="left"/>
        <w:rPr>
          <w:rFonts w:ascii="微软雅黑" w:eastAsia="微软雅黑"/>
          <w:b/>
          <w:sz w:val="21"/>
        </w:rPr>
      </w:pPr>
      <w:r>
        <w:rPr>
          <w:rFonts w:ascii="微软雅黑" w:eastAsia="微软雅黑"/>
          <w:b/>
          <w:spacing w:val="-1"/>
          <w:sz w:val="21"/>
        </w:rPr>
        <w:t>一、货物设备及技术要求及需求数量清单</w:t>
      </w:r>
    </w:p>
    <w:p>
      <w:pPr>
        <w:pStyle w:val="BodyText"/>
        <w:spacing w:before="13"/>
        <w:rPr>
          <w:rFonts w:ascii="微软雅黑"/>
          <w:b/>
          <w:sz w:val="3"/>
        </w:rPr>
      </w:pPr>
    </w:p>
    <w:tbl>
      <w:tblPr>
        <w:tblStyle w:val="TableNormal2"/>
        <w:tblW w:w="0" w:type="auto"/>
        <w:jc w:val="lef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3"/>
        <w:gridCol w:w="2116"/>
        <w:gridCol w:w="850"/>
        <w:gridCol w:w="5519"/>
      </w:tblGrid>
      <w:tr>
        <w:tblPrEx>
          <w:tblW w:w="0" w:type="auto"/>
          <w:jc w:val="lef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50"/>
          <w:jc w:val="left"/>
        </w:trPr>
        <w:tc>
          <w:tcPr>
            <w:tcW w:w="803" w:type="dxa"/>
          </w:tcPr>
          <w:p>
            <w:pPr>
              <w:pStyle w:val="TableParagraph"/>
              <w:spacing w:before="75"/>
              <w:ind w:left="176" w:right="167"/>
              <w:jc w:val="center"/>
              <w:rPr>
                <w:rFonts w:ascii="微软雅黑" w:eastAsia="微软雅黑"/>
                <w:b/>
                <w:sz w:val="21"/>
              </w:rPr>
            </w:pPr>
            <w:r>
              <w:rPr>
                <w:rFonts w:ascii="微软雅黑" w:eastAsia="微软雅黑"/>
                <w:b/>
                <w:spacing w:val="-5"/>
                <w:sz w:val="21"/>
              </w:rPr>
              <w:t>序号</w:t>
            </w:r>
          </w:p>
        </w:tc>
        <w:tc>
          <w:tcPr>
            <w:tcW w:w="2116" w:type="dxa"/>
          </w:tcPr>
          <w:p>
            <w:pPr>
              <w:pStyle w:val="TableParagraph"/>
              <w:spacing w:before="75"/>
              <w:ind w:left="478"/>
              <w:rPr>
                <w:rFonts w:ascii="微软雅黑" w:eastAsia="微软雅黑"/>
                <w:b/>
                <w:sz w:val="21"/>
              </w:rPr>
            </w:pPr>
            <w:r>
              <w:rPr>
                <w:rFonts w:ascii="微软雅黑" w:eastAsia="微软雅黑"/>
                <w:b/>
                <w:spacing w:val="15"/>
                <w:sz w:val="21"/>
              </w:rPr>
              <w:t>设 备 名 称</w:t>
            </w:r>
          </w:p>
        </w:tc>
        <w:tc>
          <w:tcPr>
            <w:tcW w:w="850" w:type="dxa"/>
          </w:tcPr>
          <w:p>
            <w:pPr>
              <w:pStyle w:val="TableParagraph"/>
              <w:spacing w:before="75"/>
              <w:ind w:left="108" w:right="99"/>
              <w:jc w:val="center"/>
              <w:rPr>
                <w:rFonts w:ascii="微软雅黑" w:eastAsia="微软雅黑"/>
                <w:b/>
                <w:sz w:val="21"/>
              </w:rPr>
            </w:pPr>
            <w:r>
              <w:rPr>
                <w:rFonts w:ascii="微软雅黑" w:eastAsia="微软雅黑"/>
                <w:b/>
                <w:spacing w:val="-5"/>
                <w:sz w:val="21"/>
              </w:rPr>
              <w:t>数量</w:t>
            </w:r>
          </w:p>
        </w:tc>
        <w:tc>
          <w:tcPr>
            <w:tcW w:w="5519" w:type="dxa"/>
          </w:tcPr>
          <w:p>
            <w:pPr>
              <w:pStyle w:val="TableParagraph"/>
              <w:spacing w:before="75"/>
              <w:ind w:left="2325" w:right="2316"/>
              <w:jc w:val="center"/>
              <w:rPr>
                <w:rFonts w:ascii="微软雅黑" w:eastAsia="微软雅黑"/>
                <w:b/>
                <w:sz w:val="21"/>
              </w:rPr>
            </w:pPr>
            <w:r>
              <w:rPr>
                <w:rFonts w:ascii="微软雅黑" w:eastAsia="微软雅黑"/>
                <w:b/>
                <w:spacing w:val="-3"/>
                <w:sz w:val="21"/>
              </w:rPr>
              <w:t>设备配置</w:t>
            </w:r>
          </w:p>
        </w:tc>
      </w:tr>
      <w:tr>
        <w:tblPrEx>
          <w:tblW w:w="0" w:type="auto"/>
          <w:jc w:val="left"/>
          <w:tblInd w:w="601" w:type="dxa"/>
          <w:tblLayout w:type="fixed"/>
          <w:tblCellMar>
            <w:top w:w="0" w:type="dxa"/>
            <w:left w:w="0" w:type="dxa"/>
            <w:bottom w:w="0" w:type="dxa"/>
            <w:right w:w="0" w:type="dxa"/>
          </w:tblCellMar>
          <w:tblLook w:val="01E0"/>
        </w:tblPrEx>
        <w:trPr>
          <w:trHeight w:val="353"/>
          <w:jc w:val="left"/>
        </w:trPr>
        <w:tc>
          <w:tcPr>
            <w:tcW w:w="803" w:type="dxa"/>
          </w:tcPr>
          <w:p>
            <w:pPr>
              <w:pStyle w:val="TableParagraph"/>
              <w:spacing w:before="43"/>
              <w:ind w:left="10"/>
              <w:jc w:val="center"/>
              <w:rPr>
                <w:sz w:val="21"/>
              </w:rPr>
            </w:pPr>
            <w:r>
              <w:rPr>
                <w:sz w:val="21"/>
              </w:rPr>
              <w:t>—</w:t>
            </w:r>
          </w:p>
        </w:tc>
        <w:tc>
          <w:tcPr>
            <w:tcW w:w="2116" w:type="dxa"/>
          </w:tcPr>
          <w:p>
            <w:pPr>
              <w:pStyle w:val="TableParagraph"/>
              <w:spacing w:before="43"/>
              <w:ind w:left="108"/>
              <w:rPr>
                <w:sz w:val="21"/>
              </w:rPr>
            </w:pPr>
            <w:r>
              <w:rPr>
                <w:sz w:val="21"/>
              </w:rPr>
              <w:t>加工中心（四轴</w:t>
            </w:r>
            <w:r>
              <w:rPr>
                <w:spacing w:val="-10"/>
                <w:sz w:val="21"/>
              </w:rPr>
              <w:t>）</w:t>
            </w:r>
          </w:p>
        </w:tc>
        <w:tc>
          <w:tcPr>
            <w:tcW w:w="850" w:type="dxa"/>
          </w:tcPr>
          <w:p>
            <w:pPr>
              <w:pStyle w:val="TableParagraph"/>
              <w:spacing w:before="43"/>
              <w:ind w:left="108" w:right="99"/>
              <w:jc w:val="center"/>
              <w:rPr>
                <w:sz w:val="21"/>
              </w:rPr>
            </w:pPr>
            <w:r>
              <w:rPr>
                <w:sz w:val="21"/>
              </w:rPr>
              <w:t>4</w:t>
            </w:r>
            <w:r>
              <w:rPr>
                <w:spacing w:val="-32"/>
                <w:sz w:val="21"/>
              </w:rPr>
              <w:t xml:space="preserve"> 台</w:t>
            </w:r>
          </w:p>
        </w:tc>
        <w:tc>
          <w:tcPr>
            <w:tcW w:w="5519" w:type="dxa"/>
          </w:tcPr>
          <w:p>
            <w:pPr>
              <w:pStyle w:val="TableParagraph"/>
              <w:spacing w:before="43"/>
              <w:ind w:left="107"/>
              <w:rPr>
                <w:sz w:val="21"/>
              </w:rPr>
            </w:pPr>
            <w:r>
              <w:rPr>
                <w:sz w:val="21"/>
              </w:rPr>
              <w:t>数控系统：FANUC 0i MD</w:t>
            </w:r>
            <w:r>
              <w:rPr>
                <w:spacing w:val="-22"/>
                <w:sz w:val="21"/>
              </w:rPr>
              <w:t xml:space="preserve"> 系统</w:t>
            </w:r>
          </w:p>
        </w:tc>
      </w:tr>
      <w:tr>
        <w:tblPrEx>
          <w:tblW w:w="0" w:type="auto"/>
          <w:jc w:val="left"/>
          <w:tblInd w:w="601" w:type="dxa"/>
          <w:tblLayout w:type="fixed"/>
          <w:tblCellMar>
            <w:top w:w="0" w:type="dxa"/>
            <w:left w:w="0" w:type="dxa"/>
            <w:bottom w:w="0" w:type="dxa"/>
            <w:right w:w="0" w:type="dxa"/>
          </w:tblCellMar>
          <w:tblLook w:val="01E0"/>
        </w:tblPrEx>
        <w:trPr>
          <w:trHeight w:val="416"/>
          <w:jc w:val="left"/>
        </w:trPr>
        <w:tc>
          <w:tcPr>
            <w:tcW w:w="803" w:type="dxa"/>
          </w:tcPr>
          <w:p>
            <w:pPr>
              <w:pStyle w:val="TableParagraph"/>
              <w:spacing w:before="75"/>
              <w:ind w:left="10"/>
              <w:jc w:val="center"/>
              <w:rPr>
                <w:sz w:val="21"/>
              </w:rPr>
            </w:pPr>
            <w:r>
              <w:rPr>
                <w:sz w:val="21"/>
              </w:rPr>
              <w:t>二</w:t>
            </w:r>
          </w:p>
        </w:tc>
        <w:tc>
          <w:tcPr>
            <w:tcW w:w="2116" w:type="dxa"/>
          </w:tcPr>
          <w:p>
            <w:pPr>
              <w:pStyle w:val="TableParagraph"/>
              <w:spacing w:before="75"/>
              <w:ind w:left="108"/>
              <w:rPr>
                <w:sz w:val="21"/>
              </w:rPr>
            </w:pPr>
            <w:r>
              <w:rPr>
                <w:sz w:val="21"/>
              </w:rPr>
              <w:t>加工中心（五轴</w:t>
            </w:r>
            <w:r>
              <w:rPr>
                <w:spacing w:val="-10"/>
                <w:sz w:val="21"/>
              </w:rPr>
              <w:t>）</w:t>
            </w:r>
          </w:p>
        </w:tc>
        <w:tc>
          <w:tcPr>
            <w:tcW w:w="850" w:type="dxa"/>
          </w:tcPr>
          <w:p>
            <w:pPr>
              <w:pStyle w:val="TableParagraph"/>
              <w:spacing w:before="75"/>
              <w:ind w:left="108" w:right="99"/>
              <w:jc w:val="center"/>
              <w:rPr>
                <w:sz w:val="21"/>
              </w:rPr>
            </w:pPr>
            <w:r>
              <w:rPr>
                <w:sz w:val="21"/>
              </w:rPr>
              <w:t>1</w:t>
            </w:r>
            <w:r>
              <w:rPr>
                <w:spacing w:val="-32"/>
                <w:sz w:val="21"/>
              </w:rPr>
              <w:t xml:space="preserve"> 台</w:t>
            </w:r>
          </w:p>
        </w:tc>
        <w:tc>
          <w:tcPr>
            <w:tcW w:w="5519" w:type="dxa"/>
          </w:tcPr>
          <w:p>
            <w:pPr>
              <w:pStyle w:val="TableParagraph"/>
              <w:spacing w:before="75"/>
              <w:ind w:left="107"/>
              <w:rPr>
                <w:sz w:val="21"/>
              </w:rPr>
            </w:pPr>
            <w:r>
              <w:rPr>
                <w:sz w:val="21"/>
              </w:rPr>
              <w:t xml:space="preserve">数控系统：德国海德汉 </w:t>
            </w:r>
            <w:r>
              <w:rPr>
                <w:spacing w:val="-2"/>
                <w:sz w:val="21"/>
              </w:rPr>
              <w:t>iTNC530</w:t>
            </w:r>
          </w:p>
        </w:tc>
      </w:tr>
    </w:tbl>
    <w:p>
      <w:pPr>
        <w:pStyle w:val="BodyText"/>
        <w:spacing w:before="7"/>
        <w:rPr>
          <w:rFonts w:ascii="微软雅黑"/>
          <w:b/>
          <w:sz w:val="11"/>
        </w:rPr>
      </w:pPr>
    </w:p>
    <w:p>
      <w:pPr>
        <w:spacing w:before="0" w:line="319" w:lineRule="exact"/>
        <w:ind w:left="254" w:right="0" w:firstLine="0"/>
        <w:jc w:val="left"/>
        <w:rPr>
          <w:rFonts w:ascii="微软雅黑" w:eastAsia="微软雅黑"/>
          <w:b/>
          <w:sz w:val="21"/>
        </w:rPr>
      </w:pPr>
      <w:r>
        <w:rPr>
          <w:rFonts w:ascii="微软雅黑" w:eastAsia="微软雅黑"/>
          <w:b/>
          <w:sz w:val="21"/>
        </w:rPr>
        <w:t>（一）</w:t>
      </w:r>
      <w:r>
        <w:rPr>
          <w:rFonts w:ascii="微软雅黑" w:eastAsia="微软雅黑"/>
          <w:b/>
          <w:spacing w:val="-1"/>
          <w:sz w:val="21"/>
        </w:rPr>
        <w:t>、四轴加工中心招标要求</w:t>
      </w:r>
    </w:p>
    <w:p>
      <w:pPr>
        <w:spacing w:before="0" w:line="448" w:lineRule="exact"/>
        <w:ind w:left="254" w:right="0" w:firstLine="0"/>
        <w:jc w:val="left"/>
        <w:rPr>
          <w:rFonts w:ascii="微软雅黑" w:eastAsia="微软雅黑"/>
          <w:b/>
          <w:sz w:val="21"/>
        </w:rPr>
      </w:pPr>
      <w:r>
        <w:pict>
          <v:shapetype id="_x0000_t202" coordsize="21600,21600" o:spt="202" path="m,l,21600r21600,l21600,xe">
            <v:stroke joinstyle="miter"/>
            <v:path gradientshapeok="t" o:connecttype="rect"/>
          </v:shapetype>
          <v:shape id="_x0000_s1025" type="#_x0000_t202" style="width:481.3pt;height:302.45pt;margin-top:19.01pt;margin-left:65.35pt;mso-position-horizontal-relative:page;position:absolute;z-index:251658240" filled="f" stroked="f">
            <v:textbox inset="0,0,0,0">
              <w:txbxContent>
                <w:tbl>
                  <w:tblPr>
                    <w:tblStyle w:val="TableNormal2"/>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2"/>
                    <w:gridCol w:w="8664"/>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7"/>
                      <w:jc w:val="left"/>
                    </w:trPr>
                    <w:tc>
                      <w:tcPr>
                        <w:tcW w:w="952" w:type="dxa"/>
                      </w:tcPr>
                      <w:p>
                        <w:pPr>
                          <w:pStyle w:val="TableParagraph"/>
                          <w:spacing w:line="298" w:lineRule="exact"/>
                          <w:ind w:left="265"/>
                          <w:rPr>
                            <w:rFonts w:ascii="微软雅黑" w:eastAsia="微软雅黑"/>
                            <w:b/>
                            <w:sz w:val="21"/>
                          </w:rPr>
                        </w:pPr>
                        <w:r>
                          <w:rPr>
                            <w:rFonts w:ascii="微软雅黑" w:eastAsia="微软雅黑"/>
                            <w:b/>
                            <w:spacing w:val="-5"/>
                            <w:sz w:val="21"/>
                          </w:rPr>
                          <w:t>序号</w:t>
                        </w:r>
                      </w:p>
                    </w:tc>
                    <w:tc>
                      <w:tcPr>
                        <w:tcW w:w="8664" w:type="dxa"/>
                      </w:tcPr>
                      <w:p>
                        <w:pPr>
                          <w:pStyle w:val="TableParagraph"/>
                          <w:spacing w:line="298" w:lineRule="exact"/>
                          <w:ind w:left="3791" w:right="3782"/>
                          <w:jc w:val="center"/>
                          <w:rPr>
                            <w:rFonts w:ascii="微软雅黑" w:eastAsia="微软雅黑"/>
                            <w:b/>
                            <w:sz w:val="21"/>
                          </w:rPr>
                        </w:pPr>
                        <w:r>
                          <w:rPr>
                            <w:rFonts w:ascii="微软雅黑" w:eastAsia="微软雅黑"/>
                            <w:b/>
                            <w:spacing w:val="-2"/>
                            <w:sz w:val="21"/>
                          </w:rPr>
                          <w:t>规格、参数</w:t>
                        </w:r>
                      </w:p>
                    </w:tc>
                  </w:tr>
                  <w:tr>
                    <w:tblPrEx>
                      <w:tblW w:w="0" w:type="auto"/>
                      <w:jc w:val="left"/>
                      <w:tblInd w:w="5" w:type="dxa"/>
                      <w:tblLayout w:type="fixed"/>
                      <w:tblCellMar>
                        <w:top w:w="0" w:type="dxa"/>
                        <w:left w:w="0" w:type="dxa"/>
                        <w:bottom w:w="0" w:type="dxa"/>
                        <w:right w:w="0" w:type="dxa"/>
                      </w:tblCellMar>
                      <w:tblLook w:val="01E0"/>
                    </w:tblPrEx>
                    <w:trPr>
                      <w:trHeight w:val="913"/>
                      <w:jc w:val="left"/>
                    </w:trPr>
                    <w:tc>
                      <w:tcPr>
                        <w:tcW w:w="952" w:type="dxa"/>
                      </w:tcPr>
                      <w:p>
                        <w:pPr>
                          <w:pStyle w:val="TableParagraph"/>
                          <w:spacing w:before="10"/>
                          <w:rPr>
                            <w:rFonts w:ascii="微软雅黑"/>
                            <w:b/>
                            <w:sz w:val="17"/>
                          </w:rPr>
                        </w:pPr>
                      </w:p>
                      <w:p>
                        <w:pPr>
                          <w:pStyle w:val="TableParagraph"/>
                          <w:ind w:left="263"/>
                          <w:rPr>
                            <w:sz w:val="21"/>
                          </w:rPr>
                        </w:pPr>
                        <w:r>
                          <w:rPr>
                            <w:spacing w:val="-5"/>
                            <w:sz w:val="21"/>
                          </w:rPr>
                          <w:t>1.</w:t>
                        </w:r>
                      </w:p>
                    </w:tc>
                    <w:tc>
                      <w:tcPr>
                        <w:tcW w:w="8664" w:type="dxa"/>
                      </w:tcPr>
                      <w:p>
                        <w:pPr>
                          <w:pStyle w:val="TableParagraph"/>
                          <w:spacing w:before="14" w:line="440" w:lineRule="exact"/>
                          <w:ind w:left="27" w:right="15"/>
                          <w:rPr>
                            <w:sz w:val="21"/>
                          </w:rPr>
                        </w:pPr>
                        <w:r>
                          <w:rPr>
                            <w:spacing w:val="-2"/>
                            <w:sz w:val="21"/>
                          </w:rPr>
                          <w:t>机床采用立式框架或立柱马鞍型结构形式，</w:t>
                        </w:r>
                        <w:r>
                          <w:rPr>
                            <w:color w:val="0B0B0B"/>
                            <w:spacing w:val="-2"/>
                            <w:sz w:val="21"/>
                          </w:rPr>
                          <w:t>Y</w:t>
                        </w:r>
                        <w:r>
                          <w:rPr>
                            <w:color w:val="0B0B0B"/>
                            <w:spacing w:val="-10"/>
                            <w:sz w:val="21"/>
                          </w:rPr>
                          <w:t xml:space="preserve"> 轴电机采用后置安装结构保证机床刚性及精度,立</w:t>
                        </w:r>
                        <w:r>
                          <w:rPr>
                            <w:color w:val="0B0B0B"/>
                            <w:spacing w:val="-2"/>
                            <w:sz w:val="21"/>
                          </w:rPr>
                          <w:t>柱为“人”字结构</w:t>
                        </w:r>
                      </w:p>
                    </w:tc>
                  </w:tr>
                  <w:tr>
                    <w:tblPrEx>
                      <w:tblW w:w="0" w:type="auto"/>
                      <w:jc w:val="left"/>
                      <w:tblInd w:w="5" w:type="dxa"/>
                      <w:tblLayout w:type="fixed"/>
                      <w:tblCellMar>
                        <w:top w:w="0" w:type="dxa"/>
                        <w:left w:w="0" w:type="dxa"/>
                        <w:bottom w:w="0" w:type="dxa"/>
                        <w:right w:w="0" w:type="dxa"/>
                      </w:tblCellMar>
                      <w:tblLook w:val="01E0"/>
                    </w:tblPrEx>
                    <w:trPr>
                      <w:trHeight w:val="474"/>
                      <w:jc w:val="left"/>
                    </w:trPr>
                    <w:tc>
                      <w:tcPr>
                        <w:tcW w:w="952" w:type="dxa"/>
                      </w:tcPr>
                      <w:p>
                        <w:pPr>
                          <w:pStyle w:val="TableParagraph"/>
                          <w:spacing w:before="104"/>
                          <w:ind w:left="263"/>
                          <w:rPr>
                            <w:sz w:val="21"/>
                          </w:rPr>
                        </w:pPr>
                        <w:r>
                          <w:rPr>
                            <w:spacing w:val="-5"/>
                            <w:sz w:val="21"/>
                          </w:rPr>
                          <w:t>2.</w:t>
                        </w:r>
                      </w:p>
                    </w:tc>
                    <w:tc>
                      <w:tcPr>
                        <w:tcW w:w="8664" w:type="dxa"/>
                      </w:tcPr>
                      <w:p>
                        <w:pPr>
                          <w:pStyle w:val="TableParagraph"/>
                          <w:spacing w:before="159"/>
                          <w:ind w:left="27"/>
                          <w:rPr>
                            <w:sz w:val="21"/>
                          </w:rPr>
                        </w:pPr>
                        <w:r>
                          <w:rPr>
                            <w:spacing w:val="-3"/>
                            <w:sz w:val="21"/>
                          </w:rPr>
                          <w:t xml:space="preserve">床身、立柱、工作台、等基础部件采用 </w:t>
                        </w:r>
                        <w:r>
                          <w:rPr>
                            <w:sz w:val="21"/>
                          </w:rPr>
                          <w:t>HT250</w:t>
                        </w:r>
                        <w:r>
                          <w:rPr>
                            <w:spacing w:val="-9"/>
                            <w:sz w:val="21"/>
                          </w:rPr>
                          <w:t xml:space="preserve"> 以上高质量铸铁，并经二次时效处理。</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3.</w:t>
                        </w:r>
                      </w:p>
                    </w:tc>
                    <w:tc>
                      <w:tcPr>
                        <w:tcW w:w="8664" w:type="dxa"/>
                      </w:tcPr>
                      <w:p>
                        <w:pPr>
                          <w:pStyle w:val="TableParagraph"/>
                          <w:spacing w:before="159"/>
                          <w:ind w:left="27"/>
                          <w:rPr>
                            <w:sz w:val="21"/>
                          </w:rPr>
                        </w:pPr>
                        <w:r>
                          <w:rPr>
                            <w:spacing w:val="-1"/>
                            <w:sz w:val="21"/>
                          </w:rPr>
                          <w:t>床身、床鞍油水分离设计、减少切屑液污染，床鞍电机座整体式，有效提高机床精度保持性</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4.</w:t>
                        </w:r>
                      </w:p>
                    </w:tc>
                    <w:tc>
                      <w:tcPr>
                        <w:tcW w:w="8664" w:type="dxa"/>
                      </w:tcPr>
                      <w:p>
                        <w:pPr>
                          <w:pStyle w:val="TableParagraph"/>
                          <w:spacing w:before="159"/>
                          <w:ind w:left="27"/>
                          <w:rPr>
                            <w:sz w:val="21"/>
                          </w:rPr>
                        </w:pPr>
                        <w:r>
                          <w:rPr>
                            <w:spacing w:val="-1"/>
                            <w:sz w:val="21"/>
                          </w:rPr>
                          <w:t>全封闭安全防护系统，外形美观、整洁，双开拉门，采用线轨导向。</w:t>
                        </w:r>
                      </w:p>
                    </w:tc>
                  </w:tr>
                  <w:tr>
                    <w:tblPrEx>
                      <w:tblW w:w="0" w:type="auto"/>
                      <w:jc w:val="left"/>
                      <w:tblInd w:w="5" w:type="dxa"/>
                      <w:tblLayout w:type="fixed"/>
                      <w:tblCellMar>
                        <w:top w:w="0" w:type="dxa"/>
                        <w:left w:w="0" w:type="dxa"/>
                        <w:bottom w:w="0" w:type="dxa"/>
                        <w:right w:w="0" w:type="dxa"/>
                      </w:tblCellMar>
                      <w:tblLook w:val="01E0"/>
                    </w:tblPrEx>
                    <w:trPr>
                      <w:trHeight w:val="913"/>
                      <w:jc w:val="left"/>
                    </w:trPr>
                    <w:tc>
                      <w:tcPr>
                        <w:tcW w:w="952" w:type="dxa"/>
                      </w:tcPr>
                      <w:p>
                        <w:pPr>
                          <w:pStyle w:val="TableParagraph"/>
                          <w:spacing w:before="10"/>
                          <w:rPr>
                            <w:rFonts w:ascii="微软雅黑"/>
                            <w:b/>
                            <w:sz w:val="17"/>
                          </w:rPr>
                        </w:pPr>
                      </w:p>
                      <w:p>
                        <w:pPr>
                          <w:pStyle w:val="TableParagraph"/>
                          <w:ind w:left="263"/>
                          <w:rPr>
                            <w:sz w:val="21"/>
                          </w:rPr>
                        </w:pPr>
                        <w:r>
                          <w:rPr>
                            <w:spacing w:val="-5"/>
                            <w:sz w:val="21"/>
                          </w:rPr>
                          <w:t>5.</w:t>
                        </w:r>
                      </w:p>
                    </w:tc>
                    <w:tc>
                      <w:tcPr>
                        <w:tcW w:w="8664" w:type="dxa"/>
                      </w:tcPr>
                      <w:p>
                        <w:pPr>
                          <w:pStyle w:val="TableParagraph"/>
                          <w:spacing w:before="14" w:line="440" w:lineRule="exact"/>
                          <w:ind w:left="27" w:right="16"/>
                          <w:rPr>
                            <w:sz w:val="21"/>
                          </w:rPr>
                        </w:pPr>
                        <w:r>
                          <w:rPr>
                            <w:sz w:val="21"/>
                          </w:rPr>
                          <w:t>X、Y、Z</w:t>
                        </w:r>
                        <w:r>
                          <w:rPr>
                            <w:spacing w:val="-5"/>
                            <w:sz w:val="21"/>
                          </w:rPr>
                          <w:t xml:space="preserve"> 三轴均由伺服电机通过联轴器与滚珠丝杠直联，</w:t>
                        </w:r>
                        <w:r>
                          <w:rPr>
                            <w:sz w:val="21"/>
                          </w:rPr>
                          <w:t>Z</w:t>
                        </w:r>
                        <w:r>
                          <w:rPr>
                            <w:spacing w:val="-5"/>
                            <w:sz w:val="21"/>
                          </w:rPr>
                          <w:t xml:space="preserve"> 轴伺服电机带有自动抱闸功能，三</w:t>
                        </w:r>
                        <w:r>
                          <w:rPr>
                            <w:spacing w:val="-2"/>
                            <w:sz w:val="21"/>
                          </w:rPr>
                          <w:t>轴均具有过载保护。</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6.</w:t>
                        </w:r>
                      </w:p>
                    </w:tc>
                    <w:tc>
                      <w:tcPr>
                        <w:tcW w:w="8664" w:type="dxa"/>
                      </w:tcPr>
                      <w:p>
                        <w:pPr>
                          <w:pStyle w:val="TableParagraph"/>
                          <w:spacing w:before="159"/>
                          <w:ind w:left="27"/>
                          <w:rPr>
                            <w:sz w:val="21"/>
                          </w:rPr>
                        </w:pPr>
                        <w:r>
                          <w:rPr>
                            <w:sz w:val="21"/>
                          </w:rPr>
                          <w:t>X、Y、Z</w:t>
                        </w:r>
                        <w:r>
                          <w:rPr>
                            <w:spacing w:val="-9"/>
                            <w:sz w:val="21"/>
                          </w:rPr>
                          <w:t xml:space="preserve"> 三轴均采用直线滚珠导轨，三向导轨和丝杠配备不锈钢防护罩。</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7.</w:t>
                        </w:r>
                      </w:p>
                    </w:tc>
                    <w:tc>
                      <w:tcPr>
                        <w:tcW w:w="8664" w:type="dxa"/>
                      </w:tcPr>
                      <w:p>
                        <w:pPr>
                          <w:pStyle w:val="TableParagraph"/>
                          <w:spacing w:before="159"/>
                          <w:ind w:left="27"/>
                          <w:rPr>
                            <w:sz w:val="21"/>
                          </w:rPr>
                        </w:pPr>
                        <w:r>
                          <w:rPr>
                            <w:spacing w:val="-1"/>
                            <w:sz w:val="21"/>
                          </w:rPr>
                          <w:t>电器柜密封、防尘，安装热交换器。</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8.</w:t>
                        </w:r>
                      </w:p>
                    </w:tc>
                    <w:tc>
                      <w:tcPr>
                        <w:tcW w:w="8664" w:type="dxa"/>
                      </w:tcPr>
                      <w:p>
                        <w:pPr>
                          <w:pStyle w:val="TableParagraph"/>
                          <w:spacing w:before="159"/>
                          <w:ind w:left="27"/>
                          <w:rPr>
                            <w:sz w:val="21"/>
                          </w:rPr>
                        </w:pPr>
                        <w:r>
                          <w:rPr>
                            <w:spacing w:val="-1"/>
                            <w:sz w:val="21"/>
                          </w:rPr>
                          <w:t>各滑动表面、滚珠丝杆及轴承实现定时定量自动润滑，润滑泵有液位检测报警功能。</w:t>
                        </w:r>
                      </w:p>
                    </w:tc>
                  </w:tr>
                  <w:tr>
                    <w:tblPrEx>
                      <w:tblW w:w="0" w:type="auto"/>
                      <w:jc w:val="left"/>
                      <w:tblInd w:w="5"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9.</w:t>
                        </w:r>
                      </w:p>
                    </w:tc>
                    <w:tc>
                      <w:tcPr>
                        <w:tcW w:w="8664" w:type="dxa"/>
                      </w:tcPr>
                      <w:p>
                        <w:pPr>
                          <w:pStyle w:val="TableParagraph"/>
                          <w:spacing w:before="159"/>
                          <w:ind w:left="27"/>
                          <w:rPr>
                            <w:sz w:val="21"/>
                          </w:rPr>
                        </w:pPr>
                        <w:r>
                          <w:rPr>
                            <w:sz w:val="21"/>
                          </w:rPr>
                          <w:t>*</w:t>
                        </w:r>
                        <w:r>
                          <w:rPr>
                            <w:spacing w:val="-5"/>
                            <w:sz w:val="21"/>
                          </w:rPr>
                          <w:t xml:space="preserve">机床操作区上装有不少于 </w:t>
                        </w:r>
                        <w:r>
                          <w:rPr>
                            <w:sz w:val="21"/>
                          </w:rPr>
                          <w:t>16</w:t>
                        </w:r>
                        <w:r>
                          <w:rPr>
                            <w:spacing w:val="-22"/>
                            <w:sz w:val="21"/>
                          </w:rPr>
                          <w:t xml:space="preserve"> 工位的 </w:t>
                        </w:r>
                        <w:r>
                          <w:rPr>
                            <w:sz w:val="21"/>
                          </w:rPr>
                          <w:t>BT40</w:t>
                        </w:r>
                        <w:r>
                          <w:rPr>
                            <w:spacing w:val="-10"/>
                            <w:sz w:val="21"/>
                          </w:rPr>
                          <w:t xml:space="preserve"> 双层刀柄托架。</w:t>
                        </w:r>
                      </w:p>
                    </w:tc>
                  </w:tr>
                  <w:tr>
                    <w:tblPrEx>
                      <w:tblW w:w="0" w:type="auto"/>
                      <w:jc w:val="left"/>
                      <w:tblInd w:w="5" w:type="dxa"/>
                      <w:tblLayout w:type="fixed"/>
                      <w:tblCellMar>
                        <w:top w:w="0" w:type="dxa"/>
                        <w:left w:w="0" w:type="dxa"/>
                        <w:bottom w:w="0" w:type="dxa"/>
                        <w:right w:w="0" w:type="dxa"/>
                      </w:tblCellMar>
                      <w:tblLook w:val="01E0"/>
                    </w:tblPrEx>
                    <w:trPr>
                      <w:trHeight w:val="474"/>
                      <w:jc w:val="left"/>
                    </w:trPr>
                    <w:tc>
                      <w:tcPr>
                        <w:tcW w:w="952" w:type="dxa"/>
                      </w:tcPr>
                      <w:p>
                        <w:pPr>
                          <w:pStyle w:val="TableParagraph"/>
                          <w:spacing w:before="104"/>
                          <w:ind w:left="263"/>
                          <w:rPr>
                            <w:sz w:val="21"/>
                          </w:rPr>
                        </w:pPr>
                        <w:r>
                          <w:rPr>
                            <w:spacing w:val="-5"/>
                            <w:sz w:val="21"/>
                          </w:rPr>
                          <w:t>10.</w:t>
                        </w:r>
                      </w:p>
                    </w:tc>
                    <w:tc>
                      <w:tcPr>
                        <w:tcW w:w="8664" w:type="dxa"/>
                      </w:tcPr>
                      <w:p>
                        <w:pPr>
                          <w:pStyle w:val="TableParagraph"/>
                          <w:spacing w:before="159"/>
                          <w:ind w:left="27"/>
                          <w:rPr>
                            <w:sz w:val="21"/>
                          </w:rPr>
                        </w:pPr>
                        <w:r>
                          <w:rPr>
                            <w:spacing w:val="-3"/>
                            <w:sz w:val="21"/>
                          </w:rPr>
                          <w:t xml:space="preserve">切削区具有水冷和气冷装置，并可以通过 </w:t>
                        </w:r>
                        <w:r>
                          <w:rPr>
                            <w:sz w:val="21"/>
                          </w:rPr>
                          <w:t>M</w:t>
                        </w:r>
                        <w:r>
                          <w:rPr>
                            <w:spacing w:val="-9"/>
                            <w:sz w:val="21"/>
                          </w:rPr>
                          <w:t xml:space="preserve"> 代码或控制面板控制；配置清洁气枪。</w:t>
                        </w:r>
                      </w:p>
                    </w:tc>
                  </w:tr>
                </w:tbl>
                <w:p>
                  <w:pPr>
                    <w:pStyle w:val="BodyText"/>
                  </w:pPr>
                </w:p>
              </w:txbxContent>
            </v:textbox>
          </v:shape>
        </w:pict>
      </w:r>
      <w:r>
        <w:rPr>
          <w:rFonts w:ascii="微软雅黑" w:eastAsia="微软雅黑"/>
          <w:b/>
          <w:color w:val="0B0B0B"/>
          <w:spacing w:val="-4"/>
          <w:sz w:val="28"/>
        </w:rPr>
        <w:t>1、</w:t>
      </w:r>
      <w:r>
        <w:rPr>
          <w:rFonts w:ascii="微软雅黑" w:eastAsia="微软雅黑"/>
          <w:b/>
          <w:spacing w:val="-5"/>
          <w:sz w:val="21"/>
        </w:rPr>
        <w:t>机床结构、技术要求</w:t>
      </w:r>
    </w:p>
    <w:p>
      <w:pPr>
        <w:spacing w:after="0" w:line="448" w:lineRule="exact"/>
        <w:jc w:val="left"/>
        <w:rPr>
          <w:rFonts w:ascii="微软雅黑" w:eastAsia="微软雅黑"/>
          <w:sz w:val="21"/>
        </w:rPr>
        <w:sectPr>
          <w:headerReference w:type="default" r:id="rId28"/>
          <w:footerReference w:type="default" r:id="rId29"/>
          <w:pgSz w:w="12240" w:h="15840"/>
          <w:pgMar w:top="1080" w:right="880" w:bottom="920" w:left="880" w:header="748" w:footer="731"/>
          <w:pgNumType w:start="13"/>
          <w:cols w:space="708"/>
        </w:sectPr>
      </w:pPr>
    </w:p>
    <w:p>
      <w:pPr>
        <w:pStyle w:val="BodyText"/>
        <w:spacing w:before="16" w:after="1"/>
        <w:rPr>
          <w:rFonts w:ascii="微软雅黑"/>
          <w:b/>
          <w:sz w:val="17"/>
        </w:rPr>
      </w:pPr>
    </w:p>
    <w:tbl>
      <w:tblPr>
        <w:tblStyle w:val="TableNormal3"/>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2"/>
        <w:gridCol w:w="8664"/>
      </w:tblGrid>
      <w:tr>
        <w:tblPrEx>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7"/>
          <w:jc w:val="left"/>
        </w:trPr>
        <w:tc>
          <w:tcPr>
            <w:tcW w:w="952" w:type="dxa"/>
          </w:tcPr>
          <w:p>
            <w:pPr>
              <w:pStyle w:val="TableParagraph"/>
              <w:spacing w:line="298" w:lineRule="exact"/>
              <w:ind w:left="265"/>
              <w:rPr>
                <w:rFonts w:ascii="微软雅黑" w:eastAsia="微软雅黑"/>
                <w:b/>
                <w:sz w:val="21"/>
              </w:rPr>
            </w:pPr>
            <w:r>
              <w:rPr>
                <w:rFonts w:ascii="微软雅黑" w:eastAsia="微软雅黑"/>
                <w:b/>
                <w:spacing w:val="-5"/>
                <w:sz w:val="21"/>
              </w:rPr>
              <w:t>序号</w:t>
            </w:r>
          </w:p>
        </w:tc>
        <w:tc>
          <w:tcPr>
            <w:tcW w:w="8664" w:type="dxa"/>
          </w:tcPr>
          <w:p>
            <w:pPr>
              <w:pStyle w:val="TableParagraph"/>
              <w:spacing w:line="298" w:lineRule="exact"/>
              <w:ind w:left="3791" w:right="3782"/>
              <w:jc w:val="center"/>
              <w:rPr>
                <w:rFonts w:ascii="微软雅黑" w:eastAsia="微软雅黑"/>
                <w:b/>
                <w:sz w:val="21"/>
              </w:rPr>
            </w:pPr>
            <w:r>
              <w:rPr>
                <w:rFonts w:ascii="微软雅黑" w:eastAsia="微软雅黑"/>
                <w:b/>
                <w:spacing w:val="-2"/>
                <w:sz w:val="21"/>
              </w:rPr>
              <w:t>规格、参数</w:t>
            </w:r>
          </w:p>
        </w:tc>
      </w:tr>
      <w:tr>
        <w:tblPrEx>
          <w:tblW w:w="0" w:type="auto"/>
          <w:jc w:val="left"/>
          <w:tblInd w:w="437" w:type="dxa"/>
          <w:tblLayout w:type="fixed"/>
          <w:tblCellMar>
            <w:top w:w="0" w:type="dxa"/>
            <w:left w:w="0" w:type="dxa"/>
            <w:bottom w:w="0" w:type="dxa"/>
            <w:right w:w="0" w:type="dxa"/>
          </w:tblCellMar>
          <w:tblLook w:val="01E0"/>
        </w:tblPrEx>
        <w:trPr>
          <w:trHeight w:val="474"/>
          <w:jc w:val="left"/>
        </w:trPr>
        <w:tc>
          <w:tcPr>
            <w:tcW w:w="952" w:type="dxa"/>
          </w:tcPr>
          <w:p>
            <w:pPr>
              <w:pStyle w:val="TableParagraph"/>
              <w:spacing w:before="104"/>
              <w:ind w:left="263"/>
              <w:rPr>
                <w:sz w:val="21"/>
              </w:rPr>
            </w:pPr>
            <w:r>
              <w:rPr>
                <w:spacing w:val="-5"/>
                <w:sz w:val="21"/>
              </w:rPr>
              <w:t>11.</w:t>
            </w:r>
          </w:p>
        </w:tc>
        <w:tc>
          <w:tcPr>
            <w:tcW w:w="8664" w:type="dxa"/>
          </w:tcPr>
          <w:p>
            <w:pPr>
              <w:pStyle w:val="TableParagraph"/>
              <w:spacing w:before="159"/>
              <w:ind w:left="27"/>
              <w:rPr>
                <w:sz w:val="21"/>
              </w:rPr>
            </w:pPr>
            <w:r>
              <w:rPr>
                <w:color w:val="0B0B0B"/>
                <w:spacing w:val="-1"/>
                <w:sz w:val="21"/>
              </w:rPr>
              <w:t>配有高刚性螺旋排屑器,并具有过载保护装置，配备积屑小推车。</w:t>
            </w:r>
          </w:p>
        </w:tc>
      </w:tr>
      <w:tr>
        <w:tblPrEx>
          <w:tblW w:w="0" w:type="auto"/>
          <w:jc w:val="left"/>
          <w:tblInd w:w="437" w:type="dxa"/>
          <w:tblLayout w:type="fixed"/>
          <w:tblCellMar>
            <w:top w:w="0" w:type="dxa"/>
            <w:left w:w="0" w:type="dxa"/>
            <w:bottom w:w="0" w:type="dxa"/>
            <w:right w:w="0" w:type="dxa"/>
          </w:tblCellMar>
          <w:tblLook w:val="01E0"/>
        </w:tblPrEx>
        <w:trPr>
          <w:trHeight w:val="474"/>
          <w:jc w:val="left"/>
        </w:trPr>
        <w:tc>
          <w:tcPr>
            <w:tcW w:w="952" w:type="dxa"/>
          </w:tcPr>
          <w:p>
            <w:pPr>
              <w:pStyle w:val="TableParagraph"/>
              <w:spacing w:before="104"/>
              <w:ind w:left="263"/>
              <w:rPr>
                <w:sz w:val="21"/>
              </w:rPr>
            </w:pPr>
            <w:r>
              <w:rPr>
                <w:spacing w:val="-5"/>
                <w:sz w:val="21"/>
              </w:rPr>
              <w:t>12.</w:t>
            </w:r>
          </w:p>
        </w:tc>
        <w:tc>
          <w:tcPr>
            <w:tcW w:w="8664" w:type="dxa"/>
          </w:tcPr>
          <w:p>
            <w:pPr>
              <w:pStyle w:val="TableParagraph"/>
              <w:spacing w:before="159"/>
              <w:ind w:left="27"/>
              <w:rPr>
                <w:sz w:val="21"/>
              </w:rPr>
            </w:pPr>
            <w:r>
              <w:rPr>
                <w:color w:val="0B0B0B"/>
                <w:spacing w:val="-1"/>
                <w:sz w:val="21"/>
              </w:rPr>
              <w:t>机床内腔两侧均装有日光型照明灯，加工区域配有卤素照明灯。</w:t>
            </w:r>
          </w:p>
        </w:tc>
      </w:tr>
      <w:tr>
        <w:tblPrEx>
          <w:tblW w:w="0" w:type="auto"/>
          <w:jc w:val="left"/>
          <w:tblInd w:w="437" w:type="dxa"/>
          <w:tblLayout w:type="fixed"/>
          <w:tblCellMar>
            <w:top w:w="0" w:type="dxa"/>
            <w:left w:w="0" w:type="dxa"/>
            <w:bottom w:w="0" w:type="dxa"/>
            <w:right w:w="0" w:type="dxa"/>
          </w:tblCellMar>
          <w:tblLook w:val="01E0"/>
        </w:tblPrEx>
        <w:trPr>
          <w:trHeight w:val="474"/>
          <w:jc w:val="left"/>
        </w:trPr>
        <w:tc>
          <w:tcPr>
            <w:tcW w:w="952" w:type="dxa"/>
          </w:tcPr>
          <w:p>
            <w:pPr>
              <w:pStyle w:val="TableParagraph"/>
              <w:spacing w:before="104"/>
              <w:ind w:left="263"/>
              <w:rPr>
                <w:sz w:val="21"/>
              </w:rPr>
            </w:pPr>
            <w:r>
              <w:rPr>
                <w:spacing w:val="-5"/>
                <w:sz w:val="21"/>
              </w:rPr>
              <w:t>13.</w:t>
            </w:r>
          </w:p>
        </w:tc>
        <w:tc>
          <w:tcPr>
            <w:tcW w:w="8664" w:type="dxa"/>
          </w:tcPr>
          <w:p>
            <w:pPr>
              <w:pStyle w:val="TableParagraph"/>
              <w:spacing w:before="92" w:line="362" w:lineRule="exact"/>
              <w:ind w:left="27"/>
              <w:rPr>
                <w:sz w:val="21"/>
              </w:rPr>
            </w:pPr>
            <w:r>
              <w:rPr>
                <w:rFonts w:ascii="微软雅黑" w:eastAsia="微软雅黑"/>
                <w:b/>
                <w:sz w:val="21"/>
              </w:rPr>
              <w:t>*</w:t>
            </w:r>
            <w:r>
              <w:rPr>
                <w:color w:val="0B0B0B"/>
                <w:spacing w:val="-1"/>
                <w:sz w:val="21"/>
              </w:rPr>
              <w:t>供应商必须在用户现场用双频激光干涉仪对该设备进给轴进行检测和补偿。</w:t>
            </w:r>
          </w:p>
        </w:tc>
      </w:tr>
      <w:tr>
        <w:tblPrEx>
          <w:tblW w:w="0" w:type="auto"/>
          <w:jc w:val="left"/>
          <w:tblInd w:w="437" w:type="dxa"/>
          <w:tblLayout w:type="fixed"/>
          <w:tblCellMar>
            <w:top w:w="0" w:type="dxa"/>
            <w:left w:w="0" w:type="dxa"/>
            <w:bottom w:w="0" w:type="dxa"/>
            <w:right w:w="0" w:type="dxa"/>
          </w:tblCellMar>
          <w:tblLook w:val="01E0"/>
        </w:tblPrEx>
        <w:trPr>
          <w:trHeight w:val="473"/>
          <w:jc w:val="left"/>
        </w:trPr>
        <w:tc>
          <w:tcPr>
            <w:tcW w:w="952" w:type="dxa"/>
          </w:tcPr>
          <w:p>
            <w:pPr>
              <w:pStyle w:val="TableParagraph"/>
              <w:spacing w:before="104"/>
              <w:ind w:left="263"/>
              <w:rPr>
                <w:sz w:val="21"/>
              </w:rPr>
            </w:pPr>
            <w:r>
              <w:rPr>
                <w:spacing w:val="-5"/>
                <w:sz w:val="21"/>
              </w:rPr>
              <w:t>14.</w:t>
            </w:r>
          </w:p>
        </w:tc>
        <w:tc>
          <w:tcPr>
            <w:tcW w:w="8664" w:type="dxa"/>
          </w:tcPr>
          <w:p>
            <w:pPr>
              <w:pStyle w:val="TableParagraph"/>
              <w:spacing w:before="159"/>
              <w:ind w:left="27" w:right="-101"/>
              <w:rPr>
                <w:sz w:val="21"/>
              </w:rPr>
            </w:pPr>
            <w:r>
              <w:rPr>
                <w:spacing w:val="-8"/>
                <w:sz w:val="21"/>
              </w:rPr>
              <w:t>具备江苏省职业技能大赛数控项目、江苏技能状元大赛数控项目比赛用机床的同等功能和性能。</w:t>
            </w:r>
          </w:p>
        </w:tc>
      </w:tr>
    </w:tbl>
    <w:p>
      <w:pPr>
        <w:pStyle w:val="BodyText"/>
        <w:spacing w:before="10"/>
        <w:rPr>
          <w:rFonts w:ascii="微软雅黑"/>
          <w:b/>
          <w:sz w:val="9"/>
        </w:rPr>
      </w:pPr>
    </w:p>
    <w:p>
      <w:pPr>
        <w:spacing w:before="3"/>
        <w:ind w:left="254" w:right="0" w:firstLine="0"/>
        <w:jc w:val="left"/>
        <w:rPr>
          <w:rFonts w:ascii="微软雅黑" w:eastAsia="微软雅黑"/>
          <w:b/>
          <w:sz w:val="21"/>
        </w:rPr>
      </w:pPr>
      <w:r>
        <w:pict>
          <v:shape id="_x0000_s1026" type="#_x0000_t202" style="width:472.7pt;height:375.4pt;margin-top:16.96pt;margin-left:69.65pt;mso-position-horizontal-relative:page;position:absolute;z-index:251659264" filled="f" stroked="f">
            <v:textbox inset="0,0,0,0">
              <w:txbxContent>
                <w:tbl>
                  <w:tblPr>
                    <w:tblStyle w:val="TableNormal3"/>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2"/>
                    <w:gridCol w:w="3480"/>
                    <w:gridCol w:w="4932"/>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05"/>
                      <w:jc w:val="left"/>
                    </w:trPr>
                    <w:tc>
                      <w:tcPr>
                        <w:tcW w:w="1032" w:type="dxa"/>
                      </w:tcPr>
                      <w:p>
                        <w:pPr>
                          <w:pStyle w:val="TableParagraph"/>
                          <w:spacing w:line="286" w:lineRule="exact"/>
                          <w:ind w:left="305"/>
                          <w:rPr>
                            <w:rFonts w:ascii="微软雅黑" w:eastAsia="微软雅黑"/>
                            <w:b/>
                            <w:sz w:val="21"/>
                          </w:rPr>
                        </w:pPr>
                        <w:r>
                          <w:rPr>
                            <w:rFonts w:ascii="微软雅黑" w:eastAsia="微软雅黑"/>
                            <w:b/>
                            <w:spacing w:val="-5"/>
                            <w:sz w:val="21"/>
                          </w:rPr>
                          <w:t>序号</w:t>
                        </w:r>
                      </w:p>
                    </w:tc>
                    <w:tc>
                      <w:tcPr>
                        <w:tcW w:w="3480" w:type="dxa"/>
                      </w:tcPr>
                      <w:p>
                        <w:pPr>
                          <w:pStyle w:val="TableParagraph"/>
                          <w:spacing w:line="286" w:lineRule="exact"/>
                          <w:ind w:left="1514" w:right="1505"/>
                          <w:jc w:val="center"/>
                          <w:rPr>
                            <w:rFonts w:ascii="微软雅黑" w:eastAsia="微软雅黑"/>
                            <w:b/>
                            <w:sz w:val="21"/>
                          </w:rPr>
                        </w:pPr>
                        <w:r>
                          <w:rPr>
                            <w:rFonts w:ascii="微软雅黑" w:eastAsia="微软雅黑"/>
                            <w:b/>
                            <w:spacing w:val="-5"/>
                            <w:sz w:val="21"/>
                          </w:rPr>
                          <w:t>项目</w:t>
                        </w:r>
                      </w:p>
                    </w:tc>
                    <w:tc>
                      <w:tcPr>
                        <w:tcW w:w="4932" w:type="dxa"/>
                      </w:tcPr>
                      <w:p>
                        <w:pPr>
                          <w:pStyle w:val="TableParagraph"/>
                          <w:spacing w:line="286" w:lineRule="exact"/>
                          <w:ind w:left="1878" w:right="1869"/>
                          <w:jc w:val="center"/>
                          <w:rPr>
                            <w:rFonts w:ascii="微软雅黑" w:eastAsia="微软雅黑"/>
                            <w:b/>
                            <w:sz w:val="21"/>
                          </w:rPr>
                        </w:pPr>
                        <w:r>
                          <w:rPr>
                            <w:rFonts w:ascii="微软雅黑" w:eastAsia="微软雅黑"/>
                            <w:b/>
                            <w:spacing w:val="-2"/>
                            <w:sz w:val="21"/>
                          </w:rPr>
                          <w:t>规格、参数</w:t>
                        </w:r>
                      </w:p>
                    </w:tc>
                  </w:tr>
                  <w:tr>
                    <w:tblPrEx>
                      <w:tblW w:w="0" w:type="auto"/>
                      <w:jc w:val="left"/>
                      <w:tblInd w:w="5" w:type="dxa"/>
                      <w:tblLayout w:type="fixed"/>
                      <w:tblCellMar>
                        <w:top w:w="0" w:type="dxa"/>
                        <w:left w:w="0" w:type="dxa"/>
                        <w:bottom w:w="0" w:type="dxa"/>
                        <w:right w:w="0" w:type="dxa"/>
                      </w:tblCellMar>
                      <w:tblLook w:val="01E0"/>
                    </w:tblPrEx>
                    <w:trPr>
                      <w:trHeight w:val="566"/>
                      <w:jc w:val="left"/>
                    </w:trPr>
                    <w:tc>
                      <w:tcPr>
                        <w:tcW w:w="1032" w:type="dxa"/>
                      </w:tcPr>
                      <w:p>
                        <w:pPr>
                          <w:pStyle w:val="TableParagraph"/>
                          <w:spacing w:before="150"/>
                          <w:ind w:left="303"/>
                          <w:rPr>
                            <w:sz w:val="21"/>
                          </w:rPr>
                        </w:pPr>
                        <w:r>
                          <w:rPr>
                            <w:spacing w:val="-5"/>
                            <w:sz w:val="21"/>
                          </w:rPr>
                          <w:t>1.</w:t>
                        </w:r>
                      </w:p>
                    </w:tc>
                    <w:tc>
                      <w:tcPr>
                        <w:tcW w:w="3480" w:type="dxa"/>
                      </w:tcPr>
                      <w:p>
                        <w:pPr>
                          <w:pStyle w:val="TableParagraph"/>
                          <w:spacing w:before="83"/>
                          <w:ind w:left="27"/>
                          <w:rPr>
                            <w:sz w:val="21"/>
                          </w:rPr>
                        </w:pPr>
                        <w:r>
                          <w:rPr>
                            <w:rFonts w:ascii="微软雅黑" w:eastAsia="微软雅黑"/>
                            <w:b/>
                            <w:sz w:val="21"/>
                          </w:rPr>
                          <w:t>*</w:t>
                        </w:r>
                        <w:r>
                          <w:rPr>
                            <w:spacing w:val="-3"/>
                            <w:sz w:val="21"/>
                          </w:rPr>
                          <w:t>数控系统</w:t>
                        </w:r>
                      </w:p>
                    </w:tc>
                    <w:tc>
                      <w:tcPr>
                        <w:tcW w:w="4932" w:type="dxa"/>
                      </w:tcPr>
                      <w:p>
                        <w:pPr>
                          <w:pStyle w:val="TableParagraph"/>
                          <w:spacing w:before="6" w:line="270" w:lineRule="atLeast"/>
                          <w:ind w:left="1101" w:right="16" w:hanging="1073"/>
                          <w:rPr>
                            <w:sz w:val="21"/>
                          </w:rPr>
                        </w:pPr>
                        <w:r>
                          <w:rPr>
                            <w:sz w:val="21"/>
                          </w:rPr>
                          <w:t>FANUC</w:t>
                        </w:r>
                        <w:r>
                          <w:rPr>
                            <w:spacing w:val="-27"/>
                            <w:sz w:val="21"/>
                          </w:rPr>
                          <w:t xml:space="preserve"> </w:t>
                        </w:r>
                        <w:r>
                          <w:rPr>
                            <w:sz w:val="21"/>
                          </w:rPr>
                          <w:t>0I</w:t>
                        </w:r>
                        <w:r>
                          <w:rPr>
                            <w:spacing w:val="-26"/>
                            <w:sz w:val="21"/>
                          </w:rPr>
                          <w:t xml:space="preserve"> </w:t>
                        </w:r>
                        <w:r>
                          <w:rPr>
                            <w:sz w:val="21"/>
                          </w:rPr>
                          <w:t>MD</w:t>
                        </w:r>
                        <w:r>
                          <w:rPr>
                            <w:spacing w:val="-10"/>
                            <w:sz w:val="21"/>
                          </w:rPr>
                          <w:t xml:space="preserve"> 数控系统：必须包含 </w:t>
                        </w:r>
                        <w:r>
                          <w:rPr>
                            <w:sz w:val="21"/>
                          </w:rPr>
                          <w:t>AI</w:t>
                        </w:r>
                        <w:r>
                          <w:rPr>
                            <w:spacing w:val="-19"/>
                            <w:sz w:val="21"/>
                          </w:rPr>
                          <w:t xml:space="preserve"> 轮廓监控 </w:t>
                        </w:r>
                        <w:r>
                          <w:rPr>
                            <w:sz w:val="21"/>
                          </w:rPr>
                          <w:t>I</w:t>
                        </w:r>
                        <w:r>
                          <w:rPr>
                            <w:spacing w:val="-18"/>
                            <w:sz w:val="21"/>
                          </w:rPr>
                          <w:t xml:space="preserve"> 功能</w:t>
                        </w:r>
                        <w:r>
                          <w:rPr>
                            <w:spacing w:val="-2"/>
                            <w:sz w:val="21"/>
                          </w:rPr>
                          <w:t>和预读插补前零型加减速功能</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2.</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5"/>
                            <w:sz w:val="21"/>
                          </w:rPr>
                          <w:t>数量</w:t>
                        </w:r>
                      </w:p>
                    </w:tc>
                    <w:tc>
                      <w:tcPr>
                        <w:tcW w:w="4932" w:type="dxa"/>
                        <w:tcBorders>
                          <w:left w:val="dashed" w:sz="4" w:space="0" w:color="000000"/>
                        </w:tcBorders>
                      </w:tcPr>
                      <w:p>
                        <w:pPr>
                          <w:pStyle w:val="TableParagraph"/>
                          <w:spacing w:before="20" w:line="266" w:lineRule="exact"/>
                          <w:ind w:left="1878" w:right="1869"/>
                          <w:jc w:val="center"/>
                          <w:rPr>
                            <w:sz w:val="21"/>
                          </w:rPr>
                        </w:pPr>
                        <w:r>
                          <w:rPr>
                            <w:sz w:val="21"/>
                          </w:rPr>
                          <w:t>4</w:t>
                        </w:r>
                        <w:r>
                          <w:rPr>
                            <w:spacing w:val="-32"/>
                            <w:sz w:val="21"/>
                          </w:rPr>
                          <w:t xml:space="preserve"> 台</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3.</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3"/>
                            <w:sz w:val="21"/>
                          </w:rPr>
                          <w:t>控制轴数</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四轴四联动</w:t>
                        </w:r>
                      </w:p>
                    </w:tc>
                  </w:tr>
                  <w:tr>
                    <w:tblPrEx>
                      <w:tblW w:w="0" w:type="auto"/>
                      <w:jc w:val="left"/>
                      <w:tblInd w:w="5" w:type="dxa"/>
                      <w:tblLayout w:type="fixed"/>
                      <w:tblCellMar>
                        <w:top w:w="0" w:type="dxa"/>
                        <w:left w:w="0" w:type="dxa"/>
                        <w:bottom w:w="0" w:type="dxa"/>
                        <w:right w:w="0" w:type="dxa"/>
                      </w:tblCellMar>
                      <w:tblLook w:val="01E0"/>
                    </w:tblPrEx>
                    <w:trPr>
                      <w:trHeight w:val="294"/>
                      <w:jc w:val="left"/>
                    </w:trPr>
                    <w:tc>
                      <w:tcPr>
                        <w:tcW w:w="1032" w:type="dxa"/>
                        <w:tcBorders>
                          <w:right w:val="dashed" w:sz="4" w:space="0" w:color="000000"/>
                        </w:tcBorders>
                      </w:tcPr>
                      <w:p>
                        <w:pPr>
                          <w:pStyle w:val="TableParagraph"/>
                          <w:spacing w:before="14" w:line="260" w:lineRule="exact"/>
                          <w:ind w:left="303"/>
                          <w:rPr>
                            <w:sz w:val="21"/>
                          </w:rPr>
                        </w:pPr>
                        <w:r>
                          <w:rPr>
                            <w:spacing w:val="-5"/>
                            <w:sz w:val="21"/>
                          </w:rPr>
                          <w:t>4.</w:t>
                        </w:r>
                      </w:p>
                    </w:tc>
                    <w:tc>
                      <w:tcPr>
                        <w:tcW w:w="3480" w:type="dxa"/>
                        <w:tcBorders>
                          <w:left w:val="dashed" w:sz="4" w:space="0" w:color="000000"/>
                          <w:right w:val="dashed" w:sz="4" w:space="0" w:color="000000"/>
                        </w:tcBorders>
                      </w:tcPr>
                      <w:p>
                        <w:pPr>
                          <w:pStyle w:val="TableParagraph"/>
                          <w:spacing w:before="14" w:line="260" w:lineRule="exact"/>
                          <w:ind w:left="27"/>
                          <w:rPr>
                            <w:sz w:val="21"/>
                          </w:rPr>
                        </w:pPr>
                        <w:r>
                          <w:rPr>
                            <w:spacing w:val="-1"/>
                            <w:sz w:val="21"/>
                          </w:rPr>
                          <w:t>主轴最高转速(无级)</w:t>
                        </w:r>
                      </w:p>
                    </w:tc>
                    <w:tc>
                      <w:tcPr>
                        <w:tcW w:w="4932" w:type="dxa"/>
                        <w:tcBorders>
                          <w:left w:val="dashed" w:sz="4" w:space="0" w:color="000000"/>
                        </w:tcBorders>
                      </w:tcPr>
                      <w:p>
                        <w:pPr>
                          <w:pStyle w:val="TableParagraph"/>
                          <w:spacing w:before="14" w:line="260" w:lineRule="exact"/>
                          <w:ind w:left="1879" w:right="1869"/>
                          <w:jc w:val="center"/>
                          <w:rPr>
                            <w:sz w:val="21"/>
                          </w:rPr>
                        </w:pPr>
                        <w:r>
                          <w:rPr>
                            <w:spacing w:val="-2"/>
                            <w:sz w:val="21"/>
                          </w:rPr>
                          <w:t>8000rpm</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5.</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3"/>
                            <w:sz w:val="21"/>
                          </w:rPr>
                          <w:t>工作台面</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1050×500</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6.</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2"/>
                            <w:sz w:val="21"/>
                          </w:rPr>
                          <w:t>工作台承重</w:t>
                        </w:r>
                      </w:p>
                    </w:tc>
                    <w:tc>
                      <w:tcPr>
                        <w:tcW w:w="4932" w:type="dxa"/>
                        <w:tcBorders>
                          <w:left w:val="dashed" w:sz="4" w:space="0" w:color="000000"/>
                        </w:tcBorders>
                      </w:tcPr>
                      <w:p>
                        <w:pPr>
                          <w:pStyle w:val="TableParagraph"/>
                          <w:spacing w:before="20" w:line="266" w:lineRule="exact"/>
                          <w:ind w:left="1879" w:right="1869"/>
                          <w:jc w:val="center"/>
                          <w:rPr>
                            <w:sz w:val="21"/>
                          </w:rPr>
                        </w:pPr>
                        <w:r>
                          <w:rPr>
                            <w:sz w:val="21"/>
                          </w:rPr>
                          <w:t xml:space="preserve">600 </w:t>
                        </w:r>
                        <w:r>
                          <w:rPr>
                            <w:spacing w:val="-5"/>
                            <w:sz w:val="21"/>
                          </w:rPr>
                          <w:t>Kg</w:t>
                        </w:r>
                      </w:p>
                    </w:tc>
                  </w:tr>
                  <w:tr>
                    <w:tblPrEx>
                      <w:tblW w:w="0" w:type="auto"/>
                      <w:jc w:val="left"/>
                      <w:tblInd w:w="5" w:type="dxa"/>
                      <w:tblLayout w:type="fixed"/>
                      <w:tblCellMar>
                        <w:top w:w="0" w:type="dxa"/>
                        <w:left w:w="0" w:type="dxa"/>
                        <w:bottom w:w="0" w:type="dxa"/>
                        <w:right w:w="0" w:type="dxa"/>
                      </w:tblCellMar>
                      <w:tblLook w:val="01E0"/>
                    </w:tblPrEx>
                    <w:trPr>
                      <w:trHeight w:val="333"/>
                      <w:jc w:val="left"/>
                    </w:trPr>
                    <w:tc>
                      <w:tcPr>
                        <w:tcW w:w="1032" w:type="dxa"/>
                        <w:tcBorders>
                          <w:right w:val="dashed" w:sz="4" w:space="0" w:color="000000"/>
                        </w:tcBorders>
                      </w:tcPr>
                      <w:p>
                        <w:pPr>
                          <w:pStyle w:val="TableParagraph"/>
                          <w:spacing w:before="33"/>
                          <w:ind w:left="303"/>
                          <w:rPr>
                            <w:sz w:val="21"/>
                          </w:rPr>
                        </w:pPr>
                        <w:r>
                          <w:rPr>
                            <w:spacing w:val="-5"/>
                            <w:sz w:val="21"/>
                          </w:rPr>
                          <w:t>7.</w:t>
                        </w:r>
                      </w:p>
                    </w:tc>
                    <w:tc>
                      <w:tcPr>
                        <w:tcW w:w="3480" w:type="dxa"/>
                        <w:tcBorders>
                          <w:left w:val="dashed" w:sz="4" w:space="0" w:color="000000"/>
                          <w:right w:val="dashed" w:sz="4" w:space="0" w:color="000000"/>
                        </w:tcBorders>
                      </w:tcPr>
                      <w:p>
                        <w:pPr>
                          <w:pStyle w:val="TableParagraph"/>
                          <w:spacing w:before="33"/>
                          <w:ind w:left="27"/>
                          <w:rPr>
                            <w:sz w:val="21"/>
                          </w:rPr>
                        </w:pPr>
                        <w:r>
                          <w:rPr>
                            <w:spacing w:val="-10"/>
                            <w:sz w:val="21"/>
                          </w:rPr>
                          <w:t>主轴端面至工作台面距离</w:t>
                        </w:r>
                      </w:p>
                    </w:tc>
                    <w:tc>
                      <w:tcPr>
                        <w:tcW w:w="4932" w:type="dxa"/>
                        <w:tcBorders>
                          <w:left w:val="dashed" w:sz="4" w:space="0" w:color="000000"/>
                        </w:tcBorders>
                      </w:tcPr>
                      <w:p>
                        <w:pPr>
                          <w:pStyle w:val="TableParagraph"/>
                          <w:spacing w:before="14" w:line="299" w:lineRule="exact"/>
                          <w:ind w:left="1879" w:right="1869"/>
                          <w:jc w:val="center"/>
                          <w:rPr>
                            <w:sz w:val="24"/>
                          </w:rPr>
                        </w:pPr>
                        <w:r>
                          <w:rPr>
                            <w:sz w:val="24"/>
                          </w:rPr>
                          <w:t>150-</w:t>
                        </w:r>
                        <w:r>
                          <w:rPr>
                            <w:spacing w:val="-2"/>
                            <w:sz w:val="24"/>
                          </w:rPr>
                          <w:t>750mm</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8.</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color w:val="0B0B0B"/>
                            <w:spacing w:val="-1"/>
                            <w:sz w:val="21"/>
                          </w:rPr>
                          <w:t>主轴中心至立柱的导轨面距离</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600mm</w:t>
                        </w:r>
                      </w:p>
                    </w:tc>
                  </w:tr>
                  <w:tr>
                    <w:tblPrEx>
                      <w:tblW w:w="0" w:type="auto"/>
                      <w:jc w:val="left"/>
                      <w:tblInd w:w="5" w:type="dxa"/>
                      <w:tblLayout w:type="fixed"/>
                      <w:tblCellMar>
                        <w:top w:w="0" w:type="dxa"/>
                        <w:left w:w="0" w:type="dxa"/>
                        <w:bottom w:w="0" w:type="dxa"/>
                        <w:right w:w="0" w:type="dxa"/>
                      </w:tblCellMar>
                      <w:tblLook w:val="01E0"/>
                    </w:tblPrEx>
                    <w:trPr>
                      <w:trHeight w:val="294"/>
                      <w:jc w:val="left"/>
                    </w:trPr>
                    <w:tc>
                      <w:tcPr>
                        <w:tcW w:w="1032" w:type="dxa"/>
                        <w:tcBorders>
                          <w:right w:val="dashed" w:sz="4" w:space="0" w:color="000000"/>
                        </w:tcBorders>
                      </w:tcPr>
                      <w:p>
                        <w:pPr>
                          <w:pStyle w:val="TableParagraph"/>
                          <w:spacing w:before="14" w:line="260" w:lineRule="exact"/>
                          <w:ind w:left="303"/>
                          <w:rPr>
                            <w:sz w:val="21"/>
                          </w:rPr>
                        </w:pPr>
                        <w:r>
                          <w:rPr>
                            <w:spacing w:val="-5"/>
                            <w:sz w:val="21"/>
                          </w:rPr>
                          <w:t>9.</w:t>
                        </w:r>
                      </w:p>
                    </w:tc>
                    <w:tc>
                      <w:tcPr>
                        <w:tcW w:w="3480" w:type="dxa"/>
                        <w:tcBorders>
                          <w:left w:val="dashed" w:sz="4" w:space="0" w:color="000000"/>
                          <w:right w:val="dashed" w:sz="4" w:space="0" w:color="000000"/>
                        </w:tcBorders>
                      </w:tcPr>
                      <w:p>
                        <w:pPr>
                          <w:pStyle w:val="TableParagraph"/>
                          <w:spacing w:before="14" w:line="260" w:lineRule="exact"/>
                          <w:ind w:left="27"/>
                          <w:rPr>
                            <w:sz w:val="21"/>
                          </w:rPr>
                        </w:pPr>
                        <w:r>
                          <w:rPr>
                            <w:sz w:val="21"/>
                          </w:rPr>
                          <w:t>X/Y/Z</w:t>
                        </w:r>
                        <w:r>
                          <w:rPr>
                            <w:spacing w:val="-14"/>
                            <w:sz w:val="21"/>
                          </w:rPr>
                          <w:t xml:space="preserve"> 三向行程</w:t>
                        </w:r>
                      </w:p>
                    </w:tc>
                    <w:tc>
                      <w:tcPr>
                        <w:tcW w:w="4932" w:type="dxa"/>
                        <w:tcBorders>
                          <w:left w:val="dashed" w:sz="4" w:space="0" w:color="000000"/>
                        </w:tcBorders>
                      </w:tcPr>
                      <w:p>
                        <w:pPr>
                          <w:pStyle w:val="TableParagraph"/>
                          <w:spacing w:before="14" w:line="260" w:lineRule="exact"/>
                          <w:ind w:left="1879" w:right="1869"/>
                          <w:jc w:val="center"/>
                          <w:rPr>
                            <w:sz w:val="21"/>
                          </w:rPr>
                        </w:pPr>
                        <w:r>
                          <w:rPr>
                            <w:spacing w:val="-2"/>
                            <w:sz w:val="21"/>
                          </w:rPr>
                          <w:t>800/500/600</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10.</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z w:val="21"/>
                          </w:rPr>
                          <w:t>X/Y/Z</w:t>
                        </w:r>
                        <w:r>
                          <w:rPr>
                            <w:spacing w:val="-9"/>
                            <w:sz w:val="21"/>
                          </w:rPr>
                          <w:t xml:space="preserve"> 三向快速移动速度</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30m/min</w:t>
                        </w:r>
                      </w:p>
                    </w:tc>
                  </w:tr>
                  <w:tr>
                    <w:tblPrEx>
                      <w:tblW w:w="0" w:type="auto"/>
                      <w:jc w:val="left"/>
                      <w:tblInd w:w="5" w:type="dxa"/>
                      <w:tblLayout w:type="fixed"/>
                      <w:tblCellMar>
                        <w:top w:w="0" w:type="dxa"/>
                        <w:left w:w="0" w:type="dxa"/>
                        <w:bottom w:w="0" w:type="dxa"/>
                        <w:right w:w="0" w:type="dxa"/>
                      </w:tblCellMar>
                      <w:tblLook w:val="01E0"/>
                    </w:tblPrEx>
                    <w:trPr>
                      <w:trHeight w:val="306"/>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11.</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z w:val="21"/>
                          </w:rPr>
                          <w:t>X/Y/Z</w:t>
                        </w:r>
                        <w:r>
                          <w:rPr>
                            <w:spacing w:val="-9"/>
                            <w:sz w:val="21"/>
                          </w:rPr>
                          <w:t xml:space="preserve"> 三向切削进给速度</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20m/min</w:t>
                        </w:r>
                      </w:p>
                    </w:tc>
                  </w:tr>
                  <w:tr>
                    <w:tblPrEx>
                      <w:tblW w:w="0" w:type="auto"/>
                      <w:jc w:val="left"/>
                      <w:tblInd w:w="5" w:type="dxa"/>
                      <w:tblLayout w:type="fixed"/>
                      <w:tblCellMar>
                        <w:top w:w="0" w:type="dxa"/>
                        <w:left w:w="0" w:type="dxa"/>
                        <w:bottom w:w="0" w:type="dxa"/>
                        <w:right w:w="0" w:type="dxa"/>
                      </w:tblCellMar>
                      <w:tblLook w:val="01E0"/>
                    </w:tblPrEx>
                    <w:trPr>
                      <w:trHeight w:val="294"/>
                      <w:jc w:val="left"/>
                    </w:trPr>
                    <w:tc>
                      <w:tcPr>
                        <w:tcW w:w="1032" w:type="dxa"/>
                        <w:tcBorders>
                          <w:right w:val="dashed" w:sz="4" w:space="0" w:color="000000"/>
                        </w:tcBorders>
                      </w:tcPr>
                      <w:p>
                        <w:pPr>
                          <w:pStyle w:val="TableParagraph"/>
                          <w:spacing w:before="14" w:line="260" w:lineRule="exact"/>
                          <w:ind w:left="303"/>
                          <w:rPr>
                            <w:sz w:val="21"/>
                          </w:rPr>
                        </w:pPr>
                        <w:r>
                          <w:rPr>
                            <w:spacing w:val="-5"/>
                            <w:sz w:val="21"/>
                          </w:rPr>
                          <w:t>12.</w:t>
                        </w:r>
                      </w:p>
                    </w:tc>
                    <w:tc>
                      <w:tcPr>
                        <w:tcW w:w="3480" w:type="dxa"/>
                        <w:tcBorders>
                          <w:left w:val="dashed" w:sz="4" w:space="0" w:color="000000"/>
                          <w:right w:val="dashed" w:sz="4" w:space="0" w:color="000000"/>
                        </w:tcBorders>
                      </w:tcPr>
                      <w:p>
                        <w:pPr>
                          <w:pStyle w:val="TableParagraph"/>
                          <w:spacing w:before="14" w:line="260" w:lineRule="exact"/>
                          <w:ind w:left="27"/>
                          <w:rPr>
                            <w:sz w:val="21"/>
                          </w:rPr>
                        </w:pPr>
                        <w:r>
                          <w:rPr>
                            <w:sz w:val="21"/>
                          </w:rPr>
                          <w:t>X/Y/Z</w:t>
                        </w:r>
                        <w:r>
                          <w:rPr>
                            <w:spacing w:val="-9"/>
                            <w:sz w:val="21"/>
                          </w:rPr>
                          <w:t xml:space="preserve"> 三轴伺服电机功率</w:t>
                        </w:r>
                      </w:p>
                    </w:tc>
                    <w:tc>
                      <w:tcPr>
                        <w:tcW w:w="4932" w:type="dxa"/>
                        <w:tcBorders>
                          <w:left w:val="dashed" w:sz="4" w:space="0" w:color="000000"/>
                        </w:tcBorders>
                      </w:tcPr>
                      <w:p>
                        <w:pPr>
                          <w:pStyle w:val="TableParagraph"/>
                          <w:spacing w:before="14" w:line="260" w:lineRule="exact"/>
                          <w:ind w:left="1879" w:right="1869"/>
                          <w:jc w:val="center"/>
                          <w:rPr>
                            <w:sz w:val="21"/>
                          </w:rPr>
                        </w:pPr>
                        <w:r>
                          <w:rPr>
                            <w:spacing w:val="-2"/>
                            <w:sz w:val="21"/>
                          </w:rPr>
                          <w:t>3.8x3.8x3kw</w:t>
                        </w:r>
                      </w:p>
                    </w:tc>
                  </w:tr>
                  <w:tr>
                    <w:tblPrEx>
                      <w:tblW w:w="0" w:type="auto"/>
                      <w:jc w:val="left"/>
                      <w:tblInd w:w="5" w:type="dxa"/>
                      <w:tblLayout w:type="fixed"/>
                      <w:tblCellMar>
                        <w:top w:w="0" w:type="dxa"/>
                        <w:left w:w="0" w:type="dxa"/>
                        <w:bottom w:w="0" w:type="dxa"/>
                        <w:right w:w="0" w:type="dxa"/>
                      </w:tblCellMar>
                      <w:tblLook w:val="01E0"/>
                    </w:tblPrEx>
                    <w:trPr>
                      <w:trHeight w:val="333"/>
                      <w:jc w:val="left"/>
                    </w:trPr>
                    <w:tc>
                      <w:tcPr>
                        <w:tcW w:w="1032" w:type="dxa"/>
                        <w:tcBorders>
                          <w:right w:val="dashed" w:sz="4" w:space="0" w:color="000000"/>
                        </w:tcBorders>
                      </w:tcPr>
                      <w:p>
                        <w:pPr>
                          <w:pStyle w:val="TableParagraph"/>
                          <w:spacing w:before="33"/>
                          <w:ind w:left="303"/>
                          <w:rPr>
                            <w:sz w:val="21"/>
                          </w:rPr>
                        </w:pPr>
                        <w:r>
                          <w:rPr>
                            <w:spacing w:val="-5"/>
                            <w:sz w:val="21"/>
                          </w:rPr>
                          <w:t>13.</w:t>
                        </w:r>
                      </w:p>
                    </w:tc>
                    <w:tc>
                      <w:tcPr>
                        <w:tcW w:w="3480" w:type="dxa"/>
                        <w:tcBorders>
                          <w:left w:val="dashed" w:sz="4" w:space="0" w:color="000000"/>
                          <w:right w:val="dashed" w:sz="4" w:space="0" w:color="000000"/>
                        </w:tcBorders>
                      </w:tcPr>
                      <w:p>
                        <w:pPr>
                          <w:pStyle w:val="TableParagraph"/>
                          <w:spacing w:before="14" w:line="299" w:lineRule="exact"/>
                          <w:ind w:left="27"/>
                          <w:rPr>
                            <w:rFonts w:ascii="Arial" w:eastAsia="Arial"/>
                            <w:sz w:val="24"/>
                          </w:rPr>
                        </w:pPr>
                        <w:r>
                          <w:rPr>
                            <w:sz w:val="24"/>
                          </w:rPr>
                          <w:t>定位精度</w:t>
                        </w:r>
                        <w:r>
                          <w:rPr>
                            <w:rFonts w:ascii="Arial" w:eastAsia="Arial"/>
                            <w:spacing w:val="-2"/>
                            <w:sz w:val="24"/>
                          </w:rPr>
                          <w:t>(X/Y/Z)</w:t>
                        </w:r>
                      </w:p>
                    </w:tc>
                    <w:tc>
                      <w:tcPr>
                        <w:tcW w:w="4932" w:type="dxa"/>
                        <w:tcBorders>
                          <w:left w:val="dashed" w:sz="4" w:space="0" w:color="000000"/>
                        </w:tcBorders>
                      </w:tcPr>
                      <w:p>
                        <w:pPr>
                          <w:pStyle w:val="TableParagraph"/>
                          <w:spacing w:before="33"/>
                          <w:ind w:left="1468"/>
                          <w:rPr>
                            <w:sz w:val="21"/>
                          </w:rPr>
                        </w:pPr>
                        <w:r>
                          <w:rPr>
                            <w:spacing w:val="-2"/>
                            <w:sz w:val="21"/>
                          </w:rPr>
                          <w:t>≤0.010/0.010/0.010</w:t>
                        </w:r>
                      </w:p>
                    </w:tc>
                  </w:tr>
                  <w:tr>
                    <w:tblPrEx>
                      <w:tblW w:w="0" w:type="auto"/>
                      <w:jc w:val="left"/>
                      <w:tblInd w:w="5" w:type="dxa"/>
                      <w:tblLayout w:type="fixed"/>
                      <w:tblCellMar>
                        <w:top w:w="0" w:type="dxa"/>
                        <w:left w:w="0" w:type="dxa"/>
                        <w:bottom w:w="0" w:type="dxa"/>
                        <w:right w:w="0" w:type="dxa"/>
                      </w:tblCellMar>
                      <w:tblLook w:val="01E0"/>
                    </w:tblPrEx>
                    <w:trPr>
                      <w:trHeight w:val="333"/>
                      <w:jc w:val="left"/>
                    </w:trPr>
                    <w:tc>
                      <w:tcPr>
                        <w:tcW w:w="1032" w:type="dxa"/>
                        <w:tcBorders>
                          <w:right w:val="dashed" w:sz="4" w:space="0" w:color="000000"/>
                        </w:tcBorders>
                      </w:tcPr>
                      <w:p>
                        <w:pPr>
                          <w:pStyle w:val="TableParagraph"/>
                          <w:spacing w:before="33"/>
                          <w:ind w:left="303"/>
                          <w:rPr>
                            <w:sz w:val="21"/>
                          </w:rPr>
                        </w:pPr>
                        <w:r>
                          <w:rPr>
                            <w:spacing w:val="-5"/>
                            <w:sz w:val="21"/>
                          </w:rPr>
                          <w:t>14.</w:t>
                        </w:r>
                      </w:p>
                    </w:tc>
                    <w:tc>
                      <w:tcPr>
                        <w:tcW w:w="3480" w:type="dxa"/>
                        <w:tcBorders>
                          <w:left w:val="dashed" w:sz="4" w:space="0" w:color="000000"/>
                          <w:right w:val="dashed" w:sz="4" w:space="0" w:color="000000"/>
                        </w:tcBorders>
                      </w:tcPr>
                      <w:p>
                        <w:pPr>
                          <w:pStyle w:val="TableParagraph"/>
                          <w:spacing w:before="14" w:line="299" w:lineRule="exact"/>
                          <w:ind w:left="27"/>
                          <w:rPr>
                            <w:rFonts w:ascii="Arial" w:eastAsia="Arial"/>
                            <w:sz w:val="24"/>
                          </w:rPr>
                        </w:pPr>
                        <w:r>
                          <w:rPr>
                            <w:sz w:val="24"/>
                          </w:rPr>
                          <w:t>重复定位精度</w:t>
                        </w:r>
                        <w:r>
                          <w:rPr>
                            <w:rFonts w:ascii="Arial" w:eastAsia="Arial"/>
                            <w:spacing w:val="-2"/>
                            <w:sz w:val="24"/>
                          </w:rPr>
                          <w:t>(X/Y/Z)</w:t>
                        </w:r>
                      </w:p>
                    </w:tc>
                    <w:tc>
                      <w:tcPr>
                        <w:tcW w:w="4932" w:type="dxa"/>
                        <w:tcBorders>
                          <w:left w:val="dashed" w:sz="4" w:space="0" w:color="000000"/>
                        </w:tcBorders>
                      </w:tcPr>
                      <w:p>
                        <w:pPr>
                          <w:pStyle w:val="TableParagraph"/>
                          <w:spacing w:before="33"/>
                          <w:ind w:left="1468"/>
                          <w:rPr>
                            <w:sz w:val="21"/>
                          </w:rPr>
                        </w:pPr>
                        <w:r>
                          <w:rPr>
                            <w:spacing w:val="-2"/>
                            <w:sz w:val="21"/>
                          </w:rPr>
                          <w:t>≤0.006/0.006/0.006</w:t>
                        </w:r>
                      </w:p>
                    </w:tc>
                  </w:tr>
                  <w:tr>
                    <w:tblPrEx>
                      <w:tblW w:w="0" w:type="auto"/>
                      <w:jc w:val="left"/>
                      <w:tblInd w:w="5" w:type="dxa"/>
                      <w:tblLayout w:type="fixed"/>
                      <w:tblCellMar>
                        <w:top w:w="0" w:type="dxa"/>
                        <w:left w:w="0" w:type="dxa"/>
                        <w:bottom w:w="0" w:type="dxa"/>
                        <w:right w:w="0" w:type="dxa"/>
                      </w:tblCellMar>
                      <w:tblLook w:val="01E0"/>
                    </w:tblPrEx>
                    <w:trPr>
                      <w:trHeight w:val="294"/>
                      <w:jc w:val="left"/>
                    </w:trPr>
                    <w:tc>
                      <w:tcPr>
                        <w:tcW w:w="1032" w:type="dxa"/>
                        <w:tcBorders>
                          <w:right w:val="dashed" w:sz="4" w:space="0" w:color="000000"/>
                        </w:tcBorders>
                      </w:tcPr>
                      <w:p>
                        <w:pPr>
                          <w:pStyle w:val="TableParagraph"/>
                          <w:spacing w:before="14" w:line="260" w:lineRule="exact"/>
                          <w:ind w:left="303"/>
                          <w:rPr>
                            <w:sz w:val="21"/>
                          </w:rPr>
                        </w:pPr>
                        <w:r>
                          <w:rPr>
                            <w:spacing w:val="-5"/>
                            <w:sz w:val="21"/>
                          </w:rPr>
                          <w:t>15.</w:t>
                        </w:r>
                      </w:p>
                    </w:tc>
                    <w:tc>
                      <w:tcPr>
                        <w:tcW w:w="3480" w:type="dxa"/>
                        <w:tcBorders>
                          <w:left w:val="dashed" w:sz="4" w:space="0" w:color="000000"/>
                          <w:right w:val="dashed" w:sz="4" w:space="0" w:color="000000"/>
                        </w:tcBorders>
                      </w:tcPr>
                      <w:p>
                        <w:pPr>
                          <w:pStyle w:val="TableParagraph"/>
                          <w:spacing w:before="14" w:line="260" w:lineRule="exact"/>
                          <w:ind w:left="27"/>
                          <w:rPr>
                            <w:sz w:val="21"/>
                          </w:rPr>
                        </w:pPr>
                        <w:r>
                          <w:rPr>
                            <w:spacing w:val="-2"/>
                            <w:sz w:val="21"/>
                          </w:rPr>
                          <w:t>主轴电机功率</w:t>
                        </w:r>
                      </w:p>
                    </w:tc>
                    <w:tc>
                      <w:tcPr>
                        <w:tcW w:w="4932" w:type="dxa"/>
                        <w:tcBorders>
                          <w:left w:val="dashed" w:sz="4" w:space="0" w:color="000000"/>
                        </w:tcBorders>
                      </w:tcPr>
                      <w:p>
                        <w:pPr>
                          <w:pStyle w:val="TableParagraph"/>
                          <w:spacing w:before="14" w:line="260" w:lineRule="exact"/>
                          <w:ind w:left="1879" w:right="1869"/>
                          <w:jc w:val="center"/>
                          <w:rPr>
                            <w:sz w:val="21"/>
                          </w:rPr>
                        </w:pPr>
                        <w:r>
                          <w:rPr>
                            <w:spacing w:val="-2"/>
                            <w:sz w:val="21"/>
                          </w:rPr>
                          <w:t>7.5/11kw</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16.</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11"/>
                            <w:sz w:val="21"/>
                          </w:rPr>
                          <w:t xml:space="preserve">换刀时间 </w:t>
                        </w:r>
                        <w:r>
                          <w:rPr>
                            <w:sz w:val="21"/>
                          </w:rPr>
                          <w:t>T-</w:t>
                        </w:r>
                        <w:r>
                          <w:rPr>
                            <w:spacing w:val="-10"/>
                            <w:sz w:val="21"/>
                          </w:rPr>
                          <w:t>T</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4"/>
                            <w:sz w:val="21"/>
                          </w:rPr>
                          <w:t>2.5s</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17.</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2"/>
                            <w:sz w:val="21"/>
                          </w:rPr>
                          <w:t>第四轴回转工作台</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4"/>
                            <w:sz w:val="21"/>
                          </w:rPr>
                          <w:t>Φ250</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Borders>
                          <w:right w:val="dashed" w:sz="4" w:space="0" w:color="000000"/>
                        </w:tcBorders>
                      </w:tcPr>
                      <w:p>
                        <w:pPr>
                          <w:pStyle w:val="TableParagraph"/>
                          <w:spacing w:before="20" w:line="266" w:lineRule="exact"/>
                          <w:ind w:left="303"/>
                          <w:rPr>
                            <w:sz w:val="21"/>
                          </w:rPr>
                        </w:pPr>
                        <w:r>
                          <w:rPr>
                            <w:spacing w:val="-5"/>
                            <w:sz w:val="21"/>
                          </w:rPr>
                          <w:t>18.</w:t>
                        </w:r>
                      </w:p>
                    </w:tc>
                    <w:tc>
                      <w:tcPr>
                        <w:tcW w:w="3480" w:type="dxa"/>
                        <w:tcBorders>
                          <w:left w:val="dashed" w:sz="4" w:space="0" w:color="000000"/>
                          <w:right w:val="dashed" w:sz="4" w:space="0" w:color="000000"/>
                        </w:tcBorders>
                      </w:tcPr>
                      <w:p>
                        <w:pPr>
                          <w:pStyle w:val="TableParagraph"/>
                          <w:spacing w:before="20" w:line="266" w:lineRule="exact"/>
                          <w:ind w:left="27"/>
                          <w:rPr>
                            <w:sz w:val="21"/>
                          </w:rPr>
                        </w:pPr>
                        <w:r>
                          <w:rPr>
                            <w:spacing w:val="-3"/>
                            <w:sz w:val="21"/>
                          </w:rPr>
                          <w:t>机床重量</w:t>
                        </w:r>
                      </w:p>
                    </w:tc>
                    <w:tc>
                      <w:tcPr>
                        <w:tcW w:w="4932" w:type="dxa"/>
                        <w:tcBorders>
                          <w:left w:val="dashed" w:sz="4" w:space="0" w:color="000000"/>
                        </w:tcBorders>
                      </w:tcPr>
                      <w:p>
                        <w:pPr>
                          <w:pStyle w:val="TableParagraph"/>
                          <w:spacing w:before="20" w:line="266" w:lineRule="exact"/>
                          <w:ind w:left="1879" w:right="1869"/>
                          <w:jc w:val="center"/>
                          <w:rPr>
                            <w:sz w:val="21"/>
                          </w:rPr>
                        </w:pPr>
                        <w:r>
                          <w:rPr>
                            <w:spacing w:val="-2"/>
                            <w:sz w:val="21"/>
                          </w:rPr>
                          <w:t>≥5800kg</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Pr>
                      <w:p>
                        <w:pPr>
                          <w:pStyle w:val="TableParagraph"/>
                          <w:spacing w:before="20" w:line="266" w:lineRule="exact"/>
                          <w:ind w:left="303"/>
                          <w:rPr>
                            <w:sz w:val="21"/>
                          </w:rPr>
                        </w:pPr>
                        <w:r>
                          <w:rPr>
                            <w:spacing w:val="-5"/>
                            <w:sz w:val="21"/>
                          </w:rPr>
                          <w:t>19.</w:t>
                        </w:r>
                      </w:p>
                    </w:tc>
                    <w:tc>
                      <w:tcPr>
                        <w:tcW w:w="3480" w:type="dxa"/>
                        <w:vMerge w:val="restart"/>
                      </w:tcPr>
                      <w:p>
                        <w:pPr>
                          <w:pStyle w:val="TableParagraph"/>
                          <w:spacing w:before="5"/>
                          <w:rPr>
                            <w:rFonts w:ascii="微软雅黑"/>
                            <w:b/>
                            <w:sz w:val="25"/>
                          </w:rPr>
                        </w:pPr>
                      </w:p>
                      <w:p>
                        <w:pPr>
                          <w:pStyle w:val="TableParagraph"/>
                          <w:ind w:left="27"/>
                          <w:rPr>
                            <w:sz w:val="21"/>
                          </w:rPr>
                        </w:pPr>
                        <w:r>
                          <w:rPr>
                            <w:spacing w:val="-3"/>
                            <w:sz w:val="21"/>
                          </w:rPr>
                          <w:t>检验标准</w:t>
                        </w:r>
                      </w:p>
                    </w:tc>
                    <w:tc>
                      <w:tcPr>
                        <w:tcW w:w="4932" w:type="dxa"/>
                      </w:tcPr>
                      <w:p>
                        <w:pPr>
                          <w:pStyle w:val="TableParagraph"/>
                          <w:spacing w:before="20" w:line="266" w:lineRule="exact"/>
                          <w:ind w:left="28"/>
                          <w:rPr>
                            <w:sz w:val="21"/>
                          </w:rPr>
                        </w:pPr>
                        <w:r>
                          <w:rPr>
                            <w:spacing w:val="-5"/>
                            <w:sz w:val="21"/>
                          </w:rPr>
                          <w:t xml:space="preserve">立加几何精度检验标准 </w:t>
                        </w:r>
                        <w:r>
                          <w:rPr>
                            <w:sz w:val="21"/>
                          </w:rPr>
                          <w:t>GB/T 20957.2-</w:t>
                        </w:r>
                        <w:r>
                          <w:rPr>
                            <w:spacing w:val="-4"/>
                            <w:sz w:val="21"/>
                          </w:rPr>
                          <w:t>2007</w:t>
                        </w:r>
                      </w:p>
                    </w:tc>
                  </w:tr>
                  <w:tr>
                    <w:tblPrEx>
                      <w:tblW w:w="0" w:type="auto"/>
                      <w:jc w:val="left"/>
                      <w:tblInd w:w="5" w:type="dxa"/>
                      <w:tblLayout w:type="fixed"/>
                      <w:tblCellMar>
                        <w:top w:w="0" w:type="dxa"/>
                        <w:left w:w="0" w:type="dxa"/>
                        <w:bottom w:w="0" w:type="dxa"/>
                        <w:right w:w="0" w:type="dxa"/>
                      </w:tblCellMar>
                      <w:tblLook w:val="01E0"/>
                    </w:tblPrEx>
                    <w:trPr>
                      <w:trHeight w:val="305"/>
                      <w:jc w:val="left"/>
                    </w:trPr>
                    <w:tc>
                      <w:tcPr>
                        <w:tcW w:w="1032" w:type="dxa"/>
                      </w:tcPr>
                      <w:p>
                        <w:pPr>
                          <w:pStyle w:val="TableParagraph"/>
                          <w:spacing w:before="20" w:line="266" w:lineRule="exact"/>
                          <w:ind w:left="303"/>
                          <w:rPr>
                            <w:sz w:val="21"/>
                          </w:rPr>
                        </w:pPr>
                        <w:r>
                          <w:rPr>
                            <w:spacing w:val="-5"/>
                            <w:sz w:val="21"/>
                          </w:rPr>
                          <w:t>20.</w:t>
                        </w:r>
                      </w:p>
                    </w:tc>
                    <w:tc>
                      <w:tcPr>
                        <w:tcW w:w="3480" w:type="dxa"/>
                        <w:vMerge/>
                        <w:tcBorders>
                          <w:top w:val="nil"/>
                        </w:tcBorders>
                      </w:tcPr>
                      <w:p>
                        <w:pPr>
                          <w:rPr>
                            <w:sz w:val="2"/>
                            <w:szCs w:val="2"/>
                          </w:rPr>
                        </w:pPr>
                      </w:p>
                    </w:tc>
                    <w:tc>
                      <w:tcPr>
                        <w:tcW w:w="4932" w:type="dxa"/>
                      </w:tcPr>
                      <w:p>
                        <w:pPr>
                          <w:pStyle w:val="TableParagraph"/>
                          <w:spacing w:before="20" w:line="266" w:lineRule="exact"/>
                          <w:ind w:left="28"/>
                          <w:rPr>
                            <w:sz w:val="21"/>
                          </w:rPr>
                        </w:pPr>
                        <w:r>
                          <w:rPr>
                            <w:spacing w:val="-5"/>
                            <w:sz w:val="21"/>
                          </w:rPr>
                          <w:t xml:space="preserve">立加工作精度检验标准 </w:t>
                        </w:r>
                        <w:r>
                          <w:rPr>
                            <w:sz w:val="21"/>
                          </w:rPr>
                          <w:t>GB/T 20957.2-</w:t>
                        </w:r>
                        <w:r>
                          <w:rPr>
                            <w:spacing w:val="-4"/>
                            <w:sz w:val="21"/>
                          </w:rPr>
                          <w:t>2007</w:t>
                        </w:r>
                      </w:p>
                    </w:tc>
                  </w:tr>
                  <w:tr>
                    <w:tblPrEx>
                      <w:tblW w:w="0" w:type="auto"/>
                      <w:jc w:val="left"/>
                      <w:tblInd w:w="5" w:type="dxa"/>
                      <w:tblLayout w:type="fixed"/>
                      <w:tblCellMar>
                        <w:top w:w="0" w:type="dxa"/>
                        <w:left w:w="0" w:type="dxa"/>
                        <w:bottom w:w="0" w:type="dxa"/>
                        <w:right w:w="0" w:type="dxa"/>
                      </w:tblCellMar>
                      <w:tblLook w:val="01E0"/>
                    </w:tblPrEx>
                    <w:trPr>
                      <w:trHeight w:val="566"/>
                      <w:jc w:val="left"/>
                    </w:trPr>
                    <w:tc>
                      <w:tcPr>
                        <w:tcW w:w="1032" w:type="dxa"/>
                      </w:tcPr>
                      <w:p>
                        <w:pPr>
                          <w:pStyle w:val="TableParagraph"/>
                          <w:spacing w:before="150"/>
                          <w:ind w:left="303"/>
                          <w:rPr>
                            <w:sz w:val="21"/>
                          </w:rPr>
                        </w:pPr>
                        <w:r>
                          <w:rPr>
                            <w:spacing w:val="-5"/>
                            <w:sz w:val="21"/>
                          </w:rPr>
                          <w:t>21.</w:t>
                        </w:r>
                      </w:p>
                    </w:tc>
                    <w:tc>
                      <w:tcPr>
                        <w:tcW w:w="3480" w:type="dxa"/>
                        <w:vMerge/>
                        <w:tcBorders>
                          <w:top w:val="nil"/>
                        </w:tcBorders>
                      </w:tcPr>
                      <w:p>
                        <w:pPr>
                          <w:rPr>
                            <w:sz w:val="2"/>
                            <w:szCs w:val="2"/>
                          </w:rPr>
                        </w:pPr>
                      </w:p>
                    </w:tc>
                    <w:tc>
                      <w:tcPr>
                        <w:tcW w:w="4932" w:type="dxa"/>
                      </w:tcPr>
                      <w:p>
                        <w:pPr>
                          <w:pStyle w:val="TableParagraph"/>
                          <w:spacing w:before="6" w:line="270" w:lineRule="atLeast"/>
                          <w:ind w:left="28" w:right="16"/>
                          <w:rPr>
                            <w:sz w:val="21"/>
                          </w:rPr>
                        </w:pPr>
                        <w:r>
                          <w:rPr>
                            <w:spacing w:val="41"/>
                            <w:sz w:val="21"/>
                          </w:rPr>
                          <w:t xml:space="preserve">立加定位精度和重复定位精度检验标准 </w:t>
                        </w:r>
                        <w:r>
                          <w:rPr>
                            <w:sz w:val="21"/>
                          </w:rPr>
                          <w:t xml:space="preserve">GB/T </w:t>
                        </w:r>
                        <w:r>
                          <w:rPr>
                            <w:spacing w:val="-2"/>
                            <w:sz w:val="21"/>
                          </w:rPr>
                          <w:t>20957.4-2007</w:t>
                        </w:r>
                      </w:p>
                    </w:tc>
                  </w:tr>
                </w:tbl>
                <w:p>
                  <w:pPr>
                    <w:pStyle w:val="BodyText"/>
                  </w:pPr>
                </w:p>
              </w:txbxContent>
            </v:textbox>
          </v:shape>
        </w:pict>
      </w:r>
      <w:r>
        <w:rPr>
          <w:rFonts w:ascii="微软雅黑" w:eastAsia="微软雅黑"/>
          <w:b/>
          <w:spacing w:val="-4"/>
          <w:sz w:val="21"/>
        </w:rPr>
        <w:t>2</w:t>
      </w:r>
      <w:r>
        <w:rPr>
          <w:rFonts w:ascii="微软雅黑" w:eastAsia="微软雅黑"/>
          <w:b/>
          <w:spacing w:val="-5"/>
          <w:sz w:val="21"/>
        </w:rPr>
        <w:t>、机床主要技术参数：</w:t>
      </w: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rPr>
          <w:rFonts w:ascii="微软雅黑"/>
          <w:b/>
          <w:sz w:val="20"/>
        </w:rPr>
      </w:pPr>
    </w:p>
    <w:p>
      <w:pPr>
        <w:pStyle w:val="BodyText"/>
        <w:spacing w:before="12"/>
        <w:rPr>
          <w:rFonts w:ascii="微软雅黑"/>
          <w:b/>
        </w:rPr>
      </w:pPr>
    </w:p>
    <w:p>
      <w:pPr>
        <w:spacing w:before="1"/>
        <w:ind w:left="254" w:right="0" w:firstLine="0"/>
        <w:jc w:val="left"/>
        <w:rPr>
          <w:rFonts w:ascii="微软雅黑" w:eastAsia="微软雅黑"/>
          <w:b/>
          <w:sz w:val="21"/>
        </w:rPr>
      </w:pPr>
      <w:r>
        <w:pict>
          <v:shape id="_x0000_s1027" type="#_x0000_t202" style="width:473.7pt;height:115.2pt;margin-top:16.86pt;margin-left:69.15pt;mso-position-horizontal-relative:page;position:absolute;z-index:251660288" filled="f" stroked="f">
            <v:textbox inset="0,0,0,0">
              <w:txbxContent>
                <w:tbl>
                  <w:tblPr>
                    <w:tblStyle w:val="TableNormal3"/>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4"/>
                    <w:gridCol w:w="2396"/>
                    <w:gridCol w:w="2505"/>
                    <w:gridCol w:w="3539"/>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301"/>
                          <w:rPr>
                            <w:sz w:val="21"/>
                          </w:rPr>
                        </w:pPr>
                        <w:r>
                          <w:rPr>
                            <w:spacing w:val="-5"/>
                            <w:sz w:val="21"/>
                          </w:rPr>
                          <w:t>序号</w:t>
                        </w:r>
                      </w:p>
                    </w:tc>
                    <w:tc>
                      <w:tcPr>
                        <w:tcW w:w="2396" w:type="dxa"/>
                      </w:tcPr>
                      <w:p>
                        <w:pPr>
                          <w:pStyle w:val="TableParagraph"/>
                          <w:spacing w:before="26"/>
                          <w:ind w:left="265" w:right="255"/>
                          <w:jc w:val="center"/>
                          <w:rPr>
                            <w:sz w:val="21"/>
                          </w:rPr>
                        </w:pPr>
                        <w:r>
                          <w:rPr>
                            <w:spacing w:val="-5"/>
                            <w:sz w:val="21"/>
                          </w:rPr>
                          <w:t>项目</w:t>
                        </w:r>
                      </w:p>
                    </w:tc>
                    <w:tc>
                      <w:tcPr>
                        <w:tcW w:w="2505" w:type="dxa"/>
                      </w:tcPr>
                      <w:p>
                        <w:pPr>
                          <w:pStyle w:val="TableParagraph"/>
                          <w:spacing w:before="26"/>
                          <w:ind w:left="727"/>
                          <w:rPr>
                            <w:sz w:val="21"/>
                          </w:rPr>
                        </w:pPr>
                        <w:r>
                          <w:rPr>
                            <w:spacing w:val="-2"/>
                            <w:sz w:val="21"/>
                          </w:rPr>
                          <w:t>精度、规格</w:t>
                        </w:r>
                      </w:p>
                    </w:tc>
                    <w:tc>
                      <w:tcPr>
                        <w:tcW w:w="3539" w:type="dxa"/>
                      </w:tcPr>
                      <w:p>
                        <w:pPr>
                          <w:pStyle w:val="TableParagraph"/>
                          <w:spacing w:before="26"/>
                          <w:ind w:left="1034"/>
                          <w:rPr>
                            <w:sz w:val="21"/>
                          </w:rPr>
                        </w:pPr>
                        <w:r>
                          <w:rPr>
                            <w:spacing w:val="-2"/>
                            <w:sz w:val="21"/>
                          </w:rPr>
                          <w:t>参考品牌或厂家</w:t>
                        </w:r>
                      </w:p>
                    </w:tc>
                  </w:tr>
                  <w:tr>
                    <w:tblPrEx>
                      <w:tblW w:w="0" w:type="auto"/>
                      <w:jc w:val="left"/>
                      <w:tblInd w:w="5" w:type="dxa"/>
                      <w:tblLayout w:type="fixed"/>
                      <w:tblCellMar>
                        <w:top w:w="0" w:type="dxa"/>
                        <w:left w:w="0" w:type="dxa"/>
                        <w:bottom w:w="0" w:type="dxa"/>
                        <w:right w:w="0" w:type="dxa"/>
                      </w:tblCellMar>
                      <w:tblLook w:val="01E0"/>
                    </w:tblPrEx>
                    <w:trPr>
                      <w:trHeight w:val="544"/>
                      <w:jc w:val="left"/>
                    </w:trPr>
                    <w:tc>
                      <w:tcPr>
                        <w:tcW w:w="1024" w:type="dxa"/>
                      </w:tcPr>
                      <w:p>
                        <w:pPr>
                          <w:pStyle w:val="TableParagraph"/>
                          <w:spacing w:before="139"/>
                          <w:ind w:left="299"/>
                          <w:rPr>
                            <w:sz w:val="21"/>
                          </w:rPr>
                        </w:pPr>
                        <w:r>
                          <w:rPr>
                            <w:spacing w:val="-5"/>
                            <w:sz w:val="21"/>
                          </w:rPr>
                          <w:t>1.</w:t>
                        </w:r>
                      </w:p>
                    </w:tc>
                    <w:tc>
                      <w:tcPr>
                        <w:tcW w:w="2396" w:type="dxa"/>
                      </w:tcPr>
                      <w:p>
                        <w:pPr>
                          <w:pStyle w:val="TableParagraph"/>
                          <w:spacing w:before="72"/>
                          <w:ind w:left="265" w:right="255"/>
                          <w:jc w:val="center"/>
                          <w:rPr>
                            <w:sz w:val="21"/>
                          </w:rPr>
                        </w:pPr>
                        <w:r>
                          <w:rPr>
                            <w:rFonts w:ascii="微软雅黑" w:eastAsia="微软雅黑"/>
                            <w:b/>
                            <w:sz w:val="21"/>
                          </w:rPr>
                          <w:t>*</w:t>
                        </w:r>
                        <w:r>
                          <w:rPr>
                            <w:spacing w:val="-4"/>
                            <w:sz w:val="21"/>
                          </w:rPr>
                          <w:t>显示器</w:t>
                        </w:r>
                      </w:p>
                    </w:tc>
                    <w:tc>
                      <w:tcPr>
                        <w:tcW w:w="2505" w:type="dxa"/>
                      </w:tcPr>
                      <w:p>
                        <w:pPr>
                          <w:pStyle w:val="TableParagraph"/>
                          <w:spacing w:line="270" w:lineRule="atLeast"/>
                          <w:ind w:left="1147" w:right="59" w:hanging="1077"/>
                          <w:rPr>
                            <w:sz w:val="21"/>
                          </w:rPr>
                        </w:pPr>
                        <w:r>
                          <w:rPr>
                            <w:spacing w:val="-2"/>
                            <w:sz w:val="21"/>
                          </w:rPr>
                          <w:t>≥8.4″LCD</w:t>
                        </w:r>
                        <w:r>
                          <w:rPr>
                            <w:spacing w:val="-11"/>
                            <w:sz w:val="21"/>
                          </w:rPr>
                          <w:t xml:space="preserve"> 彩显，中文界</w:t>
                        </w:r>
                        <w:r>
                          <w:rPr>
                            <w:spacing w:val="-12"/>
                            <w:sz w:val="21"/>
                          </w:rPr>
                          <w:t>面</w:t>
                        </w:r>
                      </w:p>
                    </w:tc>
                    <w:tc>
                      <w:tcPr>
                        <w:tcW w:w="3539" w:type="dxa"/>
                        <w:vMerge w:val="restart"/>
                      </w:tcPr>
                      <w:p>
                        <w:pPr>
                          <w:pStyle w:val="TableParagraph"/>
                          <w:spacing w:before="18"/>
                          <w:rPr>
                            <w:rFonts w:ascii="微软雅黑"/>
                            <w:b/>
                            <w:sz w:val="29"/>
                          </w:rPr>
                        </w:pPr>
                      </w:p>
                      <w:p>
                        <w:pPr>
                          <w:pStyle w:val="TableParagraph"/>
                          <w:ind w:left="1177" w:right="1167"/>
                          <w:jc w:val="center"/>
                          <w:rPr>
                            <w:sz w:val="21"/>
                          </w:rPr>
                        </w:pPr>
                        <w:r>
                          <w:rPr>
                            <w:sz w:val="21"/>
                          </w:rPr>
                          <w:t xml:space="preserve">FANUC 0i </w:t>
                        </w:r>
                        <w:r>
                          <w:rPr>
                            <w:spacing w:val="-5"/>
                            <w:sz w:val="21"/>
                          </w:rPr>
                          <w:t>MD</w:t>
                        </w:r>
                      </w:p>
                    </w:tc>
                  </w:tr>
                  <w:tr>
                    <w:tblPrEx>
                      <w:tblW w:w="0" w:type="auto"/>
                      <w:jc w:val="left"/>
                      <w:tblInd w:w="5" w:type="dxa"/>
                      <w:tblLayout w:type="fixed"/>
                      <w:tblCellMar>
                        <w:top w:w="0" w:type="dxa"/>
                        <w:left w:w="0" w:type="dxa"/>
                        <w:bottom w:w="0" w:type="dxa"/>
                        <w:right w:w="0" w:type="dxa"/>
                      </w:tblCellMar>
                      <w:tblLook w:val="01E0"/>
                    </w:tblPrEx>
                    <w:trPr>
                      <w:trHeight w:val="817"/>
                      <w:jc w:val="left"/>
                    </w:trPr>
                    <w:tc>
                      <w:tcPr>
                        <w:tcW w:w="1024" w:type="dxa"/>
                      </w:tcPr>
                      <w:p>
                        <w:pPr>
                          <w:pStyle w:val="TableParagraph"/>
                          <w:spacing w:before="17"/>
                          <w:rPr>
                            <w:rFonts w:ascii="微软雅黑"/>
                            <w:b/>
                            <w:sz w:val="14"/>
                          </w:rPr>
                        </w:pPr>
                      </w:p>
                      <w:p>
                        <w:pPr>
                          <w:pStyle w:val="TableParagraph"/>
                          <w:ind w:left="299"/>
                          <w:rPr>
                            <w:sz w:val="21"/>
                          </w:rPr>
                        </w:pPr>
                        <w:r>
                          <w:rPr>
                            <w:spacing w:val="-5"/>
                            <w:sz w:val="21"/>
                          </w:rPr>
                          <w:t>2.</w:t>
                        </w:r>
                      </w:p>
                    </w:tc>
                    <w:tc>
                      <w:tcPr>
                        <w:tcW w:w="2396" w:type="dxa"/>
                      </w:tcPr>
                      <w:p>
                        <w:pPr>
                          <w:pStyle w:val="TableParagraph"/>
                          <w:spacing w:before="5"/>
                          <w:rPr>
                            <w:rFonts w:ascii="微软雅黑"/>
                            <w:b/>
                            <w:sz w:val="11"/>
                          </w:rPr>
                        </w:pPr>
                      </w:p>
                      <w:p>
                        <w:pPr>
                          <w:pStyle w:val="TableParagraph"/>
                          <w:ind w:left="265" w:right="255"/>
                          <w:jc w:val="center"/>
                          <w:rPr>
                            <w:sz w:val="21"/>
                          </w:rPr>
                        </w:pPr>
                        <w:r>
                          <w:rPr>
                            <w:rFonts w:ascii="微软雅黑" w:eastAsia="微软雅黑"/>
                            <w:b/>
                            <w:sz w:val="21"/>
                          </w:rPr>
                          <w:t>*</w:t>
                        </w:r>
                        <w:r>
                          <w:rPr>
                            <w:spacing w:val="-2"/>
                            <w:sz w:val="21"/>
                          </w:rPr>
                          <w:t>输入/输出接口</w:t>
                        </w:r>
                      </w:p>
                    </w:tc>
                    <w:tc>
                      <w:tcPr>
                        <w:tcW w:w="2505" w:type="dxa"/>
                      </w:tcPr>
                      <w:p>
                        <w:pPr>
                          <w:pStyle w:val="TableParagraph"/>
                          <w:spacing w:before="3"/>
                          <w:ind w:left="27"/>
                          <w:rPr>
                            <w:sz w:val="21"/>
                          </w:rPr>
                        </w:pPr>
                        <w:r>
                          <w:rPr>
                            <w:spacing w:val="-2"/>
                            <w:sz w:val="21"/>
                          </w:rPr>
                          <w:t>10M/100M</w:t>
                        </w:r>
                        <w:r>
                          <w:rPr>
                            <w:spacing w:val="-10"/>
                            <w:sz w:val="21"/>
                          </w:rPr>
                          <w:t xml:space="preserve"> 以太网，</w:t>
                        </w:r>
                        <w:r>
                          <w:rPr>
                            <w:spacing w:val="-2"/>
                            <w:sz w:val="21"/>
                          </w:rPr>
                          <w:t>RS232-</w:t>
                        </w:r>
                        <w:r>
                          <w:rPr>
                            <w:spacing w:val="-10"/>
                            <w:sz w:val="21"/>
                          </w:rPr>
                          <w:t>C</w:t>
                        </w:r>
                      </w:p>
                      <w:p>
                        <w:pPr>
                          <w:pStyle w:val="TableParagraph"/>
                          <w:spacing w:line="270" w:lineRule="atLeast"/>
                          <w:ind w:left="27" w:right="102"/>
                          <w:rPr>
                            <w:sz w:val="21"/>
                          </w:rPr>
                        </w:pPr>
                        <w:r>
                          <w:rPr>
                            <w:spacing w:val="-2"/>
                            <w:sz w:val="21"/>
                          </w:rPr>
                          <w:t>接口、CF</w:t>
                        </w:r>
                        <w:r>
                          <w:rPr>
                            <w:spacing w:val="-21"/>
                            <w:sz w:val="21"/>
                          </w:rPr>
                          <w:t xml:space="preserve"> 卡接口及 </w:t>
                        </w:r>
                        <w:r>
                          <w:rPr>
                            <w:spacing w:val="-2"/>
                            <w:sz w:val="21"/>
                          </w:rPr>
                          <w:t>USB</w:t>
                        </w:r>
                        <w:r>
                          <w:rPr>
                            <w:spacing w:val="-28"/>
                            <w:sz w:val="21"/>
                          </w:rPr>
                          <w:t xml:space="preserve"> 接</w:t>
                        </w:r>
                        <w:r>
                          <w:rPr>
                            <w:spacing w:val="-10"/>
                            <w:sz w:val="21"/>
                          </w:rPr>
                          <w:t>口</w:t>
                        </w:r>
                      </w:p>
                    </w:tc>
                    <w:tc>
                      <w:tcPr>
                        <w:tcW w:w="3539"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283"/>
                      <w:jc w:val="left"/>
                    </w:trPr>
                    <w:tc>
                      <w:tcPr>
                        <w:tcW w:w="1024" w:type="dxa"/>
                      </w:tcPr>
                      <w:p>
                        <w:pPr>
                          <w:pStyle w:val="TableParagraph"/>
                          <w:spacing w:before="9" w:line="255" w:lineRule="exact"/>
                          <w:ind w:left="299"/>
                          <w:rPr>
                            <w:sz w:val="21"/>
                          </w:rPr>
                        </w:pPr>
                        <w:r>
                          <w:rPr>
                            <w:spacing w:val="-5"/>
                            <w:sz w:val="21"/>
                          </w:rPr>
                          <w:t>3.</w:t>
                        </w:r>
                      </w:p>
                    </w:tc>
                    <w:tc>
                      <w:tcPr>
                        <w:tcW w:w="2396" w:type="dxa"/>
                      </w:tcPr>
                      <w:p>
                        <w:pPr>
                          <w:pStyle w:val="TableParagraph"/>
                          <w:spacing w:line="264" w:lineRule="exact"/>
                          <w:ind w:left="265" w:right="255"/>
                          <w:jc w:val="center"/>
                          <w:rPr>
                            <w:sz w:val="21"/>
                          </w:rPr>
                        </w:pPr>
                        <w:r>
                          <w:rPr>
                            <w:rFonts w:ascii="微软雅黑" w:eastAsia="微软雅黑"/>
                            <w:b/>
                            <w:sz w:val="21"/>
                          </w:rPr>
                          <w:t>*</w:t>
                        </w:r>
                        <w:r>
                          <w:rPr>
                            <w:spacing w:val="-2"/>
                            <w:sz w:val="21"/>
                          </w:rPr>
                          <w:t>三轴伺服单元</w:t>
                        </w:r>
                      </w:p>
                    </w:tc>
                    <w:tc>
                      <w:tcPr>
                        <w:tcW w:w="2505" w:type="dxa"/>
                      </w:tcPr>
                      <w:p>
                        <w:pPr>
                          <w:pStyle w:val="TableParagraph"/>
                          <w:rPr>
                            <w:rFonts w:ascii="Times New Roman"/>
                            <w:sz w:val="20"/>
                          </w:rPr>
                        </w:pPr>
                      </w:p>
                    </w:tc>
                    <w:tc>
                      <w:tcPr>
                        <w:tcW w:w="3539" w:type="dxa"/>
                      </w:tcPr>
                      <w:p>
                        <w:pPr>
                          <w:pStyle w:val="TableParagraph"/>
                          <w:spacing w:before="9" w:line="255" w:lineRule="exact"/>
                          <w:ind w:left="27"/>
                          <w:rPr>
                            <w:sz w:val="21"/>
                          </w:rPr>
                        </w:pPr>
                        <w:r>
                          <w:rPr>
                            <w:spacing w:val="-3"/>
                            <w:sz w:val="21"/>
                          </w:rPr>
                          <w:t>系统原配</w:t>
                        </w:r>
                      </w:p>
                    </w:tc>
                  </w:tr>
                  <w:tr>
                    <w:tblPrEx>
                      <w:tblW w:w="0" w:type="auto"/>
                      <w:jc w:val="left"/>
                      <w:tblInd w:w="5" w:type="dxa"/>
                      <w:tblLayout w:type="fixed"/>
                      <w:tblCellMar>
                        <w:top w:w="0" w:type="dxa"/>
                        <w:left w:w="0" w:type="dxa"/>
                        <w:bottom w:w="0" w:type="dxa"/>
                        <w:right w:w="0" w:type="dxa"/>
                      </w:tblCellMar>
                      <w:tblLook w:val="01E0"/>
                    </w:tblPrEx>
                    <w:trPr>
                      <w:trHeight w:val="283"/>
                      <w:jc w:val="left"/>
                    </w:trPr>
                    <w:tc>
                      <w:tcPr>
                        <w:tcW w:w="1024" w:type="dxa"/>
                      </w:tcPr>
                      <w:p>
                        <w:pPr>
                          <w:pStyle w:val="TableParagraph"/>
                          <w:spacing w:before="9" w:line="255" w:lineRule="exact"/>
                          <w:ind w:left="299"/>
                          <w:rPr>
                            <w:sz w:val="21"/>
                          </w:rPr>
                        </w:pPr>
                        <w:r>
                          <w:rPr>
                            <w:spacing w:val="-5"/>
                            <w:sz w:val="21"/>
                          </w:rPr>
                          <w:t>4.</w:t>
                        </w:r>
                      </w:p>
                    </w:tc>
                    <w:tc>
                      <w:tcPr>
                        <w:tcW w:w="2396" w:type="dxa"/>
                      </w:tcPr>
                      <w:p>
                        <w:pPr>
                          <w:pStyle w:val="TableParagraph"/>
                          <w:spacing w:line="264" w:lineRule="exact"/>
                          <w:ind w:left="265" w:right="256"/>
                          <w:jc w:val="center"/>
                          <w:rPr>
                            <w:sz w:val="21"/>
                          </w:rPr>
                        </w:pPr>
                        <w:r>
                          <w:rPr>
                            <w:rFonts w:ascii="微软雅黑" w:eastAsia="微软雅黑"/>
                            <w:b/>
                            <w:sz w:val="21"/>
                          </w:rPr>
                          <w:t>*</w:t>
                        </w:r>
                        <w:r>
                          <w:rPr>
                            <w:sz w:val="21"/>
                          </w:rPr>
                          <w:t>主轴电机(AC</w:t>
                        </w:r>
                        <w:r>
                          <w:rPr>
                            <w:spacing w:val="-16"/>
                            <w:sz w:val="21"/>
                          </w:rPr>
                          <w:t xml:space="preserve"> 伺服)</w:t>
                        </w:r>
                      </w:p>
                    </w:tc>
                    <w:tc>
                      <w:tcPr>
                        <w:tcW w:w="2505" w:type="dxa"/>
                      </w:tcPr>
                      <w:p>
                        <w:pPr>
                          <w:pStyle w:val="TableParagraph"/>
                          <w:rPr>
                            <w:rFonts w:ascii="Times New Roman"/>
                            <w:sz w:val="20"/>
                          </w:rPr>
                        </w:pPr>
                      </w:p>
                    </w:tc>
                    <w:tc>
                      <w:tcPr>
                        <w:tcW w:w="3539" w:type="dxa"/>
                      </w:tcPr>
                      <w:p>
                        <w:pPr>
                          <w:pStyle w:val="TableParagraph"/>
                          <w:spacing w:before="9" w:line="255" w:lineRule="exact"/>
                          <w:ind w:left="27"/>
                          <w:rPr>
                            <w:sz w:val="21"/>
                          </w:rPr>
                        </w:pPr>
                        <w:r>
                          <w:rPr>
                            <w:spacing w:val="-3"/>
                            <w:sz w:val="21"/>
                          </w:rPr>
                          <w:t>系统原配</w:t>
                        </w:r>
                      </w:p>
                    </w:tc>
                  </w:tr>
                </w:tbl>
                <w:p>
                  <w:pPr>
                    <w:pStyle w:val="BodyText"/>
                  </w:pPr>
                </w:p>
              </w:txbxContent>
            </v:textbox>
          </v:shape>
        </w:pict>
      </w:r>
      <w:r>
        <w:rPr>
          <w:rFonts w:ascii="微软雅黑" w:eastAsia="微软雅黑"/>
          <w:b/>
          <w:spacing w:val="-4"/>
          <w:sz w:val="21"/>
        </w:rPr>
        <w:t>3</w:t>
      </w:r>
      <w:r>
        <w:rPr>
          <w:rFonts w:ascii="微软雅黑" w:eastAsia="微软雅黑"/>
          <w:b/>
          <w:spacing w:val="-5"/>
          <w:sz w:val="21"/>
        </w:rPr>
        <w:t>、主要部件要求</w:t>
      </w:r>
    </w:p>
    <w:p>
      <w:pPr>
        <w:spacing w:after="0"/>
        <w:jc w:val="left"/>
        <w:rPr>
          <w:rFonts w:ascii="微软雅黑" w:eastAsia="微软雅黑"/>
          <w:sz w:val="21"/>
        </w:rPr>
        <w:sectPr>
          <w:headerReference w:type="default" r:id="rId30"/>
          <w:footerReference w:type="default" r:id="rId31"/>
          <w:pgSz w:w="12240" w:h="15840"/>
          <w:pgMar w:top="1080" w:right="880" w:bottom="920" w:left="880" w:header="748" w:footer="731"/>
          <w:pgNumType w:start="14"/>
          <w:cols w:space="708"/>
        </w:sectPr>
      </w:pPr>
    </w:p>
    <w:p>
      <w:pPr>
        <w:pStyle w:val="BodyText"/>
        <w:spacing w:before="16" w:after="1"/>
        <w:rPr>
          <w:rFonts w:ascii="微软雅黑"/>
          <w:b/>
          <w:sz w:val="17"/>
        </w:rPr>
      </w:pPr>
    </w:p>
    <w:tbl>
      <w:tblPr>
        <w:tblStyle w:val="TableNormal4"/>
        <w:tblW w:w="0" w:type="auto"/>
        <w:jc w:val="left"/>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4"/>
        <w:gridCol w:w="2396"/>
        <w:gridCol w:w="2505"/>
        <w:gridCol w:w="3539"/>
      </w:tblGrid>
      <w:tr>
        <w:tblPrEx>
          <w:tblW w:w="0" w:type="auto"/>
          <w:jc w:val="left"/>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0"/>
          <w:jc w:val="left"/>
        </w:trPr>
        <w:tc>
          <w:tcPr>
            <w:tcW w:w="1024" w:type="dxa"/>
          </w:tcPr>
          <w:p>
            <w:pPr>
              <w:pStyle w:val="TableParagraph"/>
              <w:spacing w:before="37"/>
              <w:ind w:left="299"/>
              <w:rPr>
                <w:sz w:val="21"/>
              </w:rPr>
            </w:pPr>
            <w:r>
              <w:rPr>
                <w:spacing w:val="-5"/>
                <w:sz w:val="21"/>
              </w:rPr>
              <w:t>5.</w:t>
            </w:r>
          </w:p>
        </w:tc>
        <w:tc>
          <w:tcPr>
            <w:tcW w:w="2396" w:type="dxa"/>
          </w:tcPr>
          <w:p>
            <w:pPr>
              <w:pStyle w:val="TableParagraph"/>
              <w:spacing w:before="62" w:line="258" w:lineRule="exact"/>
              <w:ind w:left="508"/>
              <w:rPr>
                <w:sz w:val="21"/>
              </w:rPr>
            </w:pPr>
            <w:r>
              <w:rPr>
                <w:spacing w:val="-3"/>
                <w:sz w:val="21"/>
              </w:rPr>
              <w:t>机床颜色</w:t>
            </w:r>
          </w:p>
        </w:tc>
        <w:tc>
          <w:tcPr>
            <w:tcW w:w="6044" w:type="dxa"/>
            <w:gridSpan w:val="2"/>
          </w:tcPr>
          <w:p>
            <w:pPr>
              <w:pStyle w:val="TableParagraph"/>
              <w:spacing w:before="62" w:line="258" w:lineRule="exact"/>
              <w:ind w:left="2481" w:right="2472"/>
              <w:jc w:val="center"/>
              <w:rPr>
                <w:sz w:val="21"/>
              </w:rPr>
            </w:pPr>
            <w:r>
              <w:rPr>
                <w:spacing w:val="-2"/>
                <w:sz w:val="21"/>
              </w:rPr>
              <w:t>采购人指定</w:t>
            </w:r>
          </w:p>
        </w:tc>
      </w:tr>
      <w:tr>
        <w:tblPrEx>
          <w:tblW w:w="0" w:type="auto"/>
          <w:jc w:val="left"/>
          <w:tblInd w:w="512" w:type="dxa"/>
          <w:tblLayout w:type="fixed"/>
          <w:tblCellMar>
            <w:top w:w="0" w:type="dxa"/>
            <w:left w:w="0" w:type="dxa"/>
            <w:bottom w:w="0" w:type="dxa"/>
            <w:right w:w="0" w:type="dxa"/>
          </w:tblCellMar>
          <w:tblLook w:val="01E0"/>
        </w:tblPrEx>
        <w:trPr>
          <w:trHeight w:val="418"/>
          <w:jc w:val="left"/>
        </w:trPr>
        <w:tc>
          <w:tcPr>
            <w:tcW w:w="1024" w:type="dxa"/>
          </w:tcPr>
          <w:p>
            <w:pPr>
              <w:pStyle w:val="TableParagraph"/>
              <w:spacing w:before="76"/>
              <w:ind w:left="299"/>
              <w:rPr>
                <w:sz w:val="21"/>
              </w:rPr>
            </w:pPr>
            <w:r>
              <w:rPr>
                <w:spacing w:val="-5"/>
                <w:sz w:val="21"/>
              </w:rPr>
              <w:t>6.</w:t>
            </w:r>
          </w:p>
        </w:tc>
        <w:tc>
          <w:tcPr>
            <w:tcW w:w="2396" w:type="dxa"/>
          </w:tcPr>
          <w:p>
            <w:pPr>
              <w:pStyle w:val="TableParagraph"/>
              <w:spacing w:before="76"/>
              <w:ind w:left="508"/>
              <w:rPr>
                <w:sz w:val="21"/>
              </w:rPr>
            </w:pPr>
            <w:r>
              <w:rPr>
                <w:spacing w:val="-3"/>
                <w:sz w:val="21"/>
              </w:rPr>
              <w:t>主轴组件</w:t>
            </w:r>
          </w:p>
        </w:tc>
        <w:tc>
          <w:tcPr>
            <w:tcW w:w="2505" w:type="dxa"/>
          </w:tcPr>
          <w:p>
            <w:pPr>
              <w:pStyle w:val="TableParagraph"/>
              <w:spacing w:before="76"/>
              <w:ind w:left="1282"/>
              <w:rPr>
                <w:sz w:val="21"/>
              </w:rPr>
            </w:pPr>
            <w:r>
              <w:rPr>
                <w:spacing w:val="-4"/>
                <w:sz w:val="21"/>
              </w:rPr>
              <w:t>BT40</w:t>
            </w:r>
          </w:p>
        </w:tc>
        <w:tc>
          <w:tcPr>
            <w:tcW w:w="3539" w:type="dxa"/>
          </w:tcPr>
          <w:p>
            <w:pPr>
              <w:pStyle w:val="TableParagraph"/>
              <w:spacing w:before="76"/>
              <w:ind w:left="27"/>
              <w:rPr>
                <w:sz w:val="21"/>
              </w:rPr>
            </w:pPr>
            <w:r>
              <w:rPr>
                <w:spacing w:val="-2"/>
                <w:sz w:val="21"/>
              </w:rPr>
              <w:t>台湾普森/罗翌</w:t>
            </w:r>
          </w:p>
        </w:tc>
      </w:tr>
      <w:tr>
        <w:tblPrEx>
          <w:tblW w:w="0" w:type="auto"/>
          <w:jc w:val="left"/>
          <w:tblInd w:w="512" w:type="dxa"/>
          <w:tblLayout w:type="fixed"/>
          <w:tblCellMar>
            <w:top w:w="0" w:type="dxa"/>
            <w:left w:w="0" w:type="dxa"/>
            <w:bottom w:w="0" w:type="dxa"/>
            <w:right w:w="0" w:type="dxa"/>
          </w:tblCellMar>
          <w:tblLook w:val="01E0"/>
        </w:tblPrEx>
        <w:trPr>
          <w:trHeight w:val="465"/>
          <w:jc w:val="left"/>
        </w:trPr>
        <w:tc>
          <w:tcPr>
            <w:tcW w:w="1024" w:type="dxa"/>
          </w:tcPr>
          <w:p>
            <w:pPr>
              <w:pStyle w:val="TableParagraph"/>
              <w:spacing w:before="100"/>
              <w:ind w:left="299"/>
              <w:rPr>
                <w:sz w:val="21"/>
              </w:rPr>
            </w:pPr>
            <w:r>
              <w:rPr>
                <w:spacing w:val="-5"/>
                <w:sz w:val="21"/>
              </w:rPr>
              <w:t>7.</w:t>
            </w:r>
          </w:p>
        </w:tc>
        <w:tc>
          <w:tcPr>
            <w:tcW w:w="2396" w:type="dxa"/>
          </w:tcPr>
          <w:p>
            <w:pPr>
              <w:pStyle w:val="TableParagraph"/>
              <w:spacing w:before="100"/>
              <w:ind w:left="508"/>
              <w:rPr>
                <w:sz w:val="21"/>
              </w:rPr>
            </w:pPr>
            <w:r>
              <w:rPr>
                <w:spacing w:val="-3"/>
                <w:sz w:val="21"/>
              </w:rPr>
              <w:t>主轴轴承</w:t>
            </w:r>
          </w:p>
        </w:tc>
        <w:tc>
          <w:tcPr>
            <w:tcW w:w="2505" w:type="dxa"/>
          </w:tcPr>
          <w:p>
            <w:pPr>
              <w:pStyle w:val="TableParagraph"/>
              <w:spacing w:before="100"/>
              <w:ind w:left="626"/>
              <w:rPr>
                <w:sz w:val="21"/>
              </w:rPr>
            </w:pPr>
            <w:r>
              <w:rPr>
                <w:sz w:val="21"/>
              </w:rPr>
              <w:t>内径≥Φ70、P4</w:t>
            </w:r>
            <w:r>
              <w:rPr>
                <w:spacing w:val="-32"/>
                <w:sz w:val="21"/>
              </w:rPr>
              <w:t xml:space="preserve"> 级</w:t>
            </w:r>
          </w:p>
        </w:tc>
        <w:tc>
          <w:tcPr>
            <w:tcW w:w="3539" w:type="dxa"/>
          </w:tcPr>
          <w:p>
            <w:pPr>
              <w:pStyle w:val="TableParagraph"/>
              <w:spacing w:before="100"/>
              <w:ind w:left="27"/>
              <w:rPr>
                <w:sz w:val="21"/>
              </w:rPr>
            </w:pPr>
            <w:r>
              <w:rPr>
                <w:spacing w:val="-8"/>
                <w:sz w:val="21"/>
              </w:rPr>
              <w:t xml:space="preserve">日本原装进口 </w:t>
            </w:r>
            <w:r>
              <w:rPr>
                <w:spacing w:val="-5"/>
                <w:sz w:val="21"/>
              </w:rPr>
              <w:t>NSK</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8.</w:t>
            </w:r>
          </w:p>
        </w:tc>
        <w:tc>
          <w:tcPr>
            <w:tcW w:w="2396" w:type="dxa"/>
          </w:tcPr>
          <w:p>
            <w:pPr>
              <w:pStyle w:val="TableParagraph"/>
              <w:spacing w:before="26"/>
              <w:ind w:left="28"/>
              <w:rPr>
                <w:sz w:val="21"/>
              </w:rPr>
            </w:pPr>
            <w:r>
              <w:rPr>
                <w:spacing w:val="-3"/>
                <w:sz w:val="21"/>
              </w:rPr>
              <w:t>滚珠丝杆</w:t>
            </w:r>
          </w:p>
        </w:tc>
        <w:tc>
          <w:tcPr>
            <w:tcW w:w="2505" w:type="dxa"/>
          </w:tcPr>
          <w:p>
            <w:pPr>
              <w:pStyle w:val="TableParagraph"/>
              <w:spacing w:before="26"/>
              <w:ind w:left="836"/>
              <w:rPr>
                <w:sz w:val="21"/>
              </w:rPr>
            </w:pPr>
            <w:r>
              <w:rPr>
                <w:sz w:val="21"/>
              </w:rPr>
              <w:t>≥Φ40、C3</w:t>
            </w:r>
            <w:r>
              <w:rPr>
                <w:spacing w:val="-32"/>
                <w:sz w:val="21"/>
              </w:rPr>
              <w:t xml:space="preserve"> 级</w:t>
            </w:r>
          </w:p>
        </w:tc>
        <w:tc>
          <w:tcPr>
            <w:tcW w:w="3539" w:type="dxa"/>
          </w:tcPr>
          <w:p>
            <w:pPr>
              <w:pStyle w:val="TableParagraph"/>
              <w:spacing w:before="26"/>
              <w:ind w:left="27"/>
              <w:rPr>
                <w:sz w:val="21"/>
              </w:rPr>
            </w:pPr>
            <w:r>
              <w:rPr>
                <w:spacing w:val="-18"/>
                <w:sz w:val="21"/>
              </w:rPr>
              <w:t xml:space="preserve">台湾 </w:t>
            </w:r>
            <w:r>
              <w:rPr>
                <w:spacing w:val="-5"/>
                <w:sz w:val="21"/>
              </w:rPr>
              <w:t>PMI</w:t>
            </w:r>
          </w:p>
        </w:tc>
      </w:tr>
      <w:tr>
        <w:tblPrEx>
          <w:tblW w:w="0" w:type="auto"/>
          <w:jc w:val="left"/>
          <w:tblInd w:w="512" w:type="dxa"/>
          <w:tblLayout w:type="fixed"/>
          <w:tblCellMar>
            <w:top w:w="0" w:type="dxa"/>
            <w:left w:w="0" w:type="dxa"/>
            <w:bottom w:w="0" w:type="dxa"/>
            <w:right w:w="0" w:type="dxa"/>
          </w:tblCellMar>
          <w:tblLook w:val="01E0"/>
        </w:tblPrEx>
        <w:trPr>
          <w:trHeight w:val="318"/>
          <w:jc w:val="left"/>
        </w:trPr>
        <w:tc>
          <w:tcPr>
            <w:tcW w:w="1024" w:type="dxa"/>
          </w:tcPr>
          <w:p>
            <w:pPr>
              <w:pStyle w:val="TableParagraph"/>
              <w:spacing w:before="26"/>
              <w:ind w:left="299"/>
              <w:rPr>
                <w:sz w:val="21"/>
              </w:rPr>
            </w:pPr>
            <w:r>
              <w:rPr>
                <w:spacing w:val="-5"/>
                <w:sz w:val="21"/>
              </w:rPr>
              <w:t>9.</w:t>
            </w:r>
          </w:p>
        </w:tc>
        <w:tc>
          <w:tcPr>
            <w:tcW w:w="2396" w:type="dxa"/>
          </w:tcPr>
          <w:p>
            <w:pPr>
              <w:pStyle w:val="TableParagraph"/>
              <w:spacing w:line="298" w:lineRule="exact"/>
              <w:ind w:left="28"/>
              <w:rPr>
                <w:sz w:val="21"/>
              </w:rPr>
            </w:pPr>
            <w:r>
              <w:rPr>
                <w:rFonts w:ascii="微软雅黑" w:eastAsia="微软雅黑"/>
                <w:b/>
                <w:sz w:val="21"/>
              </w:rPr>
              <w:t>*</w:t>
            </w:r>
            <w:r>
              <w:rPr>
                <w:spacing w:val="-2"/>
                <w:sz w:val="21"/>
              </w:rPr>
              <w:t>三轴线性导轨</w:t>
            </w:r>
          </w:p>
        </w:tc>
        <w:tc>
          <w:tcPr>
            <w:tcW w:w="2505" w:type="dxa"/>
          </w:tcPr>
          <w:p>
            <w:pPr>
              <w:pStyle w:val="TableParagraph"/>
              <w:spacing w:before="26"/>
              <w:ind w:left="731"/>
              <w:rPr>
                <w:sz w:val="21"/>
              </w:rPr>
            </w:pPr>
            <w:r>
              <w:rPr>
                <w:sz w:val="21"/>
              </w:rPr>
              <w:t>≥45 ,P5</w:t>
            </w:r>
            <w:r>
              <w:rPr>
                <w:spacing w:val="-16"/>
                <w:sz w:val="21"/>
              </w:rPr>
              <w:t xml:space="preserve"> 精密级</w:t>
            </w:r>
          </w:p>
        </w:tc>
        <w:tc>
          <w:tcPr>
            <w:tcW w:w="3539" w:type="dxa"/>
          </w:tcPr>
          <w:p>
            <w:pPr>
              <w:pStyle w:val="TableParagraph"/>
              <w:spacing w:before="26"/>
              <w:ind w:left="27"/>
              <w:rPr>
                <w:sz w:val="21"/>
              </w:rPr>
            </w:pPr>
            <w:r>
              <w:rPr>
                <w:spacing w:val="-2"/>
                <w:sz w:val="21"/>
              </w:rPr>
              <w:t>德国力士乐</w:t>
            </w:r>
          </w:p>
        </w:tc>
      </w:tr>
      <w:tr>
        <w:tblPrEx>
          <w:tblW w:w="0" w:type="auto"/>
          <w:jc w:val="left"/>
          <w:tblInd w:w="512" w:type="dxa"/>
          <w:tblLayout w:type="fixed"/>
          <w:tblCellMar>
            <w:top w:w="0" w:type="dxa"/>
            <w:left w:w="0" w:type="dxa"/>
            <w:bottom w:w="0" w:type="dxa"/>
            <w:right w:w="0" w:type="dxa"/>
          </w:tblCellMar>
          <w:tblLook w:val="01E0"/>
        </w:tblPrEx>
        <w:trPr>
          <w:trHeight w:val="370"/>
          <w:jc w:val="left"/>
        </w:trPr>
        <w:tc>
          <w:tcPr>
            <w:tcW w:w="1024" w:type="dxa"/>
          </w:tcPr>
          <w:p>
            <w:pPr>
              <w:pStyle w:val="TableParagraph"/>
              <w:spacing w:before="52"/>
              <w:ind w:left="299"/>
              <w:rPr>
                <w:sz w:val="21"/>
              </w:rPr>
            </w:pPr>
            <w:r>
              <w:rPr>
                <w:spacing w:val="-5"/>
                <w:sz w:val="21"/>
              </w:rPr>
              <w:t>10.</w:t>
            </w:r>
          </w:p>
        </w:tc>
        <w:tc>
          <w:tcPr>
            <w:tcW w:w="2396" w:type="dxa"/>
          </w:tcPr>
          <w:p>
            <w:pPr>
              <w:pStyle w:val="TableParagraph"/>
              <w:spacing w:before="52"/>
              <w:ind w:left="28"/>
              <w:rPr>
                <w:sz w:val="21"/>
              </w:rPr>
            </w:pPr>
            <w:r>
              <w:rPr>
                <w:spacing w:val="-2"/>
                <w:sz w:val="21"/>
              </w:rPr>
              <w:t>滚珠丝杆轴承</w:t>
            </w:r>
          </w:p>
        </w:tc>
        <w:tc>
          <w:tcPr>
            <w:tcW w:w="2505" w:type="dxa"/>
          </w:tcPr>
          <w:p>
            <w:pPr>
              <w:pStyle w:val="TableParagraph"/>
              <w:spacing w:before="52"/>
              <w:ind w:left="1151"/>
              <w:rPr>
                <w:sz w:val="21"/>
              </w:rPr>
            </w:pPr>
            <w:r>
              <w:rPr>
                <w:sz w:val="21"/>
              </w:rPr>
              <w:t>PN7A</w:t>
            </w:r>
            <w:r>
              <w:rPr>
                <w:spacing w:val="-32"/>
                <w:sz w:val="21"/>
              </w:rPr>
              <w:t xml:space="preserve"> 级</w:t>
            </w:r>
          </w:p>
        </w:tc>
        <w:tc>
          <w:tcPr>
            <w:tcW w:w="3539" w:type="dxa"/>
          </w:tcPr>
          <w:p>
            <w:pPr>
              <w:pStyle w:val="TableParagraph"/>
              <w:spacing w:before="52"/>
              <w:ind w:left="27"/>
              <w:rPr>
                <w:sz w:val="21"/>
              </w:rPr>
            </w:pPr>
            <w:r>
              <w:rPr>
                <w:spacing w:val="-8"/>
                <w:sz w:val="21"/>
              </w:rPr>
              <w:t xml:space="preserve">日本原装进口 </w:t>
            </w:r>
            <w:r>
              <w:rPr>
                <w:spacing w:val="-5"/>
                <w:sz w:val="21"/>
              </w:rPr>
              <w:t>NSK</w:t>
            </w:r>
          </w:p>
        </w:tc>
      </w:tr>
      <w:tr>
        <w:tblPrEx>
          <w:tblW w:w="0" w:type="auto"/>
          <w:jc w:val="left"/>
          <w:tblInd w:w="512" w:type="dxa"/>
          <w:tblLayout w:type="fixed"/>
          <w:tblCellMar>
            <w:top w:w="0" w:type="dxa"/>
            <w:left w:w="0" w:type="dxa"/>
            <w:bottom w:w="0" w:type="dxa"/>
            <w:right w:w="0" w:type="dxa"/>
          </w:tblCellMar>
          <w:tblLook w:val="01E0"/>
        </w:tblPrEx>
        <w:trPr>
          <w:trHeight w:val="578"/>
          <w:jc w:val="left"/>
        </w:trPr>
        <w:tc>
          <w:tcPr>
            <w:tcW w:w="1024" w:type="dxa"/>
          </w:tcPr>
          <w:p>
            <w:pPr>
              <w:pStyle w:val="TableParagraph"/>
              <w:spacing w:before="156"/>
              <w:ind w:left="299"/>
              <w:rPr>
                <w:sz w:val="21"/>
              </w:rPr>
            </w:pPr>
            <w:r>
              <w:rPr>
                <w:spacing w:val="-5"/>
                <w:sz w:val="21"/>
              </w:rPr>
              <w:t>11.</w:t>
            </w:r>
          </w:p>
        </w:tc>
        <w:tc>
          <w:tcPr>
            <w:tcW w:w="2396" w:type="dxa"/>
          </w:tcPr>
          <w:p>
            <w:pPr>
              <w:pStyle w:val="TableParagraph"/>
              <w:spacing w:before="156"/>
              <w:ind w:left="28"/>
              <w:rPr>
                <w:sz w:val="21"/>
              </w:rPr>
            </w:pPr>
            <w:r>
              <w:rPr>
                <w:sz w:val="21"/>
              </w:rPr>
              <w:t>数控转台（含手动尾座</w:t>
            </w:r>
            <w:r>
              <w:rPr>
                <w:spacing w:val="-10"/>
                <w:sz w:val="21"/>
              </w:rPr>
              <w:t>）</w:t>
            </w:r>
          </w:p>
        </w:tc>
        <w:tc>
          <w:tcPr>
            <w:tcW w:w="2505" w:type="dxa"/>
          </w:tcPr>
          <w:p>
            <w:pPr>
              <w:pStyle w:val="TableParagraph"/>
              <w:spacing w:before="18" w:line="270" w:lineRule="atLeast"/>
              <w:ind w:left="1147" w:right="34" w:hanging="1103"/>
              <w:rPr>
                <w:sz w:val="21"/>
              </w:rPr>
            </w:pPr>
            <w:r>
              <w:rPr>
                <w:spacing w:val="-2"/>
                <w:sz w:val="21"/>
              </w:rPr>
              <w:t>Φ250，</w:t>
            </w:r>
            <w:r>
              <w:rPr>
                <w:color w:val="0B0B0B"/>
                <w:spacing w:val="-20"/>
                <w:sz w:val="21"/>
              </w:rPr>
              <w:t xml:space="preserve">配备 </w:t>
            </w:r>
            <w:r>
              <w:rPr>
                <w:color w:val="0B0B0B"/>
                <w:spacing w:val="-2"/>
                <w:sz w:val="21"/>
              </w:rPr>
              <w:t>200mm</w:t>
            </w:r>
            <w:r>
              <w:rPr>
                <w:color w:val="0B0B0B"/>
                <w:spacing w:val="-16"/>
                <w:sz w:val="21"/>
              </w:rPr>
              <w:t xml:space="preserve"> 三爪卡</w:t>
            </w:r>
            <w:r>
              <w:rPr>
                <w:color w:val="0B0B0B"/>
                <w:spacing w:val="-10"/>
                <w:sz w:val="21"/>
              </w:rPr>
              <w:t>盘</w:t>
            </w:r>
          </w:p>
        </w:tc>
        <w:tc>
          <w:tcPr>
            <w:tcW w:w="3539" w:type="dxa"/>
          </w:tcPr>
          <w:p>
            <w:pPr>
              <w:pStyle w:val="TableParagraph"/>
              <w:spacing w:before="156"/>
              <w:ind w:left="27"/>
              <w:rPr>
                <w:sz w:val="21"/>
              </w:rPr>
            </w:pPr>
            <w:r>
              <w:rPr>
                <w:spacing w:val="-2"/>
                <w:sz w:val="21"/>
              </w:rPr>
              <w:t>台湾旭阳/德川</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12.</w:t>
            </w:r>
          </w:p>
        </w:tc>
        <w:tc>
          <w:tcPr>
            <w:tcW w:w="2396" w:type="dxa"/>
          </w:tcPr>
          <w:p>
            <w:pPr>
              <w:pStyle w:val="TableParagraph"/>
              <w:spacing w:before="26"/>
              <w:ind w:left="28"/>
              <w:rPr>
                <w:sz w:val="21"/>
              </w:rPr>
            </w:pPr>
            <w:r>
              <w:rPr>
                <w:spacing w:val="-3"/>
                <w:sz w:val="21"/>
              </w:rPr>
              <w:t>气动元件</w:t>
            </w:r>
          </w:p>
        </w:tc>
        <w:tc>
          <w:tcPr>
            <w:tcW w:w="2505" w:type="dxa"/>
          </w:tcPr>
          <w:p>
            <w:pPr>
              <w:pStyle w:val="TableParagraph"/>
              <w:rPr>
                <w:rFonts w:ascii="Times New Roman"/>
                <w:sz w:val="20"/>
              </w:rPr>
            </w:pPr>
          </w:p>
        </w:tc>
        <w:tc>
          <w:tcPr>
            <w:tcW w:w="3539" w:type="dxa"/>
          </w:tcPr>
          <w:p>
            <w:pPr>
              <w:pStyle w:val="TableParagraph"/>
              <w:spacing w:before="26"/>
              <w:ind w:left="27"/>
              <w:rPr>
                <w:sz w:val="21"/>
              </w:rPr>
            </w:pPr>
            <w:r>
              <w:rPr>
                <w:spacing w:val="-1"/>
                <w:sz w:val="21"/>
              </w:rPr>
              <w:t>台湾气立可 /台湾亚德客</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13.</w:t>
            </w:r>
          </w:p>
        </w:tc>
        <w:tc>
          <w:tcPr>
            <w:tcW w:w="2396" w:type="dxa"/>
          </w:tcPr>
          <w:p>
            <w:pPr>
              <w:pStyle w:val="TableParagraph"/>
              <w:spacing w:before="26"/>
              <w:ind w:left="28"/>
              <w:rPr>
                <w:sz w:val="21"/>
              </w:rPr>
            </w:pPr>
            <w:r>
              <w:rPr>
                <w:spacing w:val="-4"/>
                <w:sz w:val="21"/>
              </w:rPr>
              <w:t>主气缸</w:t>
            </w:r>
          </w:p>
        </w:tc>
        <w:tc>
          <w:tcPr>
            <w:tcW w:w="2505" w:type="dxa"/>
          </w:tcPr>
          <w:p>
            <w:pPr>
              <w:pStyle w:val="TableParagraph"/>
              <w:spacing w:before="26"/>
              <w:ind w:left="896" w:right="887"/>
              <w:jc w:val="center"/>
              <w:rPr>
                <w:sz w:val="21"/>
              </w:rPr>
            </w:pPr>
            <w:r>
              <w:rPr>
                <w:spacing w:val="-4"/>
                <w:sz w:val="21"/>
              </w:rPr>
              <w:t>3.5T</w:t>
            </w:r>
          </w:p>
        </w:tc>
        <w:tc>
          <w:tcPr>
            <w:tcW w:w="3539" w:type="dxa"/>
          </w:tcPr>
          <w:p>
            <w:pPr>
              <w:pStyle w:val="TableParagraph"/>
              <w:spacing w:before="26"/>
              <w:ind w:left="27"/>
              <w:rPr>
                <w:sz w:val="21"/>
              </w:rPr>
            </w:pPr>
            <w:r>
              <w:rPr>
                <w:spacing w:val="-1"/>
                <w:sz w:val="21"/>
              </w:rPr>
              <w:t>台湾亚德客/台湾协淸</w:t>
            </w:r>
          </w:p>
        </w:tc>
      </w:tr>
      <w:tr>
        <w:tblPrEx>
          <w:tblW w:w="0" w:type="auto"/>
          <w:jc w:val="left"/>
          <w:tblInd w:w="512" w:type="dxa"/>
          <w:tblLayout w:type="fixed"/>
          <w:tblCellMar>
            <w:top w:w="0" w:type="dxa"/>
            <w:left w:w="0" w:type="dxa"/>
            <w:bottom w:w="0" w:type="dxa"/>
            <w:right w:w="0" w:type="dxa"/>
          </w:tblCellMar>
          <w:tblLook w:val="01E0"/>
        </w:tblPrEx>
        <w:trPr>
          <w:trHeight w:val="578"/>
          <w:jc w:val="left"/>
        </w:trPr>
        <w:tc>
          <w:tcPr>
            <w:tcW w:w="1024" w:type="dxa"/>
          </w:tcPr>
          <w:p>
            <w:pPr>
              <w:pStyle w:val="TableParagraph"/>
              <w:spacing w:before="156"/>
              <w:ind w:left="299"/>
              <w:rPr>
                <w:sz w:val="21"/>
              </w:rPr>
            </w:pPr>
            <w:r>
              <w:rPr>
                <w:spacing w:val="-5"/>
                <w:sz w:val="21"/>
              </w:rPr>
              <w:t>14.</w:t>
            </w:r>
          </w:p>
        </w:tc>
        <w:tc>
          <w:tcPr>
            <w:tcW w:w="2396" w:type="dxa"/>
          </w:tcPr>
          <w:p>
            <w:pPr>
              <w:pStyle w:val="TableParagraph"/>
              <w:spacing w:line="316" w:lineRule="exact"/>
              <w:ind w:left="28"/>
              <w:rPr>
                <w:sz w:val="21"/>
              </w:rPr>
            </w:pPr>
            <w:r>
              <w:rPr>
                <w:rFonts w:ascii="微软雅黑" w:eastAsia="微软雅黑"/>
                <w:b/>
                <w:sz w:val="21"/>
              </w:rPr>
              <w:t>*</w:t>
            </w:r>
            <w:r>
              <w:rPr>
                <w:spacing w:val="-2"/>
                <w:sz w:val="21"/>
              </w:rPr>
              <w:t>机械手换刀</w:t>
            </w:r>
          </w:p>
          <w:p>
            <w:pPr>
              <w:pStyle w:val="TableParagraph"/>
              <w:spacing w:line="242" w:lineRule="exact"/>
              <w:ind w:left="28"/>
              <w:rPr>
                <w:sz w:val="21"/>
              </w:rPr>
            </w:pPr>
            <w:r>
              <w:rPr>
                <w:spacing w:val="-2"/>
                <w:sz w:val="21"/>
              </w:rPr>
              <w:t>同动打刀圆盘式刀库</w:t>
            </w:r>
          </w:p>
        </w:tc>
        <w:tc>
          <w:tcPr>
            <w:tcW w:w="2505" w:type="dxa"/>
          </w:tcPr>
          <w:p>
            <w:pPr>
              <w:pStyle w:val="TableParagraph"/>
              <w:spacing w:before="156"/>
              <w:ind w:left="896" w:right="887"/>
              <w:jc w:val="center"/>
              <w:rPr>
                <w:sz w:val="21"/>
              </w:rPr>
            </w:pPr>
            <w:r>
              <w:rPr>
                <w:sz w:val="21"/>
              </w:rPr>
              <w:t>≥24</w:t>
            </w:r>
            <w:r>
              <w:rPr>
                <w:spacing w:val="-32"/>
                <w:sz w:val="21"/>
              </w:rPr>
              <w:t xml:space="preserve"> 把</w:t>
            </w:r>
          </w:p>
        </w:tc>
        <w:tc>
          <w:tcPr>
            <w:tcW w:w="3539" w:type="dxa"/>
          </w:tcPr>
          <w:p>
            <w:pPr>
              <w:pStyle w:val="TableParagraph"/>
              <w:spacing w:before="156"/>
              <w:ind w:left="27"/>
              <w:rPr>
                <w:sz w:val="21"/>
              </w:rPr>
            </w:pPr>
            <w:r>
              <w:rPr>
                <w:spacing w:val="-2"/>
                <w:sz w:val="21"/>
              </w:rPr>
              <w:t>台湾臻赏/盛钰</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15.</w:t>
            </w:r>
          </w:p>
        </w:tc>
        <w:tc>
          <w:tcPr>
            <w:tcW w:w="2396" w:type="dxa"/>
          </w:tcPr>
          <w:p>
            <w:pPr>
              <w:pStyle w:val="TableParagraph"/>
              <w:spacing w:before="26"/>
              <w:ind w:left="28"/>
              <w:rPr>
                <w:sz w:val="21"/>
              </w:rPr>
            </w:pPr>
            <w:r>
              <w:rPr>
                <w:spacing w:val="-3"/>
                <w:sz w:val="21"/>
              </w:rPr>
              <w:t>润滑元件</w:t>
            </w:r>
          </w:p>
        </w:tc>
        <w:tc>
          <w:tcPr>
            <w:tcW w:w="2505" w:type="dxa"/>
          </w:tcPr>
          <w:p>
            <w:pPr>
              <w:pStyle w:val="TableParagraph"/>
              <w:rPr>
                <w:rFonts w:ascii="Times New Roman"/>
                <w:sz w:val="20"/>
              </w:rPr>
            </w:pPr>
          </w:p>
        </w:tc>
        <w:tc>
          <w:tcPr>
            <w:tcW w:w="3539" w:type="dxa"/>
          </w:tcPr>
          <w:p>
            <w:pPr>
              <w:pStyle w:val="TableParagraph"/>
              <w:spacing w:before="26"/>
              <w:ind w:left="27"/>
              <w:rPr>
                <w:sz w:val="21"/>
              </w:rPr>
            </w:pPr>
            <w:r>
              <w:rPr>
                <w:spacing w:val="-1"/>
                <w:sz w:val="21"/>
              </w:rPr>
              <w:t>美国贝奇尔/日本河谷</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16.</w:t>
            </w:r>
          </w:p>
        </w:tc>
        <w:tc>
          <w:tcPr>
            <w:tcW w:w="2396" w:type="dxa"/>
          </w:tcPr>
          <w:p>
            <w:pPr>
              <w:pStyle w:val="TableParagraph"/>
              <w:spacing w:before="26"/>
              <w:ind w:left="28"/>
              <w:rPr>
                <w:sz w:val="21"/>
              </w:rPr>
            </w:pPr>
            <w:r>
              <w:rPr>
                <w:spacing w:val="-2"/>
                <w:sz w:val="21"/>
              </w:rPr>
              <w:t>主要电器元件</w:t>
            </w:r>
          </w:p>
        </w:tc>
        <w:tc>
          <w:tcPr>
            <w:tcW w:w="2505" w:type="dxa"/>
          </w:tcPr>
          <w:p>
            <w:pPr>
              <w:pStyle w:val="TableParagraph"/>
              <w:rPr>
                <w:rFonts w:ascii="Times New Roman"/>
                <w:sz w:val="20"/>
              </w:rPr>
            </w:pPr>
          </w:p>
        </w:tc>
        <w:tc>
          <w:tcPr>
            <w:tcW w:w="3539" w:type="dxa"/>
          </w:tcPr>
          <w:p>
            <w:pPr>
              <w:pStyle w:val="TableParagraph"/>
              <w:spacing w:before="26"/>
              <w:ind w:left="27"/>
              <w:rPr>
                <w:sz w:val="21"/>
              </w:rPr>
            </w:pPr>
            <w:r>
              <w:rPr>
                <w:spacing w:val="-2"/>
                <w:sz w:val="21"/>
              </w:rPr>
              <w:t>德国西门子/施耐德</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17.</w:t>
            </w:r>
          </w:p>
        </w:tc>
        <w:tc>
          <w:tcPr>
            <w:tcW w:w="2396" w:type="dxa"/>
          </w:tcPr>
          <w:p>
            <w:pPr>
              <w:pStyle w:val="TableParagraph"/>
              <w:spacing w:before="26"/>
              <w:ind w:left="28"/>
              <w:rPr>
                <w:sz w:val="21"/>
              </w:rPr>
            </w:pPr>
            <w:r>
              <w:rPr>
                <w:spacing w:val="-3"/>
                <w:sz w:val="21"/>
              </w:rPr>
              <w:t>接线端子</w:t>
            </w:r>
          </w:p>
        </w:tc>
        <w:tc>
          <w:tcPr>
            <w:tcW w:w="2505" w:type="dxa"/>
          </w:tcPr>
          <w:p>
            <w:pPr>
              <w:pStyle w:val="TableParagraph"/>
              <w:rPr>
                <w:rFonts w:ascii="Times New Roman"/>
                <w:sz w:val="20"/>
              </w:rPr>
            </w:pPr>
          </w:p>
        </w:tc>
        <w:tc>
          <w:tcPr>
            <w:tcW w:w="3539" w:type="dxa"/>
          </w:tcPr>
          <w:p>
            <w:pPr>
              <w:pStyle w:val="TableParagraph"/>
              <w:spacing w:before="26"/>
              <w:ind w:left="27"/>
              <w:rPr>
                <w:sz w:val="21"/>
              </w:rPr>
            </w:pPr>
            <w:r>
              <w:rPr>
                <w:spacing w:val="-1"/>
                <w:sz w:val="21"/>
              </w:rPr>
              <w:t>德国西门子/德国魏德米勒</w:t>
            </w:r>
          </w:p>
        </w:tc>
      </w:tr>
      <w:tr>
        <w:tblPrEx>
          <w:tblW w:w="0" w:type="auto"/>
          <w:jc w:val="left"/>
          <w:tblInd w:w="512" w:type="dxa"/>
          <w:tblLayout w:type="fixed"/>
          <w:tblCellMar>
            <w:top w:w="0" w:type="dxa"/>
            <w:left w:w="0" w:type="dxa"/>
            <w:bottom w:w="0" w:type="dxa"/>
            <w:right w:w="0" w:type="dxa"/>
          </w:tblCellMar>
          <w:tblLook w:val="01E0"/>
        </w:tblPrEx>
        <w:trPr>
          <w:trHeight w:val="465"/>
          <w:jc w:val="left"/>
        </w:trPr>
        <w:tc>
          <w:tcPr>
            <w:tcW w:w="1024" w:type="dxa"/>
          </w:tcPr>
          <w:p>
            <w:pPr>
              <w:pStyle w:val="TableParagraph"/>
              <w:spacing w:before="100"/>
              <w:ind w:left="299"/>
              <w:rPr>
                <w:sz w:val="21"/>
              </w:rPr>
            </w:pPr>
            <w:r>
              <w:rPr>
                <w:spacing w:val="-5"/>
                <w:sz w:val="21"/>
              </w:rPr>
              <w:t>18.</w:t>
            </w:r>
          </w:p>
        </w:tc>
        <w:tc>
          <w:tcPr>
            <w:tcW w:w="2396" w:type="dxa"/>
          </w:tcPr>
          <w:p>
            <w:pPr>
              <w:pStyle w:val="TableParagraph"/>
              <w:spacing w:before="100"/>
              <w:ind w:left="28"/>
              <w:rPr>
                <w:sz w:val="21"/>
              </w:rPr>
            </w:pPr>
            <w:r>
              <w:rPr>
                <w:spacing w:val="-4"/>
                <w:sz w:val="21"/>
              </w:rPr>
              <w:t>接触器</w:t>
            </w:r>
          </w:p>
        </w:tc>
        <w:tc>
          <w:tcPr>
            <w:tcW w:w="2505" w:type="dxa"/>
          </w:tcPr>
          <w:p>
            <w:pPr>
              <w:pStyle w:val="TableParagraph"/>
              <w:rPr>
                <w:rFonts w:ascii="Times New Roman"/>
                <w:sz w:val="20"/>
              </w:rPr>
            </w:pPr>
          </w:p>
        </w:tc>
        <w:tc>
          <w:tcPr>
            <w:tcW w:w="3539" w:type="dxa"/>
          </w:tcPr>
          <w:p>
            <w:pPr>
              <w:pStyle w:val="TableParagraph"/>
              <w:spacing w:before="100"/>
              <w:ind w:left="27"/>
              <w:rPr>
                <w:sz w:val="21"/>
              </w:rPr>
            </w:pPr>
            <w:r>
              <w:rPr>
                <w:spacing w:val="-12"/>
                <w:sz w:val="21"/>
              </w:rPr>
              <w:t>德国西门子/德国威米勒</w:t>
            </w:r>
          </w:p>
        </w:tc>
      </w:tr>
      <w:tr>
        <w:tblPrEx>
          <w:tblW w:w="0" w:type="auto"/>
          <w:jc w:val="left"/>
          <w:tblInd w:w="512" w:type="dxa"/>
          <w:tblLayout w:type="fixed"/>
          <w:tblCellMar>
            <w:top w:w="0" w:type="dxa"/>
            <w:left w:w="0" w:type="dxa"/>
            <w:bottom w:w="0" w:type="dxa"/>
            <w:right w:w="0" w:type="dxa"/>
          </w:tblCellMar>
          <w:tblLook w:val="01E0"/>
        </w:tblPrEx>
        <w:trPr>
          <w:trHeight w:val="851"/>
          <w:jc w:val="left"/>
        </w:trPr>
        <w:tc>
          <w:tcPr>
            <w:tcW w:w="1024" w:type="dxa"/>
          </w:tcPr>
          <w:p>
            <w:pPr>
              <w:pStyle w:val="TableParagraph"/>
              <w:spacing w:before="16"/>
              <w:rPr>
                <w:rFonts w:ascii="微软雅黑"/>
                <w:b/>
                <w:sz w:val="15"/>
              </w:rPr>
            </w:pPr>
          </w:p>
          <w:p>
            <w:pPr>
              <w:pStyle w:val="TableParagraph"/>
              <w:ind w:left="299"/>
              <w:rPr>
                <w:sz w:val="21"/>
              </w:rPr>
            </w:pPr>
            <w:r>
              <w:rPr>
                <w:spacing w:val="-5"/>
                <w:sz w:val="21"/>
              </w:rPr>
              <w:t>19.</w:t>
            </w:r>
          </w:p>
        </w:tc>
        <w:tc>
          <w:tcPr>
            <w:tcW w:w="2396" w:type="dxa"/>
          </w:tcPr>
          <w:p>
            <w:pPr>
              <w:pStyle w:val="TableParagraph"/>
              <w:spacing w:before="4"/>
              <w:rPr>
                <w:rFonts w:ascii="微软雅黑"/>
                <w:b/>
                <w:sz w:val="12"/>
              </w:rPr>
            </w:pPr>
          </w:p>
          <w:p>
            <w:pPr>
              <w:pStyle w:val="TableParagraph"/>
              <w:ind w:left="28"/>
              <w:rPr>
                <w:sz w:val="21"/>
              </w:rPr>
            </w:pPr>
            <w:r>
              <w:rPr>
                <w:rFonts w:ascii="微软雅黑" w:eastAsia="微软雅黑"/>
                <w:b/>
                <w:sz w:val="21"/>
              </w:rPr>
              <w:t>*</w:t>
            </w:r>
            <w:r>
              <w:rPr>
                <w:spacing w:val="-3"/>
                <w:sz w:val="21"/>
              </w:rPr>
              <w:t>随机附件</w:t>
            </w:r>
          </w:p>
        </w:tc>
        <w:tc>
          <w:tcPr>
            <w:tcW w:w="6044" w:type="dxa"/>
            <w:gridSpan w:val="2"/>
          </w:tcPr>
          <w:p>
            <w:pPr>
              <w:pStyle w:val="TableParagraph"/>
              <w:spacing w:before="19" w:line="270" w:lineRule="atLeast"/>
              <w:ind w:left="27" w:right="-101"/>
              <w:rPr>
                <w:sz w:val="21"/>
              </w:rPr>
            </w:pPr>
            <w:r>
              <w:rPr>
                <w:spacing w:val="-5"/>
                <w:sz w:val="21"/>
              </w:rPr>
              <w:t xml:space="preserve">原厂标准附件,包含 </w:t>
            </w:r>
            <w:r>
              <w:rPr>
                <w:sz w:val="21"/>
              </w:rPr>
              <w:t>2</w:t>
            </w:r>
            <w:r>
              <w:rPr>
                <w:spacing w:val="-33"/>
                <w:sz w:val="21"/>
              </w:rPr>
              <w:t xml:space="preserve"> 套 </w:t>
            </w:r>
            <w:r>
              <w:rPr>
                <w:sz w:val="21"/>
              </w:rPr>
              <w:t>CF</w:t>
            </w:r>
            <w:r>
              <w:rPr>
                <w:spacing w:val="-10"/>
                <w:sz w:val="21"/>
              </w:rPr>
              <w:t xml:space="preserve"> 卡及卡套。</w:t>
            </w:r>
            <w:r>
              <w:rPr>
                <w:sz w:val="21"/>
              </w:rPr>
              <w:t>Mastercam</w:t>
            </w:r>
            <w:r>
              <w:rPr>
                <w:spacing w:val="-16"/>
                <w:sz w:val="21"/>
              </w:rPr>
              <w:t xml:space="preserve"> 正版版软件 </w:t>
            </w:r>
            <w:r>
              <w:rPr>
                <w:sz w:val="21"/>
              </w:rPr>
              <w:t>1</w:t>
            </w:r>
            <w:r>
              <w:rPr>
                <w:spacing w:val="-25"/>
                <w:sz w:val="21"/>
              </w:rPr>
              <w:t xml:space="preserve"> 个</w:t>
            </w:r>
            <w:r>
              <w:rPr>
                <w:spacing w:val="-16"/>
                <w:sz w:val="21"/>
              </w:rPr>
              <w:t xml:space="preserve">单机点，软件包含三轴、四轴，后置处理包括 </w:t>
            </w:r>
            <w:r>
              <w:rPr>
                <w:sz w:val="21"/>
              </w:rPr>
              <w:t>FANUC</w:t>
            </w:r>
            <w:r>
              <w:rPr>
                <w:spacing w:val="-15"/>
                <w:sz w:val="21"/>
              </w:rPr>
              <w:t xml:space="preserve"> 的三轴、四轴、</w:t>
            </w:r>
            <w:r>
              <w:rPr>
                <w:spacing w:val="-2"/>
                <w:sz w:val="21"/>
              </w:rPr>
              <w:t>西门子的三轴。需提供软件正版授权。</w:t>
            </w:r>
          </w:p>
        </w:tc>
      </w:tr>
      <w:tr>
        <w:tblPrEx>
          <w:tblW w:w="0" w:type="auto"/>
          <w:jc w:val="left"/>
          <w:tblInd w:w="512" w:type="dxa"/>
          <w:tblLayout w:type="fixed"/>
          <w:tblCellMar>
            <w:top w:w="0" w:type="dxa"/>
            <w:left w:w="0" w:type="dxa"/>
            <w:bottom w:w="0" w:type="dxa"/>
            <w:right w:w="0" w:type="dxa"/>
          </w:tblCellMar>
          <w:tblLook w:val="01E0"/>
        </w:tblPrEx>
        <w:trPr>
          <w:trHeight w:val="317"/>
          <w:jc w:val="left"/>
        </w:trPr>
        <w:tc>
          <w:tcPr>
            <w:tcW w:w="1024" w:type="dxa"/>
          </w:tcPr>
          <w:p>
            <w:pPr>
              <w:pStyle w:val="TableParagraph"/>
              <w:spacing w:before="26"/>
              <w:ind w:left="299"/>
              <w:rPr>
                <w:sz w:val="21"/>
              </w:rPr>
            </w:pPr>
            <w:r>
              <w:rPr>
                <w:spacing w:val="-5"/>
                <w:sz w:val="21"/>
              </w:rPr>
              <w:t>20.</w:t>
            </w:r>
          </w:p>
        </w:tc>
        <w:tc>
          <w:tcPr>
            <w:tcW w:w="2396" w:type="dxa"/>
          </w:tcPr>
          <w:p>
            <w:pPr>
              <w:pStyle w:val="TableParagraph"/>
              <w:spacing w:before="26"/>
              <w:ind w:left="28"/>
              <w:rPr>
                <w:sz w:val="21"/>
              </w:rPr>
            </w:pPr>
            <w:r>
              <w:rPr>
                <w:spacing w:val="-5"/>
                <w:sz w:val="21"/>
              </w:rPr>
              <w:t>其他</w:t>
            </w:r>
          </w:p>
        </w:tc>
        <w:tc>
          <w:tcPr>
            <w:tcW w:w="6044" w:type="dxa"/>
            <w:gridSpan w:val="2"/>
          </w:tcPr>
          <w:p>
            <w:pPr>
              <w:pStyle w:val="TableParagraph"/>
              <w:spacing w:before="26"/>
              <w:ind w:left="27"/>
              <w:rPr>
                <w:sz w:val="21"/>
              </w:rPr>
            </w:pPr>
            <w:r>
              <w:rPr>
                <w:spacing w:val="-2"/>
                <w:sz w:val="21"/>
              </w:rPr>
              <w:t>随机工具，随机资料</w:t>
            </w:r>
          </w:p>
        </w:tc>
      </w:tr>
    </w:tbl>
    <w:p>
      <w:pPr>
        <w:pStyle w:val="BodyText"/>
        <w:spacing w:before="7"/>
        <w:rPr>
          <w:rFonts w:ascii="微软雅黑"/>
          <w:b/>
          <w:sz w:val="19"/>
        </w:rPr>
      </w:pPr>
    </w:p>
    <w:p>
      <w:pPr>
        <w:spacing w:before="4" w:line="319" w:lineRule="exact"/>
        <w:ind w:left="254" w:right="0" w:firstLine="0"/>
        <w:jc w:val="left"/>
        <w:rPr>
          <w:rFonts w:ascii="微软雅黑" w:eastAsia="微软雅黑"/>
          <w:b/>
          <w:sz w:val="21"/>
        </w:rPr>
      </w:pPr>
      <w:r>
        <w:rPr>
          <w:rFonts w:ascii="微软雅黑" w:eastAsia="微软雅黑"/>
          <w:b/>
          <w:sz w:val="21"/>
        </w:rPr>
        <w:t>（二）</w:t>
      </w:r>
      <w:r>
        <w:rPr>
          <w:rFonts w:ascii="微软雅黑" w:eastAsia="微软雅黑"/>
          <w:b/>
          <w:spacing w:val="-1"/>
          <w:sz w:val="21"/>
        </w:rPr>
        <w:t>、五轴加工中心招标要求</w:t>
      </w:r>
    </w:p>
    <w:p>
      <w:pPr>
        <w:spacing w:before="0" w:line="319" w:lineRule="exact"/>
        <w:ind w:left="254" w:right="0" w:firstLine="0"/>
        <w:jc w:val="left"/>
        <w:rPr>
          <w:rFonts w:ascii="微软雅黑" w:eastAsia="微软雅黑"/>
          <w:b/>
          <w:sz w:val="21"/>
        </w:rPr>
      </w:pPr>
      <w:r>
        <w:pict>
          <v:shape id="_x0000_s1028" type="#_x0000_t202" style="width:467.25pt;height:246.8pt;margin-top:12.86pt;margin-left:72.38pt;mso-position-horizontal-relative:page;position:absolute;z-index:251661312" filled="f" stroked="f">
            <v:textbox inset="0,0,0,0">
              <w:txbxContent>
                <w:tbl>
                  <w:tblPr>
                    <w:tblStyle w:val="TableNormal4"/>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8375"/>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32"/>
                      <w:jc w:val="left"/>
                    </w:trPr>
                    <w:tc>
                      <w:tcPr>
                        <w:tcW w:w="960" w:type="dxa"/>
                      </w:tcPr>
                      <w:p>
                        <w:pPr>
                          <w:pStyle w:val="TableParagraph"/>
                          <w:spacing w:before="16"/>
                          <w:ind w:left="269"/>
                          <w:rPr>
                            <w:rFonts w:ascii="微软雅黑" w:eastAsia="微软雅黑"/>
                            <w:b/>
                            <w:sz w:val="21"/>
                          </w:rPr>
                        </w:pPr>
                        <w:r>
                          <w:rPr>
                            <w:rFonts w:ascii="微软雅黑" w:eastAsia="微软雅黑"/>
                            <w:b/>
                            <w:spacing w:val="-5"/>
                            <w:sz w:val="21"/>
                          </w:rPr>
                          <w:t>序号</w:t>
                        </w:r>
                      </w:p>
                    </w:tc>
                    <w:tc>
                      <w:tcPr>
                        <w:tcW w:w="8375" w:type="dxa"/>
                      </w:tcPr>
                      <w:p>
                        <w:pPr>
                          <w:pStyle w:val="TableParagraph"/>
                          <w:tabs>
                            <w:tab w:val="left" w:pos="1269"/>
                          </w:tabs>
                          <w:spacing w:before="65" w:line="347" w:lineRule="exact"/>
                          <w:ind w:left="9"/>
                          <w:jc w:val="center"/>
                          <w:rPr>
                            <w:rFonts w:ascii="微软雅黑" w:eastAsia="微软雅黑"/>
                            <w:b/>
                            <w:sz w:val="21"/>
                          </w:rPr>
                        </w:pPr>
                        <w:r>
                          <w:rPr>
                            <w:rFonts w:ascii="微软雅黑" w:eastAsia="微软雅黑"/>
                            <w:b/>
                            <w:spacing w:val="-10"/>
                            <w:sz w:val="21"/>
                          </w:rPr>
                          <w:t>内</w:t>
                        </w:r>
                        <w:r>
                          <w:rPr>
                            <w:rFonts w:ascii="微软雅黑" w:eastAsia="微软雅黑"/>
                            <w:b/>
                            <w:sz w:val="21"/>
                          </w:rPr>
                          <w:tab/>
                        </w:r>
                        <w:r>
                          <w:rPr>
                            <w:rFonts w:ascii="微软雅黑" w:eastAsia="微软雅黑"/>
                            <w:b/>
                            <w:spacing w:val="-10"/>
                            <w:sz w:val="21"/>
                          </w:rPr>
                          <w:t>容</w:t>
                        </w:r>
                      </w:p>
                    </w:tc>
                  </w:tr>
                  <w:tr>
                    <w:tblPrEx>
                      <w:tblW w:w="0" w:type="auto"/>
                      <w:jc w:val="left"/>
                      <w:tblInd w:w="5" w:type="dxa"/>
                      <w:tblLayout w:type="fixed"/>
                      <w:tblCellMar>
                        <w:top w:w="0" w:type="dxa"/>
                        <w:left w:w="0" w:type="dxa"/>
                        <w:bottom w:w="0" w:type="dxa"/>
                        <w:right w:w="0" w:type="dxa"/>
                      </w:tblCellMar>
                      <w:tblLook w:val="01E0"/>
                    </w:tblPrEx>
                    <w:trPr>
                      <w:trHeight w:val="944"/>
                      <w:jc w:val="left"/>
                    </w:trPr>
                    <w:tc>
                      <w:tcPr>
                        <w:tcW w:w="960" w:type="dxa"/>
                      </w:tcPr>
                      <w:p>
                        <w:pPr>
                          <w:pStyle w:val="TableParagraph"/>
                          <w:spacing w:before="13"/>
                          <w:rPr>
                            <w:rFonts w:ascii="微软雅黑"/>
                            <w:b/>
                            <w:sz w:val="20"/>
                          </w:rPr>
                        </w:pPr>
                      </w:p>
                      <w:p>
                        <w:pPr>
                          <w:pStyle w:val="TableParagraph"/>
                          <w:ind w:right="100"/>
                          <w:jc w:val="right"/>
                          <w:rPr>
                            <w:sz w:val="21"/>
                          </w:rPr>
                        </w:pPr>
                        <w:r>
                          <w:rPr>
                            <w:spacing w:val="-5"/>
                            <w:sz w:val="21"/>
                          </w:rPr>
                          <w:t>1．</w:t>
                        </w:r>
                      </w:p>
                    </w:tc>
                    <w:tc>
                      <w:tcPr>
                        <w:tcW w:w="8375" w:type="dxa"/>
                      </w:tcPr>
                      <w:p>
                        <w:pPr>
                          <w:pStyle w:val="TableParagraph"/>
                          <w:spacing w:before="115" w:line="290" w:lineRule="auto"/>
                          <w:ind w:left="27" w:right="-15"/>
                          <w:rPr>
                            <w:sz w:val="21"/>
                          </w:rPr>
                        </w:pPr>
                        <w:r>
                          <w:rPr>
                            <w:rFonts w:ascii="微软雅黑" w:eastAsia="微软雅黑"/>
                            <w:b/>
                            <w:spacing w:val="-2"/>
                            <w:sz w:val="21"/>
                          </w:rPr>
                          <w:t>*</w:t>
                        </w:r>
                        <w:r>
                          <w:rPr>
                            <w:spacing w:val="-4"/>
                            <w:sz w:val="21"/>
                          </w:rPr>
                          <w:t xml:space="preserve">光机铸件采用树脂砂造型，时效处理，性能稳定、刚性好。摇篮式五轴工作台实现 </w:t>
                        </w:r>
                        <w:r>
                          <w:rPr>
                            <w:spacing w:val="-2"/>
                            <w:sz w:val="21"/>
                          </w:rPr>
                          <w:t>X、Y</w:t>
                        </w:r>
                        <w:r>
                          <w:rPr>
                            <w:spacing w:val="-2"/>
                            <w:sz w:val="21"/>
                          </w:rPr>
                          <w:t xml:space="preserve">、 </w:t>
                        </w:r>
                        <w:r>
                          <w:rPr>
                            <w:sz w:val="21"/>
                          </w:rPr>
                          <w:t>Z、B、C</w:t>
                        </w:r>
                        <w:r>
                          <w:rPr>
                            <w:spacing w:val="-8"/>
                            <w:sz w:val="21"/>
                          </w:rPr>
                          <w:t xml:space="preserve"> 五轴五联动,五轴均采用全闭环控制</w:t>
                        </w:r>
                        <w:r>
                          <w:rPr>
                            <w:sz w:val="21"/>
                          </w:rPr>
                          <w:t>（采用与系统同一品牌的光栅及角度编码器</w:t>
                        </w:r>
                        <w:r>
                          <w:rPr>
                            <w:spacing w:val="-5"/>
                            <w:sz w:val="21"/>
                          </w:rPr>
                          <w:t>）.</w:t>
                        </w:r>
                      </w:p>
                    </w:tc>
                  </w:tr>
                  <w:tr>
                    <w:tblPrEx>
                      <w:tblW w:w="0" w:type="auto"/>
                      <w:jc w:val="left"/>
                      <w:tblInd w:w="5" w:type="dxa"/>
                      <w:tblLayout w:type="fixed"/>
                      <w:tblCellMar>
                        <w:top w:w="0" w:type="dxa"/>
                        <w:left w:w="0" w:type="dxa"/>
                        <w:bottom w:w="0" w:type="dxa"/>
                        <w:right w:w="0" w:type="dxa"/>
                      </w:tblCellMar>
                      <w:tblLook w:val="01E0"/>
                    </w:tblPrEx>
                    <w:trPr>
                      <w:trHeight w:val="411"/>
                      <w:jc w:val="left"/>
                    </w:trPr>
                    <w:tc>
                      <w:tcPr>
                        <w:tcW w:w="960" w:type="dxa"/>
                      </w:tcPr>
                      <w:p>
                        <w:pPr>
                          <w:pStyle w:val="TableParagraph"/>
                          <w:spacing w:before="116"/>
                          <w:ind w:right="100"/>
                          <w:jc w:val="right"/>
                          <w:rPr>
                            <w:sz w:val="21"/>
                          </w:rPr>
                        </w:pPr>
                        <w:r>
                          <w:rPr>
                            <w:spacing w:val="-5"/>
                            <w:sz w:val="21"/>
                          </w:rPr>
                          <w:t>2．</w:t>
                        </w:r>
                      </w:p>
                    </w:tc>
                    <w:tc>
                      <w:tcPr>
                        <w:tcW w:w="8375" w:type="dxa"/>
                      </w:tcPr>
                      <w:p>
                        <w:pPr>
                          <w:pStyle w:val="TableParagraph"/>
                          <w:spacing w:before="116"/>
                          <w:ind w:left="27"/>
                          <w:rPr>
                            <w:sz w:val="21"/>
                          </w:rPr>
                        </w:pPr>
                        <w:r>
                          <w:rPr>
                            <w:spacing w:val="-1"/>
                            <w:sz w:val="21"/>
                          </w:rPr>
                          <w:t>全封闭安全防护系统，外形美观、整洁；双开拉门，采用线轨导向。</w:t>
                        </w:r>
                      </w:p>
                    </w:tc>
                  </w:tr>
                  <w:tr>
                    <w:tblPrEx>
                      <w:tblW w:w="0" w:type="auto"/>
                      <w:jc w:val="left"/>
                      <w:tblInd w:w="5" w:type="dxa"/>
                      <w:tblLayout w:type="fixed"/>
                      <w:tblCellMar>
                        <w:top w:w="0" w:type="dxa"/>
                        <w:left w:w="0" w:type="dxa"/>
                        <w:bottom w:w="0" w:type="dxa"/>
                        <w:right w:w="0" w:type="dxa"/>
                      </w:tblCellMar>
                      <w:tblLook w:val="01E0"/>
                    </w:tblPrEx>
                    <w:trPr>
                      <w:trHeight w:val="411"/>
                      <w:jc w:val="left"/>
                    </w:trPr>
                    <w:tc>
                      <w:tcPr>
                        <w:tcW w:w="960" w:type="dxa"/>
                      </w:tcPr>
                      <w:p>
                        <w:pPr>
                          <w:pStyle w:val="TableParagraph"/>
                          <w:spacing w:before="116"/>
                          <w:ind w:right="100"/>
                          <w:jc w:val="right"/>
                          <w:rPr>
                            <w:sz w:val="21"/>
                          </w:rPr>
                        </w:pPr>
                        <w:r>
                          <w:rPr>
                            <w:spacing w:val="-5"/>
                            <w:sz w:val="21"/>
                          </w:rPr>
                          <w:t>3．</w:t>
                        </w:r>
                      </w:p>
                    </w:tc>
                    <w:tc>
                      <w:tcPr>
                        <w:tcW w:w="8375" w:type="dxa"/>
                      </w:tcPr>
                      <w:p>
                        <w:pPr>
                          <w:pStyle w:val="TableParagraph"/>
                          <w:spacing w:before="6" w:line="386" w:lineRule="exact"/>
                          <w:ind w:left="27"/>
                          <w:rPr>
                            <w:sz w:val="21"/>
                          </w:rPr>
                        </w:pPr>
                        <w:r>
                          <w:rPr>
                            <w:rFonts w:ascii="微软雅黑" w:eastAsia="微软雅黑"/>
                            <w:b/>
                            <w:sz w:val="21"/>
                          </w:rPr>
                          <w:t>*</w:t>
                        </w:r>
                        <w:r>
                          <w:rPr>
                            <w:spacing w:val="-1"/>
                            <w:sz w:val="21"/>
                          </w:rPr>
                          <w:t>主轴采用原装进口高速主轴部件，与电机直连，配有循环油冷装置，</w:t>
                        </w:r>
                      </w:p>
                    </w:tc>
                  </w:tr>
                  <w:tr>
                    <w:tblPrEx>
                      <w:tblW w:w="0" w:type="auto"/>
                      <w:jc w:val="left"/>
                      <w:tblInd w:w="5" w:type="dxa"/>
                      <w:tblLayout w:type="fixed"/>
                      <w:tblCellMar>
                        <w:top w:w="0" w:type="dxa"/>
                        <w:left w:w="0" w:type="dxa"/>
                        <w:bottom w:w="0" w:type="dxa"/>
                        <w:right w:w="0" w:type="dxa"/>
                      </w:tblCellMar>
                      <w:tblLook w:val="01E0"/>
                    </w:tblPrEx>
                    <w:trPr>
                      <w:trHeight w:val="412"/>
                      <w:jc w:val="left"/>
                    </w:trPr>
                    <w:tc>
                      <w:tcPr>
                        <w:tcW w:w="960" w:type="dxa"/>
                      </w:tcPr>
                      <w:p>
                        <w:pPr>
                          <w:pStyle w:val="TableParagraph"/>
                          <w:spacing w:before="116"/>
                          <w:ind w:right="100"/>
                          <w:jc w:val="right"/>
                          <w:rPr>
                            <w:sz w:val="21"/>
                          </w:rPr>
                        </w:pPr>
                        <w:r>
                          <w:rPr>
                            <w:spacing w:val="-5"/>
                            <w:sz w:val="21"/>
                          </w:rPr>
                          <w:t>4．</w:t>
                        </w:r>
                      </w:p>
                    </w:tc>
                    <w:tc>
                      <w:tcPr>
                        <w:tcW w:w="8375" w:type="dxa"/>
                      </w:tcPr>
                      <w:p>
                        <w:pPr>
                          <w:pStyle w:val="TableParagraph"/>
                          <w:spacing w:before="73"/>
                          <w:ind w:left="27"/>
                          <w:rPr>
                            <w:sz w:val="21"/>
                          </w:rPr>
                        </w:pPr>
                        <w:r>
                          <w:rPr>
                            <w:spacing w:val="-1"/>
                            <w:sz w:val="21"/>
                          </w:rPr>
                          <w:t>主轴箱配氮气平衡装置。</w:t>
                        </w:r>
                      </w:p>
                    </w:tc>
                  </w:tr>
                  <w:tr>
                    <w:tblPrEx>
                      <w:tblW w:w="0" w:type="auto"/>
                      <w:jc w:val="left"/>
                      <w:tblInd w:w="5" w:type="dxa"/>
                      <w:tblLayout w:type="fixed"/>
                      <w:tblCellMar>
                        <w:top w:w="0" w:type="dxa"/>
                        <w:left w:w="0" w:type="dxa"/>
                        <w:bottom w:w="0" w:type="dxa"/>
                        <w:right w:w="0" w:type="dxa"/>
                      </w:tblCellMar>
                      <w:tblLook w:val="01E0"/>
                    </w:tblPrEx>
                    <w:trPr>
                      <w:trHeight w:val="556"/>
                      <w:jc w:val="left"/>
                    </w:trPr>
                    <w:tc>
                      <w:tcPr>
                        <w:tcW w:w="960" w:type="dxa"/>
                      </w:tcPr>
                      <w:p>
                        <w:pPr>
                          <w:pStyle w:val="TableParagraph"/>
                          <w:spacing w:before="4"/>
                          <w:rPr>
                            <w:rFonts w:ascii="微软雅黑"/>
                            <w:b/>
                            <w:sz w:val="10"/>
                          </w:rPr>
                        </w:pPr>
                      </w:p>
                      <w:p>
                        <w:pPr>
                          <w:pStyle w:val="TableParagraph"/>
                          <w:ind w:right="100"/>
                          <w:jc w:val="right"/>
                          <w:rPr>
                            <w:sz w:val="21"/>
                          </w:rPr>
                        </w:pPr>
                        <w:r>
                          <w:rPr>
                            <w:spacing w:val="-5"/>
                            <w:sz w:val="21"/>
                          </w:rPr>
                          <w:t>5．</w:t>
                        </w:r>
                      </w:p>
                    </w:tc>
                    <w:tc>
                      <w:tcPr>
                        <w:tcW w:w="8375" w:type="dxa"/>
                      </w:tcPr>
                      <w:p>
                        <w:pPr>
                          <w:pStyle w:val="TableParagraph"/>
                          <w:spacing w:line="270" w:lineRule="atLeast"/>
                          <w:ind w:left="27" w:right="16"/>
                          <w:rPr>
                            <w:sz w:val="21"/>
                          </w:rPr>
                        </w:pPr>
                        <w:r>
                          <w:rPr>
                            <w:sz w:val="21"/>
                          </w:rPr>
                          <w:t>X、Y、Z</w:t>
                        </w:r>
                        <w:r>
                          <w:rPr>
                            <w:spacing w:val="-8"/>
                            <w:sz w:val="21"/>
                          </w:rPr>
                          <w:t xml:space="preserve"> 三轴均由伺服电机通过联轴器与滚珠丝杠直联</w:t>
                        </w:r>
                        <w:r>
                          <w:rPr>
                            <w:sz w:val="21"/>
                          </w:rPr>
                          <w:t>，Z</w:t>
                        </w:r>
                        <w:r>
                          <w:rPr>
                            <w:spacing w:val="-8"/>
                            <w:sz w:val="21"/>
                          </w:rPr>
                          <w:t xml:space="preserve"> 轴伺服电机带有自动抱闸功能，</w:t>
                        </w:r>
                        <w:r>
                          <w:rPr>
                            <w:spacing w:val="-2"/>
                            <w:sz w:val="21"/>
                          </w:rPr>
                          <w:t>三轴均具有过载保护。</w:t>
                        </w:r>
                      </w:p>
                    </w:tc>
                  </w:tr>
                  <w:tr>
                    <w:tblPrEx>
                      <w:tblW w:w="0" w:type="auto"/>
                      <w:jc w:val="left"/>
                      <w:tblInd w:w="5" w:type="dxa"/>
                      <w:tblLayout w:type="fixed"/>
                      <w:tblCellMar>
                        <w:top w:w="0" w:type="dxa"/>
                        <w:left w:w="0" w:type="dxa"/>
                        <w:bottom w:w="0" w:type="dxa"/>
                        <w:right w:w="0" w:type="dxa"/>
                      </w:tblCellMar>
                      <w:tblLook w:val="01E0"/>
                    </w:tblPrEx>
                    <w:trPr>
                      <w:trHeight w:val="412"/>
                      <w:jc w:val="left"/>
                    </w:trPr>
                    <w:tc>
                      <w:tcPr>
                        <w:tcW w:w="960" w:type="dxa"/>
                      </w:tcPr>
                      <w:p>
                        <w:pPr>
                          <w:pStyle w:val="TableParagraph"/>
                          <w:spacing w:before="116"/>
                          <w:ind w:right="100"/>
                          <w:jc w:val="right"/>
                          <w:rPr>
                            <w:sz w:val="21"/>
                          </w:rPr>
                        </w:pPr>
                        <w:r>
                          <w:rPr>
                            <w:spacing w:val="-5"/>
                            <w:sz w:val="21"/>
                          </w:rPr>
                          <w:t>6．</w:t>
                        </w:r>
                      </w:p>
                    </w:tc>
                    <w:tc>
                      <w:tcPr>
                        <w:tcW w:w="8375" w:type="dxa"/>
                      </w:tcPr>
                      <w:p>
                        <w:pPr>
                          <w:pStyle w:val="TableParagraph"/>
                          <w:spacing w:before="73"/>
                          <w:ind w:left="27"/>
                          <w:rPr>
                            <w:sz w:val="21"/>
                          </w:rPr>
                        </w:pPr>
                        <w:r>
                          <w:rPr>
                            <w:sz w:val="21"/>
                          </w:rPr>
                          <w:t>X、Y、Z</w:t>
                        </w:r>
                        <w:r>
                          <w:rPr>
                            <w:spacing w:val="-9"/>
                            <w:sz w:val="21"/>
                          </w:rPr>
                          <w:t xml:space="preserve"> 三轴均采用直线滚珠导轨，三向导轨和丝杠配备不锈钢防护罩。</w:t>
                        </w:r>
                      </w:p>
                    </w:tc>
                  </w:tr>
                  <w:tr>
                    <w:tblPrEx>
                      <w:tblW w:w="0" w:type="auto"/>
                      <w:jc w:val="left"/>
                      <w:tblInd w:w="5" w:type="dxa"/>
                      <w:tblLayout w:type="fixed"/>
                      <w:tblCellMar>
                        <w:top w:w="0" w:type="dxa"/>
                        <w:left w:w="0" w:type="dxa"/>
                        <w:bottom w:w="0" w:type="dxa"/>
                        <w:right w:w="0" w:type="dxa"/>
                      </w:tblCellMar>
                      <w:tblLook w:val="01E0"/>
                    </w:tblPrEx>
                    <w:trPr>
                      <w:trHeight w:val="416"/>
                      <w:jc w:val="left"/>
                    </w:trPr>
                    <w:tc>
                      <w:tcPr>
                        <w:tcW w:w="960" w:type="dxa"/>
                      </w:tcPr>
                      <w:p>
                        <w:pPr>
                          <w:pStyle w:val="TableParagraph"/>
                          <w:spacing w:before="118"/>
                          <w:ind w:right="100"/>
                          <w:jc w:val="right"/>
                          <w:rPr>
                            <w:sz w:val="21"/>
                          </w:rPr>
                        </w:pPr>
                        <w:r>
                          <w:rPr>
                            <w:spacing w:val="-5"/>
                            <w:sz w:val="21"/>
                          </w:rPr>
                          <w:t>7．</w:t>
                        </w:r>
                      </w:p>
                    </w:tc>
                    <w:tc>
                      <w:tcPr>
                        <w:tcW w:w="8375" w:type="dxa"/>
                      </w:tcPr>
                      <w:p>
                        <w:pPr>
                          <w:pStyle w:val="TableParagraph"/>
                          <w:spacing w:before="75"/>
                          <w:ind w:left="27"/>
                          <w:rPr>
                            <w:sz w:val="21"/>
                          </w:rPr>
                        </w:pPr>
                        <w:r>
                          <w:rPr>
                            <w:spacing w:val="-1"/>
                            <w:sz w:val="21"/>
                          </w:rPr>
                          <w:t>各滑动表面、滚珠丝杆及轴承实现定时定量自动润滑，润滑泵有液位检测报警功能。</w:t>
                        </w:r>
                      </w:p>
                    </w:tc>
                  </w:tr>
                  <w:tr>
                    <w:tblPrEx>
                      <w:tblW w:w="0" w:type="auto"/>
                      <w:jc w:val="left"/>
                      <w:tblInd w:w="5" w:type="dxa"/>
                      <w:tblLayout w:type="fixed"/>
                      <w:tblCellMar>
                        <w:top w:w="0" w:type="dxa"/>
                        <w:left w:w="0" w:type="dxa"/>
                        <w:bottom w:w="0" w:type="dxa"/>
                        <w:right w:w="0" w:type="dxa"/>
                      </w:tblCellMar>
                      <w:tblLook w:val="01E0"/>
                    </w:tblPrEx>
                    <w:trPr>
                      <w:trHeight w:val="416"/>
                      <w:jc w:val="left"/>
                    </w:trPr>
                    <w:tc>
                      <w:tcPr>
                        <w:tcW w:w="960" w:type="dxa"/>
                      </w:tcPr>
                      <w:p>
                        <w:pPr>
                          <w:pStyle w:val="TableParagraph"/>
                          <w:spacing w:before="118"/>
                          <w:ind w:right="100"/>
                          <w:jc w:val="right"/>
                          <w:rPr>
                            <w:sz w:val="21"/>
                          </w:rPr>
                        </w:pPr>
                        <w:r>
                          <w:rPr>
                            <w:spacing w:val="-5"/>
                            <w:sz w:val="21"/>
                          </w:rPr>
                          <w:t>8．</w:t>
                        </w:r>
                      </w:p>
                    </w:tc>
                    <w:tc>
                      <w:tcPr>
                        <w:tcW w:w="8375" w:type="dxa"/>
                      </w:tcPr>
                      <w:p>
                        <w:pPr>
                          <w:pStyle w:val="TableParagraph"/>
                          <w:spacing w:before="75"/>
                          <w:ind w:left="27"/>
                          <w:rPr>
                            <w:sz w:val="21"/>
                          </w:rPr>
                        </w:pPr>
                        <w:r>
                          <w:rPr>
                            <w:spacing w:val="-3"/>
                            <w:sz w:val="21"/>
                          </w:rPr>
                          <w:t xml:space="preserve">切削区具有水冷和气冷装置，并可以通过 </w:t>
                        </w:r>
                        <w:r>
                          <w:rPr>
                            <w:sz w:val="21"/>
                          </w:rPr>
                          <w:t>M</w:t>
                        </w:r>
                        <w:r>
                          <w:rPr>
                            <w:spacing w:val="-9"/>
                            <w:sz w:val="21"/>
                          </w:rPr>
                          <w:t xml:space="preserve"> 代码或控制面板控制；配置清洁气枪。</w:t>
                        </w:r>
                      </w:p>
                    </w:tc>
                  </w:tr>
                  <w:tr>
                    <w:tblPrEx>
                      <w:tblW w:w="0" w:type="auto"/>
                      <w:jc w:val="left"/>
                      <w:tblInd w:w="5" w:type="dxa"/>
                      <w:tblLayout w:type="fixed"/>
                      <w:tblCellMar>
                        <w:top w:w="0" w:type="dxa"/>
                        <w:left w:w="0" w:type="dxa"/>
                        <w:bottom w:w="0" w:type="dxa"/>
                        <w:right w:w="0" w:type="dxa"/>
                      </w:tblCellMar>
                      <w:tblLook w:val="01E0"/>
                    </w:tblPrEx>
                    <w:trPr>
                      <w:trHeight w:val="416"/>
                      <w:jc w:val="left"/>
                    </w:trPr>
                    <w:tc>
                      <w:tcPr>
                        <w:tcW w:w="960" w:type="dxa"/>
                      </w:tcPr>
                      <w:p>
                        <w:pPr>
                          <w:pStyle w:val="TableParagraph"/>
                          <w:spacing w:before="118"/>
                          <w:ind w:right="100"/>
                          <w:jc w:val="right"/>
                          <w:rPr>
                            <w:sz w:val="21"/>
                          </w:rPr>
                        </w:pPr>
                        <w:r>
                          <w:rPr>
                            <w:spacing w:val="-5"/>
                            <w:sz w:val="21"/>
                          </w:rPr>
                          <w:t>9．</w:t>
                        </w:r>
                      </w:p>
                    </w:tc>
                    <w:tc>
                      <w:tcPr>
                        <w:tcW w:w="8375" w:type="dxa"/>
                      </w:tcPr>
                      <w:p>
                        <w:pPr>
                          <w:pStyle w:val="TableParagraph"/>
                          <w:spacing w:before="9"/>
                          <w:ind w:left="27"/>
                          <w:rPr>
                            <w:sz w:val="21"/>
                          </w:rPr>
                        </w:pPr>
                        <w:r>
                          <w:rPr>
                            <w:sz w:val="21"/>
                          </w:rPr>
                          <w:t>*</w:t>
                        </w:r>
                        <w:r>
                          <w:rPr>
                            <w:spacing w:val="-5"/>
                            <w:sz w:val="21"/>
                          </w:rPr>
                          <w:t xml:space="preserve">机床操作区上装有不少于 </w:t>
                        </w:r>
                        <w:r>
                          <w:rPr>
                            <w:sz w:val="21"/>
                          </w:rPr>
                          <w:t>16</w:t>
                        </w:r>
                        <w:r>
                          <w:rPr>
                            <w:spacing w:val="-22"/>
                            <w:sz w:val="21"/>
                          </w:rPr>
                          <w:t xml:space="preserve"> 工位的 </w:t>
                        </w:r>
                        <w:r>
                          <w:rPr>
                            <w:sz w:val="21"/>
                          </w:rPr>
                          <w:t>BT40</w:t>
                        </w:r>
                        <w:r>
                          <w:rPr>
                            <w:spacing w:val="-10"/>
                            <w:sz w:val="21"/>
                          </w:rPr>
                          <w:t xml:space="preserve"> 双层刀柄托架</w:t>
                        </w:r>
                      </w:p>
                    </w:tc>
                  </w:tr>
                </w:tbl>
                <w:p>
                  <w:pPr>
                    <w:pStyle w:val="BodyText"/>
                  </w:pPr>
                </w:p>
              </w:txbxContent>
            </v:textbox>
          </v:shape>
        </w:pict>
      </w:r>
      <w:r>
        <w:rPr>
          <w:rFonts w:ascii="微软雅黑" w:eastAsia="微软雅黑"/>
          <w:b/>
          <w:spacing w:val="-4"/>
          <w:sz w:val="21"/>
        </w:rPr>
        <w:t>1</w:t>
      </w:r>
      <w:r>
        <w:rPr>
          <w:rFonts w:ascii="微软雅黑" w:eastAsia="微软雅黑"/>
          <w:b/>
          <w:spacing w:val="-5"/>
          <w:sz w:val="21"/>
        </w:rPr>
        <w:t>、机床结构、技术要求</w:t>
      </w:r>
    </w:p>
    <w:p>
      <w:pPr>
        <w:spacing w:after="0" w:line="319" w:lineRule="exact"/>
        <w:jc w:val="left"/>
        <w:rPr>
          <w:rFonts w:ascii="微软雅黑" w:eastAsia="微软雅黑"/>
          <w:sz w:val="21"/>
        </w:rPr>
      </w:pPr>
      <w:r>
        <w:rPr>
          <w:rFonts w:ascii="微软雅黑" w:eastAsia="微软雅黑"/>
          <w:sz w:val="21"/>
        </w:rPr>
        <w:br/>
      </w:r>
      <w:r>
        <w:rPr>
          <w:rFonts w:ascii="微软雅黑" w:eastAsia="微软雅黑"/>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2" w:history="1">
        <w:r>
          <w:rPr>
            <w:rFonts w:ascii="SimSun" w:eastAsia="SimSun" w:hAnsi="SimSun" w:cs="SimSun"/>
            <w:b/>
            <w:bCs/>
            <w:color w:val="0000EE"/>
            <w:sz w:val="30"/>
            <w:szCs w:val="30"/>
            <w:u w:val="single" w:color="0000EE"/>
          </w:rPr>
          <w:t>https://d.book118.com/498003000027006043</w:t>
        </w:r>
      </w:hyperlink>
    </w:p>
    <w:p>
      <w:pPr>
        <w:spacing w:after="0" w:line="319" w:lineRule="exact"/>
        <w:jc w:val="left"/>
        <w:rPr>
          <w:rFonts w:ascii="微软雅黑" w:eastAsia="微软雅黑"/>
          <w:sz w:val="21"/>
        </w:rPr>
      </w:pPr>
    </w:p>
    <w:sectPr>
      <w:headerReference w:type="default" r:id="rId33"/>
      <w:footerReference w:type="default" r:id="rId34"/>
      <w:pgSz w:w="12240" w:h="15840"/>
      <w:pgMar w:top="1080" w:right="880" w:bottom="920" w:left="880" w:header="748" w:footer="731"/>
      <w:pgNumType w:start="1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38pt;height:12pt;margin-top:744.45pt;margin-left:266.75pt;mso-position-horizontal-relative:page;mso-position-vertical-relative:page;position:absolute;z-index:-25165824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52" type="#_x0000_t202" style="width:38pt;height:12pt;margin-top:744.45pt;margin-left:307.25pt;mso-position-horizontal-relative:page;mso-position-vertical-relative:page;position:absolute;z-index:-251657216"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38pt;height:12pt;margin-top:744.45pt;margin-left:266.75pt;mso-position-horizontal-relative:page;mso-position-vertical-relative:page;position:absolute;z-index:-25163980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10</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88" type="#_x0000_t202" style="width:38pt;height:12pt;margin-top:744.45pt;margin-left:307.25pt;mso-position-horizontal-relative:page;mso-position-vertical-relative:page;position:absolute;z-index:-251638784"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38pt;height:12pt;margin-top:744.45pt;margin-left:266.75pt;mso-position-horizontal-relative:page;mso-position-vertical-relative:page;position:absolute;z-index:-25163776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92" type="#_x0000_t202" style="width:38pt;height:12pt;margin-top:744.45pt;margin-left:307.25pt;mso-position-horizontal-relative:page;mso-position-vertical-relative:page;position:absolute;z-index:-251636736"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38pt;height:12pt;margin-top:744.45pt;margin-left:266.75pt;mso-position-horizontal-relative:page;mso-position-vertical-relative:page;position:absolute;z-index:-25163571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12</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96" type="#_x0000_t202" style="width:38pt;height:12pt;margin-top:744.45pt;margin-left:307.25pt;mso-position-horizontal-relative:page;mso-position-vertical-relative:page;position:absolute;z-index:-251634688"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38pt;height:12pt;margin-top:744.45pt;margin-left:266.75pt;mso-position-horizontal-relative:page;mso-position-vertical-relative:page;position:absolute;z-index:-25163366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13</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100" type="#_x0000_t202" style="width:38pt;height:12pt;margin-top:744.45pt;margin-left:307.25pt;mso-position-horizontal-relative:page;mso-position-vertical-relative:page;position:absolute;z-index:-251632640"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38pt;height:12pt;margin-top:744.45pt;margin-left:266.75pt;mso-position-horizontal-relative:page;mso-position-vertical-relative:page;position:absolute;z-index:-25163161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14</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104" type="#_x0000_t202" style="width:38pt;height:12pt;margin-top:744.45pt;margin-left:307.25pt;mso-position-horizontal-relative:page;mso-position-vertical-relative:page;position:absolute;z-index:-251630592"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38pt;height:12pt;margin-top:744.45pt;margin-left:266.75pt;mso-position-horizontal-relative:page;mso-position-vertical-relative:page;position:absolute;z-index:-25162956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108" type="#_x0000_t202" style="width:38pt;height:12pt;margin-top:744.45pt;margin-left:307.25pt;mso-position-horizontal-relative:page;mso-position-vertical-relative:page;position:absolute;z-index:-251628544"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38pt;height:12pt;margin-top:744.45pt;margin-left:266.75pt;mso-position-horizontal-relative:page;mso-position-vertical-relative:page;position:absolute;z-index:-25165619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56" type="#_x0000_t202" style="width:38pt;height:12pt;margin-top:744.45pt;margin-left:307.25pt;mso-position-horizontal-relative:page;mso-position-vertical-relative:page;position:absolute;z-index:-251655168"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38pt;height:12pt;margin-top:744.45pt;margin-left:266.75pt;mso-position-horizontal-relative:page;mso-position-vertical-relative:page;position:absolute;z-index:-25165414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60" type="#_x0000_t202" style="width:38pt;height:12pt;margin-top:744.45pt;margin-left:307.25pt;mso-position-horizontal-relative:page;mso-position-vertical-relative:page;position:absolute;z-index:-251653120"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38pt;height:12pt;margin-top:744.45pt;margin-left:266.75pt;mso-position-horizontal-relative:page;mso-position-vertical-relative:page;position:absolute;z-index:-25165209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4</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64" type="#_x0000_t202" style="width:38pt;height:12pt;margin-top:744.45pt;margin-left:307.25pt;mso-position-horizontal-relative:page;mso-position-vertical-relative:page;position:absolute;z-index:-251651072"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38pt;height:12pt;margin-top:744.45pt;margin-left:266.75pt;mso-position-horizontal-relative:page;mso-position-vertical-relative:page;position:absolute;z-index:-25165004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68" type="#_x0000_t202" style="width:38pt;height:12pt;margin-top:744.45pt;margin-left:307.25pt;mso-position-horizontal-relative:page;mso-position-vertical-relative:page;position:absolute;z-index:-251649024"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38pt;height:12pt;margin-top:744.45pt;margin-left:266.75pt;mso-position-horizontal-relative:page;mso-position-vertical-relative:page;position:absolute;z-index:-25164800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6</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72" type="#_x0000_t202" style="width:38pt;height:12pt;margin-top:744.45pt;margin-left:307.25pt;mso-position-horizontal-relative:page;mso-position-vertical-relative:page;position:absolute;z-index:-251646976"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38pt;height:12pt;margin-top:744.45pt;margin-left:266.75pt;mso-position-horizontal-relative:page;mso-position-vertical-relative:page;position:absolute;z-index:-25164595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7</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76" type="#_x0000_t202" style="width:38pt;height:12pt;margin-top:744.45pt;margin-left:307.25pt;mso-position-horizontal-relative:page;mso-position-vertical-relative:page;position:absolute;z-index:-251644928"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38pt;height:12pt;margin-top:744.45pt;margin-left:266.75pt;mso-position-horizontal-relative:page;mso-position-vertical-relative:page;position:absolute;z-index:-25164390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8</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80" type="#_x0000_t202" style="width:38pt;height:12pt;margin-top:744.45pt;margin-left:307.25pt;mso-position-horizontal-relative:page;mso-position-vertical-relative:page;position:absolute;z-index:-251642880"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8pt;height:12pt;margin-top:744.45pt;margin-left:266.75pt;mso-position-horizontal-relative:page;mso-position-vertical-relative:page;position:absolute;z-index:-25164185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9</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r>
      <w:pict>
        <v:shape id="_x0000_s2084" type="#_x0000_t202" style="width:38pt;height:12pt;margin-top:744.45pt;margin-left:307.25pt;mso-position-horizontal-relative:page;mso-position-vertical-relative:page;position:absolute;z-index:-251640832" filled="f" stroked="f">
          <v:textbox inset="0,0,0,0">
            <w:txbxContent>
              <w:p>
                <w:pPr>
                  <w:spacing w:before="0"/>
                  <w:ind w:left="20" w:right="0" w:firstLine="0"/>
                  <w:jc w:val="left"/>
                  <w:rPr>
                    <w:sz w:val="18"/>
                  </w:rPr>
                </w:pPr>
                <w:r>
                  <w:rPr>
                    <w:sz w:val="18"/>
                  </w:rPr>
                  <w:t xml:space="preserve">共 </w:t>
                </w:r>
                <w:r>
                  <w:rPr>
                    <w:rFonts w:ascii="Times New Roman" w:eastAsia="Times New Roman"/>
                    <w:sz w:val="18"/>
                  </w:rPr>
                  <w:fldChar w:fldCharType="begin"/>
                </w:r>
                <w:r>
                  <w:rPr>
                    <w:rFonts w:ascii="Times New Roman" w:eastAsia="Times New Roman"/>
                    <w:sz w:val="18"/>
                  </w:rPr>
                  <w:instrText xml:space="preserve"> NUMPAGES </w:instrText>
                </w:r>
                <w:r>
                  <w:rPr>
                    <w:rFonts w:ascii="Times New Roman" w:eastAsia="Times New Roman"/>
                    <w:sz w:val="18"/>
                  </w:rPr>
                  <w:fldChar w:fldCharType="separate"/>
                </w:r>
                <w:r>
                  <w:rPr>
                    <w:rFonts w:ascii="Times New Roman" w:eastAsia="Times New Roman"/>
                    <w:sz w:val="18"/>
                  </w:rPr>
                  <w:t>15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style="mso-position-horizontal-relative:page;mso-position-vertical-relative:page;position:absolute;z-index:-251658240"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50" type="#_x0000_t202" style="width:164pt;height:11pt;margin-top:36.41pt;margin-left:392.3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5" style="mso-position-horizontal-relative:page;mso-position-vertical-relative:page;position:absolute;z-index:-251639808"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86" type="#_x0000_t202" style="width:164pt;height:11pt;margin-top:36.41pt;margin-left:392.3pt;mso-position-horizontal-relative:page;mso-position-vertical-relative:page;position:absolute;z-index:-251638784"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9" style="mso-position-horizontal-relative:page;mso-position-vertical-relative:page;position:absolute;z-index:-251637760"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90" type="#_x0000_t202" style="width:164pt;height:11pt;margin-top:36.41pt;margin-left:392.3pt;mso-position-horizontal-relative:page;mso-position-vertical-relative:page;position:absolute;z-index:-251636736"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3" style="mso-position-horizontal-relative:page;mso-position-vertical-relative:page;position:absolute;z-index:-251635712"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94" type="#_x0000_t202" style="width:164pt;height:11pt;margin-top:36.41pt;margin-left:392.3pt;mso-position-horizontal-relative:page;mso-position-vertical-relative:page;position:absolute;z-index:-251634688"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7" style="mso-position-horizontal-relative:page;mso-position-vertical-relative:page;position:absolute;z-index:-251633664"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98" type="#_x0000_t202" style="width:164pt;height:11pt;margin-top:36.41pt;margin-left:392.3pt;mso-position-horizontal-relative:page;mso-position-vertical-relative:page;position:absolute;z-index:-251632640"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1" style="mso-position-horizontal-relative:page;mso-position-vertical-relative:page;position:absolute;z-index:-251631616"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102" type="#_x0000_t202" style="width:164pt;height:11pt;margin-top:36.41pt;margin-left:392.3pt;mso-position-horizontal-relative:page;mso-position-vertical-relative:page;position:absolute;z-index:-251630592"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5" style="mso-position-horizontal-relative:page;mso-position-vertical-relative:page;position:absolute;z-index:-251629568"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106" type="#_x0000_t202" style="width:164pt;height:11pt;margin-top:36.41pt;margin-left:392.3pt;mso-position-horizontal-relative:page;mso-position-vertical-relative:page;position:absolute;z-index:-251628544"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style="mso-position-horizontal-relative:page;mso-position-vertical-relative:page;position:absolute;z-index:-251656192"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54" type="#_x0000_t202" style="width:164pt;height:11pt;margin-top:36.41pt;margin-left:392.3pt;mso-position-horizontal-relative:page;mso-position-vertical-relative:page;position:absolute;z-index:-251655168"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7" style="mso-position-horizontal-relative:page;mso-position-vertical-relative:page;position:absolute;z-index:-251654144"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58" type="#_x0000_t202" style="width:164pt;height:11pt;margin-top:36.41pt;margin-left:392.3pt;mso-position-horizontal-relative:page;mso-position-vertical-relative:page;position:absolute;z-index:-251653120"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1" style="mso-position-horizontal-relative:page;mso-position-vertical-relative:page;position:absolute;z-index:-251652096"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62" type="#_x0000_t202" style="width:164pt;height:11pt;margin-top:36.41pt;margin-left:392.3pt;mso-position-horizontal-relative:page;mso-position-vertical-relative:page;position:absolute;z-index:-251651072"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5" style="mso-position-horizontal-relative:page;mso-position-vertical-relative:page;position:absolute;z-index:-251650048"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66" type="#_x0000_t202" style="width:164pt;height:11pt;margin-top:36.41pt;margin-left:392.3pt;mso-position-horizontal-relative:page;mso-position-vertical-relative:page;position:absolute;z-index:-251649024"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9" style="mso-position-horizontal-relative:page;mso-position-vertical-relative:page;position:absolute;z-index:-251648000"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70" type="#_x0000_t202" style="width:164pt;height:11pt;margin-top:36.41pt;margin-left:392.3pt;mso-position-horizontal-relative:page;mso-position-vertical-relative:page;position:absolute;z-index:-251646976"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3" style="mso-position-horizontal-relative:page;mso-position-vertical-relative:page;position:absolute;z-index:-251645952"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74" type="#_x0000_t202" style="width:164pt;height:11pt;margin-top:36.41pt;margin-left:392.3pt;mso-position-horizontal-relative:page;mso-position-vertical-relative:page;position:absolute;z-index:-251644928"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7" style="mso-position-horizontal-relative:page;mso-position-vertical-relative:page;position:absolute;z-index:-251643904"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78" type="#_x0000_t202" style="width:164pt;height:11pt;margin-top:36.41pt;margin-left:392.3pt;mso-position-horizontal-relative:page;mso-position-vertical-relative:page;position:absolute;z-index:-251642880"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1" style="mso-position-horizontal-relative:page;mso-position-vertical-relative:page;position:absolute;z-index:-251641856" from="55.25pt,49.05pt" to="556.75pt,49.05pt" stroked="t" strokecolor="black" strokeweight="0.75pt">
          <v:stroke dashstyle="solid"/>
        </v:line>
      </w:pict>
    </w:r>
    <w:r>
      <w:pict>
        <v:shapetype id="_x0000_t202" coordsize="21600,21600" o:spt="202" path="m,l,21600r21600,l21600,xe">
          <v:stroke joinstyle="miter"/>
          <v:path gradientshapeok="t" o:connecttype="rect"/>
        </v:shapetype>
        <v:shape id="_x0000_s2082" type="#_x0000_t202" style="width:164pt;height:11pt;margin-top:36.41pt;margin-left:392.3pt;mso-position-horizontal-relative:page;mso-position-vertical-relative:page;position:absolute;z-index:-251640832" filled="f" stroked="f">
          <v:textbox inset="0,0,0,0">
            <w:txbxContent>
              <w:p>
                <w:pPr>
                  <w:spacing w:before="0" w:line="220" w:lineRule="exact"/>
                  <w:ind w:left="20" w:right="0" w:firstLine="0"/>
                  <w:jc w:val="left"/>
                  <w:rPr>
                    <w:sz w:val="18"/>
                  </w:rPr>
                </w:pPr>
                <w:r>
                  <w:rPr>
                    <w:spacing w:val="-1"/>
                    <w:sz w:val="18"/>
                  </w:rPr>
                  <w:t>南京市六合区政府采购中心公开招标文件</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E00ED"/>
    <w:multiLevelType w:val="hybridMultilevel"/>
    <w:tmpl w:val="00000000"/>
    <w:lvl w:ilvl="0">
      <w:start w:val="3"/>
      <w:numFmt w:val="decimal"/>
      <w:lvlText w:val="%1"/>
      <w:lvlJc w:val="left"/>
      <w:pPr>
        <w:ind w:left="254" w:hanging="368"/>
        <w:jc w:val="left"/>
      </w:pPr>
      <w:rPr>
        <w:rFonts w:hint="default"/>
        <w:lang w:val="en-US" w:eastAsia="zh-CN" w:bidi="ar-SA"/>
      </w:rPr>
    </w:lvl>
    <w:lvl w:ilvl="1">
      <w:start w:val="1"/>
      <w:numFmt w:val="decimal"/>
      <w:lvlText w:val="%1.%2"/>
      <w:lvlJc w:val="left"/>
      <w:pPr>
        <w:ind w:left="254" w:hanging="368"/>
        <w:jc w:val="left"/>
      </w:pPr>
      <w:rPr>
        <w:rFonts w:ascii="宋体" w:eastAsia="宋体" w:hAnsi="宋体" w:cs="宋体" w:hint="default"/>
        <w:b w:val="0"/>
        <w:bCs w:val="0"/>
        <w:i w:val="0"/>
        <w:iCs w:val="0"/>
        <w:w w:val="100"/>
        <w:sz w:val="21"/>
        <w:szCs w:val="21"/>
        <w:lang w:val="en-US" w:eastAsia="zh-CN" w:bidi="ar-SA"/>
      </w:rPr>
    </w:lvl>
    <w:lvl w:ilvl="2">
      <w:start w:val="1"/>
      <w:numFmt w:val="decimal"/>
      <w:lvlText w:val="（%3）"/>
      <w:lvlJc w:val="left"/>
      <w:pPr>
        <w:ind w:left="1340" w:hanging="526"/>
        <w:jc w:val="left"/>
      </w:pPr>
      <w:rPr>
        <w:rFonts w:ascii="宋体" w:eastAsia="宋体" w:hAnsi="宋体" w:cs="宋体" w:hint="default"/>
        <w:b w:val="0"/>
        <w:bCs w:val="0"/>
        <w:i w:val="0"/>
        <w:iCs w:val="0"/>
        <w:w w:val="100"/>
        <w:sz w:val="19"/>
        <w:szCs w:val="19"/>
        <w:lang w:val="en-US" w:eastAsia="zh-CN" w:bidi="ar-SA"/>
      </w:rPr>
    </w:lvl>
    <w:lvl w:ilvl="3">
      <w:start w:val="0"/>
      <w:numFmt w:val="bullet"/>
      <w:lvlText w:val="•"/>
      <w:lvlJc w:val="left"/>
      <w:pPr>
        <w:ind w:left="3371" w:hanging="526"/>
      </w:pPr>
      <w:rPr>
        <w:rFonts w:hint="default"/>
        <w:lang w:val="en-US" w:eastAsia="zh-CN" w:bidi="ar-SA"/>
      </w:rPr>
    </w:lvl>
    <w:lvl w:ilvl="4">
      <w:start w:val="0"/>
      <w:numFmt w:val="bullet"/>
      <w:lvlText w:val="•"/>
      <w:lvlJc w:val="left"/>
      <w:pPr>
        <w:ind w:left="4386" w:hanging="526"/>
      </w:pPr>
      <w:rPr>
        <w:rFonts w:hint="default"/>
        <w:lang w:val="en-US" w:eastAsia="zh-CN" w:bidi="ar-SA"/>
      </w:rPr>
    </w:lvl>
    <w:lvl w:ilvl="5">
      <w:start w:val="0"/>
      <w:numFmt w:val="bullet"/>
      <w:lvlText w:val="•"/>
      <w:lvlJc w:val="left"/>
      <w:pPr>
        <w:ind w:left="5402" w:hanging="526"/>
      </w:pPr>
      <w:rPr>
        <w:rFonts w:hint="default"/>
        <w:lang w:val="en-US" w:eastAsia="zh-CN" w:bidi="ar-SA"/>
      </w:rPr>
    </w:lvl>
    <w:lvl w:ilvl="6">
      <w:start w:val="0"/>
      <w:numFmt w:val="bullet"/>
      <w:lvlText w:val="•"/>
      <w:lvlJc w:val="left"/>
      <w:pPr>
        <w:ind w:left="6417" w:hanging="526"/>
      </w:pPr>
      <w:rPr>
        <w:rFonts w:hint="default"/>
        <w:lang w:val="en-US" w:eastAsia="zh-CN" w:bidi="ar-SA"/>
      </w:rPr>
    </w:lvl>
    <w:lvl w:ilvl="7">
      <w:start w:val="0"/>
      <w:numFmt w:val="bullet"/>
      <w:lvlText w:val="•"/>
      <w:lvlJc w:val="left"/>
      <w:pPr>
        <w:ind w:left="7433" w:hanging="526"/>
      </w:pPr>
      <w:rPr>
        <w:rFonts w:hint="default"/>
        <w:lang w:val="en-US" w:eastAsia="zh-CN" w:bidi="ar-SA"/>
      </w:rPr>
    </w:lvl>
    <w:lvl w:ilvl="8">
      <w:start w:val="0"/>
      <w:numFmt w:val="bullet"/>
      <w:lvlText w:val="•"/>
      <w:lvlJc w:val="left"/>
      <w:pPr>
        <w:ind w:left="8448" w:hanging="526"/>
      </w:pPr>
      <w:rPr>
        <w:rFonts w:hint="default"/>
        <w:lang w:val="en-US" w:eastAsia="zh-CN" w:bidi="ar-SA"/>
      </w:rPr>
    </w:lvl>
  </w:abstractNum>
  <w:abstractNum w:abstractNumId="1">
    <w:nsid w:val="0060A5E6"/>
    <w:multiLevelType w:val="hybridMultilevel"/>
    <w:tmpl w:val="00000000"/>
    <w:lvl w:ilvl="0">
      <w:start w:val="1"/>
      <w:numFmt w:val="decimal"/>
      <w:lvlText w:val="%1."/>
      <w:lvlJc w:val="left"/>
      <w:pPr>
        <w:ind w:left="226" w:hanging="211"/>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661" w:hanging="211"/>
      </w:pPr>
      <w:rPr>
        <w:rFonts w:hint="default"/>
        <w:lang w:val="en-US" w:eastAsia="zh-CN" w:bidi="ar-SA"/>
      </w:rPr>
    </w:lvl>
    <w:lvl w:ilvl="2">
      <w:start w:val="0"/>
      <w:numFmt w:val="bullet"/>
      <w:lvlText w:val="•"/>
      <w:lvlJc w:val="left"/>
      <w:pPr>
        <w:ind w:left="1102" w:hanging="211"/>
      </w:pPr>
      <w:rPr>
        <w:rFonts w:hint="default"/>
        <w:lang w:val="en-US" w:eastAsia="zh-CN" w:bidi="ar-SA"/>
      </w:rPr>
    </w:lvl>
    <w:lvl w:ilvl="3">
      <w:start w:val="0"/>
      <w:numFmt w:val="bullet"/>
      <w:lvlText w:val="•"/>
      <w:lvlJc w:val="left"/>
      <w:pPr>
        <w:ind w:left="1543" w:hanging="211"/>
      </w:pPr>
      <w:rPr>
        <w:rFonts w:hint="default"/>
        <w:lang w:val="en-US" w:eastAsia="zh-CN" w:bidi="ar-SA"/>
      </w:rPr>
    </w:lvl>
    <w:lvl w:ilvl="4">
      <w:start w:val="0"/>
      <w:numFmt w:val="bullet"/>
      <w:lvlText w:val="•"/>
      <w:lvlJc w:val="left"/>
      <w:pPr>
        <w:ind w:left="1984" w:hanging="211"/>
      </w:pPr>
      <w:rPr>
        <w:rFonts w:hint="default"/>
        <w:lang w:val="en-US" w:eastAsia="zh-CN" w:bidi="ar-SA"/>
      </w:rPr>
    </w:lvl>
    <w:lvl w:ilvl="5">
      <w:start w:val="0"/>
      <w:numFmt w:val="bullet"/>
      <w:lvlText w:val="•"/>
      <w:lvlJc w:val="left"/>
      <w:pPr>
        <w:ind w:left="2425" w:hanging="211"/>
      </w:pPr>
      <w:rPr>
        <w:rFonts w:hint="default"/>
        <w:lang w:val="en-US" w:eastAsia="zh-CN" w:bidi="ar-SA"/>
      </w:rPr>
    </w:lvl>
    <w:lvl w:ilvl="6">
      <w:start w:val="0"/>
      <w:numFmt w:val="bullet"/>
      <w:lvlText w:val="•"/>
      <w:lvlJc w:val="left"/>
      <w:pPr>
        <w:ind w:left="2866" w:hanging="211"/>
      </w:pPr>
      <w:rPr>
        <w:rFonts w:hint="default"/>
        <w:lang w:val="en-US" w:eastAsia="zh-CN" w:bidi="ar-SA"/>
      </w:rPr>
    </w:lvl>
    <w:lvl w:ilvl="7">
      <w:start w:val="0"/>
      <w:numFmt w:val="bullet"/>
      <w:lvlText w:val="•"/>
      <w:lvlJc w:val="left"/>
      <w:pPr>
        <w:ind w:left="3307" w:hanging="211"/>
      </w:pPr>
      <w:rPr>
        <w:rFonts w:hint="default"/>
        <w:lang w:val="en-US" w:eastAsia="zh-CN" w:bidi="ar-SA"/>
      </w:rPr>
    </w:lvl>
    <w:lvl w:ilvl="8">
      <w:start w:val="0"/>
      <w:numFmt w:val="bullet"/>
      <w:lvlText w:val="•"/>
      <w:lvlJc w:val="left"/>
      <w:pPr>
        <w:ind w:left="3748" w:hanging="211"/>
      </w:pPr>
      <w:rPr>
        <w:rFonts w:hint="default"/>
        <w:lang w:val="en-US" w:eastAsia="zh-CN" w:bidi="ar-SA"/>
      </w:rPr>
    </w:lvl>
  </w:abstractNum>
  <w:abstractNum w:abstractNumId="2">
    <w:nsid w:val="025710C2"/>
    <w:multiLevelType w:val="hybridMultilevel"/>
    <w:tmpl w:val="00000000"/>
    <w:lvl w:ilvl="0">
      <w:start w:val="21"/>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3">
    <w:nsid w:val="02A21F61"/>
    <w:multiLevelType w:val="hybridMultilevel"/>
    <w:tmpl w:val="00000000"/>
    <w:lvl w:ilvl="0">
      <w:start w:val="14"/>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4">
    <w:nsid w:val="039E3F52"/>
    <w:multiLevelType w:val="hybridMultilevel"/>
    <w:tmpl w:val="00000000"/>
    <w:lvl w:ilvl="0">
      <w:start w:val="1"/>
      <w:numFmt w:val="decimal"/>
      <w:lvlText w:val="%1"/>
      <w:lvlJc w:val="left"/>
      <w:pPr>
        <w:ind w:left="1041" w:hanging="368"/>
        <w:jc w:val="left"/>
      </w:pPr>
      <w:rPr>
        <w:rFonts w:hint="default"/>
        <w:lang w:val="en-US" w:eastAsia="zh-CN" w:bidi="ar-SA"/>
      </w:rPr>
    </w:lvl>
    <w:lvl w:ilvl="1">
      <w:start w:val="1"/>
      <w:numFmt w:val="decimal"/>
      <w:lvlText w:val="%1.%2"/>
      <w:lvlJc w:val="left"/>
      <w:pPr>
        <w:ind w:left="1041" w:hanging="368"/>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28" w:hanging="368"/>
      </w:pPr>
      <w:rPr>
        <w:rFonts w:hint="default"/>
        <w:lang w:val="en-US" w:eastAsia="zh-CN" w:bidi="ar-SA"/>
      </w:rPr>
    </w:lvl>
    <w:lvl w:ilvl="3">
      <w:start w:val="0"/>
      <w:numFmt w:val="bullet"/>
      <w:lvlText w:val="•"/>
      <w:lvlJc w:val="left"/>
      <w:pPr>
        <w:ind w:left="3872" w:hanging="368"/>
      </w:pPr>
      <w:rPr>
        <w:rFonts w:hint="default"/>
        <w:lang w:val="en-US" w:eastAsia="zh-CN" w:bidi="ar-SA"/>
      </w:rPr>
    </w:lvl>
    <w:lvl w:ilvl="4">
      <w:start w:val="0"/>
      <w:numFmt w:val="bullet"/>
      <w:lvlText w:val="•"/>
      <w:lvlJc w:val="left"/>
      <w:pPr>
        <w:ind w:left="4816" w:hanging="368"/>
      </w:pPr>
      <w:rPr>
        <w:rFonts w:hint="default"/>
        <w:lang w:val="en-US" w:eastAsia="zh-CN" w:bidi="ar-SA"/>
      </w:rPr>
    </w:lvl>
    <w:lvl w:ilvl="5">
      <w:start w:val="0"/>
      <w:numFmt w:val="bullet"/>
      <w:lvlText w:val="•"/>
      <w:lvlJc w:val="left"/>
      <w:pPr>
        <w:ind w:left="5760" w:hanging="368"/>
      </w:pPr>
      <w:rPr>
        <w:rFonts w:hint="default"/>
        <w:lang w:val="en-US" w:eastAsia="zh-CN" w:bidi="ar-SA"/>
      </w:rPr>
    </w:lvl>
    <w:lvl w:ilvl="6">
      <w:start w:val="0"/>
      <w:numFmt w:val="bullet"/>
      <w:lvlText w:val="•"/>
      <w:lvlJc w:val="left"/>
      <w:pPr>
        <w:ind w:left="6704" w:hanging="368"/>
      </w:pPr>
      <w:rPr>
        <w:rFonts w:hint="default"/>
        <w:lang w:val="en-US" w:eastAsia="zh-CN" w:bidi="ar-SA"/>
      </w:rPr>
    </w:lvl>
    <w:lvl w:ilvl="7">
      <w:start w:val="0"/>
      <w:numFmt w:val="bullet"/>
      <w:lvlText w:val="•"/>
      <w:lvlJc w:val="left"/>
      <w:pPr>
        <w:ind w:left="7648" w:hanging="368"/>
      </w:pPr>
      <w:rPr>
        <w:rFonts w:hint="default"/>
        <w:lang w:val="en-US" w:eastAsia="zh-CN" w:bidi="ar-SA"/>
      </w:rPr>
    </w:lvl>
    <w:lvl w:ilvl="8">
      <w:start w:val="0"/>
      <w:numFmt w:val="bullet"/>
      <w:lvlText w:val="•"/>
      <w:lvlJc w:val="left"/>
      <w:pPr>
        <w:ind w:left="8592" w:hanging="368"/>
      </w:pPr>
      <w:rPr>
        <w:rFonts w:hint="default"/>
        <w:lang w:val="en-US" w:eastAsia="zh-CN" w:bidi="ar-SA"/>
      </w:rPr>
    </w:lvl>
  </w:abstractNum>
  <w:abstractNum w:abstractNumId="5">
    <w:nsid w:val="041C54CC"/>
    <w:multiLevelType w:val="hybridMultilevel"/>
    <w:tmpl w:val="00000000"/>
    <w:lvl w:ilvl="0">
      <w:start w:val="1"/>
      <w:numFmt w:val="decimal"/>
      <w:lvlText w:val="%1."/>
      <w:lvlJc w:val="left"/>
      <w:pPr>
        <w:ind w:left="254" w:hanging="316"/>
        <w:jc w:val="left"/>
      </w:pPr>
      <w:rPr>
        <w:rFonts w:ascii="宋体" w:eastAsia="宋体" w:hAnsi="宋体" w:cs="宋体" w:hint="default"/>
        <w:b w:val="0"/>
        <w:bCs w:val="0"/>
        <w:i w:val="0"/>
        <w:iCs w:val="0"/>
        <w:spacing w:val="-5"/>
        <w:w w:val="100"/>
        <w:sz w:val="19"/>
        <w:szCs w:val="19"/>
        <w:lang w:val="en-US" w:eastAsia="zh-CN" w:bidi="ar-SA"/>
      </w:rPr>
    </w:lvl>
    <w:lvl w:ilvl="1">
      <w:start w:val="1"/>
      <w:numFmt w:val="decimal"/>
      <w:lvlText w:val="%2."/>
      <w:lvlJc w:val="left"/>
      <w:pPr>
        <w:ind w:left="1095" w:hanging="316"/>
        <w:jc w:val="left"/>
      </w:pPr>
      <w:rPr>
        <w:rFonts w:ascii="宋体" w:eastAsia="宋体" w:hAnsi="宋体" w:cs="宋体" w:hint="default"/>
        <w:b w:val="0"/>
        <w:bCs w:val="0"/>
        <w:i w:val="0"/>
        <w:iCs w:val="0"/>
        <w:w w:val="100"/>
        <w:sz w:val="19"/>
        <w:szCs w:val="19"/>
        <w:lang w:val="en-US" w:eastAsia="zh-CN" w:bidi="ar-SA"/>
      </w:rPr>
    </w:lvl>
    <w:lvl w:ilvl="2">
      <w:start w:val="0"/>
      <w:numFmt w:val="bullet"/>
      <w:lvlText w:val="•"/>
      <w:lvlJc w:val="left"/>
      <w:pPr>
        <w:ind w:left="2142" w:hanging="316"/>
      </w:pPr>
      <w:rPr>
        <w:rFonts w:hint="default"/>
        <w:lang w:val="en-US" w:eastAsia="zh-CN" w:bidi="ar-SA"/>
      </w:rPr>
    </w:lvl>
    <w:lvl w:ilvl="3">
      <w:start w:val="0"/>
      <w:numFmt w:val="bullet"/>
      <w:lvlText w:val="•"/>
      <w:lvlJc w:val="left"/>
      <w:pPr>
        <w:ind w:left="3184" w:hanging="316"/>
      </w:pPr>
      <w:rPr>
        <w:rFonts w:hint="default"/>
        <w:lang w:val="en-US" w:eastAsia="zh-CN" w:bidi="ar-SA"/>
      </w:rPr>
    </w:lvl>
    <w:lvl w:ilvl="4">
      <w:start w:val="0"/>
      <w:numFmt w:val="bullet"/>
      <w:lvlText w:val="•"/>
      <w:lvlJc w:val="left"/>
      <w:pPr>
        <w:ind w:left="4226" w:hanging="316"/>
      </w:pPr>
      <w:rPr>
        <w:rFonts w:hint="default"/>
        <w:lang w:val="en-US" w:eastAsia="zh-CN" w:bidi="ar-SA"/>
      </w:rPr>
    </w:lvl>
    <w:lvl w:ilvl="5">
      <w:start w:val="0"/>
      <w:numFmt w:val="bullet"/>
      <w:lvlText w:val="•"/>
      <w:lvlJc w:val="left"/>
      <w:pPr>
        <w:ind w:left="5268" w:hanging="316"/>
      </w:pPr>
      <w:rPr>
        <w:rFonts w:hint="default"/>
        <w:lang w:val="en-US" w:eastAsia="zh-CN" w:bidi="ar-SA"/>
      </w:rPr>
    </w:lvl>
    <w:lvl w:ilvl="6">
      <w:start w:val="0"/>
      <w:numFmt w:val="bullet"/>
      <w:lvlText w:val="•"/>
      <w:lvlJc w:val="left"/>
      <w:pPr>
        <w:ind w:left="6311" w:hanging="316"/>
      </w:pPr>
      <w:rPr>
        <w:rFonts w:hint="default"/>
        <w:lang w:val="en-US" w:eastAsia="zh-CN" w:bidi="ar-SA"/>
      </w:rPr>
    </w:lvl>
    <w:lvl w:ilvl="7">
      <w:start w:val="0"/>
      <w:numFmt w:val="bullet"/>
      <w:lvlText w:val="•"/>
      <w:lvlJc w:val="left"/>
      <w:pPr>
        <w:ind w:left="7353" w:hanging="316"/>
      </w:pPr>
      <w:rPr>
        <w:rFonts w:hint="default"/>
        <w:lang w:val="en-US" w:eastAsia="zh-CN" w:bidi="ar-SA"/>
      </w:rPr>
    </w:lvl>
    <w:lvl w:ilvl="8">
      <w:start w:val="0"/>
      <w:numFmt w:val="bullet"/>
      <w:lvlText w:val="•"/>
      <w:lvlJc w:val="left"/>
      <w:pPr>
        <w:ind w:left="8395" w:hanging="316"/>
      </w:pPr>
      <w:rPr>
        <w:rFonts w:hint="default"/>
        <w:lang w:val="en-US" w:eastAsia="zh-CN" w:bidi="ar-SA"/>
      </w:rPr>
    </w:lvl>
  </w:abstractNum>
  <w:abstractNum w:abstractNumId="6">
    <w:nsid w:val="0507FC68"/>
    <w:multiLevelType w:val="hybridMultilevel"/>
    <w:tmpl w:val="00000000"/>
    <w:lvl w:ilvl="0">
      <w:start w:val="17"/>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7">
    <w:nsid w:val="06CE9ADE"/>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8">
    <w:nsid w:val="08FE6908"/>
    <w:multiLevelType w:val="hybridMultilevel"/>
    <w:tmpl w:val="00000000"/>
    <w:lvl w:ilvl="0">
      <w:start w:val="24"/>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9">
    <w:nsid w:val="0C4E5229"/>
    <w:multiLevelType w:val="hybridMultilevel"/>
    <w:tmpl w:val="00000000"/>
    <w:lvl w:ilvl="0">
      <w:start w:val="15"/>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10">
    <w:nsid w:val="1012F020"/>
    <w:multiLevelType w:val="hybridMultilevel"/>
    <w:tmpl w:val="00000000"/>
    <w:lvl w:ilvl="0">
      <w:start w:val="7"/>
      <w:numFmt w:val="decimal"/>
      <w:lvlText w:val="%1"/>
      <w:lvlJc w:val="left"/>
      <w:pPr>
        <w:ind w:left="1041" w:hanging="368"/>
        <w:jc w:val="left"/>
      </w:pPr>
      <w:rPr>
        <w:rFonts w:hint="default"/>
        <w:lang w:val="en-US" w:eastAsia="zh-CN" w:bidi="ar-SA"/>
      </w:rPr>
    </w:lvl>
    <w:lvl w:ilvl="1">
      <w:start w:val="1"/>
      <w:numFmt w:val="decimal"/>
      <w:lvlText w:val="%1.%2"/>
      <w:lvlJc w:val="left"/>
      <w:pPr>
        <w:ind w:left="1041" w:hanging="368"/>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28" w:hanging="368"/>
      </w:pPr>
      <w:rPr>
        <w:rFonts w:hint="default"/>
        <w:lang w:val="en-US" w:eastAsia="zh-CN" w:bidi="ar-SA"/>
      </w:rPr>
    </w:lvl>
    <w:lvl w:ilvl="3">
      <w:start w:val="0"/>
      <w:numFmt w:val="bullet"/>
      <w:lvlText w:val="•"/>
      <w:lvlJc w:val="left"/>
      <w:pPr>
        <w:ind w:left="3872" w:hanging="368"/>
      </w:pPr>
      <w:rPr>
        <w:rFonts w:hint="default"/>
        <w:lang w:val="en-US" w:eastAsia="zh-CN" w:bidi="ar-SA"/>
      </w:rPr>
    </w:lvl>
    <w:lvl w:ilvl="4">
      <w:start w:val="0"/>
      <w:numFmt w:val="bullet"/>
      <w:lvlText w:val="•"/>
      <w:lvlJc w:val="left"/>
      <w:pPr>
        <w:ind w:left="4816" w:hanging="368"/>
      </w:pPr>
      <w:rPr>
        <w:rFonts w:hint="default"/>
        <w:lang w:val="en-US" w:eastAsia="zh-CN" w:bidi="ar-SA"/>
      </w:rPr>
    </w:lvl>
    <w:lvl w:ilvl="5">
      <w:start w:val="0"/>
      <w:numFmt w:val="bullet"/>
      <w:lvlText w:val="•"/>
      <w:lvlJc w:val="left"/>
      <w:pPr>
        <w:ind w:left="5760" w:hanging="368"/>
      </w:pPr>
      <w:rPr>
        <w:rFonts w:hint="default"/>
        <w:lang w:val="en-US" w:eastAsia="zh-CN" w:bidi="ar-SA"/>
      </w:rPr>
    </w:lvl>
    <w:lvl w:ilvl="6">
      <w:start w:val="0"/>
      <w:numFmt w:val="bullet"/>
      <w:lvlText w:val="•"/>
      <w:lvlJc w:val="left"/>
      <w:pPr>
        <w:ind w:left="6704" w:hanging="368"/>
      </w:pPr>
      <w:rPr>
        <w:rFonts w:hint="default"/>
        <w:lang w:val="en-US" w:eastAsia="zh-CN" w:bidi="ar-SA"/>
      </w:rPr>
    </w:lvl>
    <w:lvl w:ilvl="7">
      <w:start w:val="0"/>
      <w:numFmt w:val="bullet"/>
      <w:lvlText w:val="•"/>
      <w:lvlJc w:val="left"/>
      <w:pPr>
        <w:ind w:left="7648" w:hanging="368"/>
      </w:pPr>
      <w:rPr>
        <w:rFonts w:hint="default"/>
        <w:lang w:val="en-US" w:eastAsia="zh-CN" w:bidi="ar-SA"/>
      </w:rPr>
    </w:lvl>
    <w:lvl w:ilvl="8">
      <w:start w:val="0"/>
      <w:numFmt w:val="bullet"/>
      <w:lvlText w:val="•"/>
      <w:lvlJc w:val="left"/>
      <w:pPr>
        <w:ind w:left="8592" w:hanging="368"/>
      </w:pPr>
      <w:rPr>
        <w:rFonts w:hint="default"/>
        <w:lang w:val="en-US" w:eastAsia="zh-CN" w:bidi="ar-SA"/>
      </w:rPr>
    </w:lvl>
  </w:abstractNum>
  <w:abstractNum w:abstractNumId="11">
    <w:nsid w:val="11F61789"/>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12">
    <w:nsid w:val="14B6FF5E"/>
    <w:multiLevelType w:val="hybridMultilevel"/>
    <w:tmpl w:val="00000000"/>
    <w:lvl w:ilvl="0">
      <w:start w:val="18"/>
      <w:numFmt w:val="decimal"/>
      <w:lvlText w:val="%1."/>
      <w:lvlJc w:val="left"/>
      <w:pPr>
        <w:ind w:left="331" w:hanging="31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769" w:hanging="316"/>
      </w:pPr>
      <w:rPr>
        <w:rFonts w:hint="default"/>
        <w:lang w:val="en-US" w:eastAsia="zh-CN" w:bidi="ar-SA"/>
      </w:rPr>
    </w:lvl>
    <w:lvl w:ilvl="2">
      <w:start w:val="0"/>
      <w:numFmt w:val="bullet"/>
      <w:lvlText w:val="•"/>
      <w:lvlJc w:val="left"/>
      <w:pPr>
        <w:ind w:left="1198" w:hanging="316"/>
      </w:pPr>
      <w:rPr>
        <w:rFonts w:hint="default"/>
        <w:lang w:val="en-US" w:eastAsia="zh-CN" w:bidi="ar-SA"/>
      </w:rPr>
    </w:lvl>
    <w:lvl w:ilvl="3">
      <w:start w:val="0"/>
      <w:numFmt w:val="bullet"/>
      <w:lvlText w:val="•"/>
      <w:lvlJc w:val="left"/>
      <w:pPr>
        <w:ind w:left="1627" w:hanging="316"/>
      </w:pPr>
      <w:rPr>
        <w:rFonts w:hint="default"/>
        <w:lang w:val="en-US" w:eastAsia="zh-CN" w:bidi="ar-SA"/>
      </w:rPr>
    </w:lvl>
    <w:lvl w:ilvl="4">
      <w:start w:val="0"/>
      <w:numFmt w:val="bullet"/>
      <w:lvlText w:val="•"/>
      <w:lvlJc w:val="left"/>
      <w:pPr>
        <w:ind w:left="2056" w:hanging="316"/>
      </w:pPr>
      <w:rPr>
        <w:rFonts w:hint="default"/>
        <w:lang w:val="en-US" w:eastAsia="zh-CN" w:bidi="ar-SA"/>
      </w:rPr>
    </w:lvl>
    <w:lvl w:ilvl="5">
      <w:start w:val="0"/>
      <w:numFmt w:val="bullet"/>
      <w:lvlText w:val="•"/>
      <w:lvlJc w:val="left"/>
      <w:pPr>
        <w:ind w:left="2485" w:hanging="316"/>
      </w:pPr>
      <w:rPr>
        <w:rFonts w:hint="default"/>
        <w:lang w:val="en-US" w:eastAsia="zh-CN" w:bidi="ar-SA"/>
      </w:rPr>
    </w:lvl>
    <w:lvl w:ilvl="6">
      <w:start w:val="0"/>
      <w:numFmt w:val="bullet"/>
      <w:lvlText w:val="•"/>
      <w:lvlJc w:val="left"/>
      <w:pPr>
        <w:ind w:left="2914" w:hanging="316"/>
      </w:pPr>
      <w:rPr>
        <w:rFonts w:hint="default"/>
        <w:lang w:val="en-US" w:eastAsia="zh-CN" w:bidi="ar-SA"/>
      </w:rPr>
    </w:lvl>
    <w:lvl w:ilvl="7">
      <w:start w:val="0"/>
      <w:numFmt w:val="bullet"/>
      <w:lvlText w:val="•"/>
      <w:lvlJc w:val="left"/>
      <w:pPr>
        <w:ind w:left="3343" w:hanging="316"/>
      </w:pPr>
      <w:rPr>
        <w:rFonts w:hint="default"/>
        <w:lang w:val="en-US" w:eastAsia="zh-CN" w:bidi="ar-SA"/>
      </w:rPr>
    </w:lvl>
    <w:lvl w:ilvl="8">
      <w:start w:val="0"/>
      <w:numFmt w:val="bullet"/>
      <w:lvlText w:val="•"/>
      <w:lvlJc w:val="left"/>
      <w:pPr>
        <w:ind w:left="3772" w:hanging="316"/>
      </w:pPr>
      <w:rPr>
        <w:rFonts w:hint="default"/>
        <w:lang w:val="en-US" w:eastAsia="zh-CN" w:bidi="ar-SA"/>
      </w:rPr>
    </w:lvl>
  </w:abstractNum>
  <w:abstractNum w:abstractNumId="13">
    <w:nsid w:val="150DBB31"/>
    <w:multiLevelType w:val="hybridMultilevel"/>
    <w:tmpl w:val="00000000"/>
    <w:lvl w:ilvl="0">
      <w:start w:val="27"/>
      <w:numFmt w:val="decimal"/>
      <w:lvlText w:val="%1"/>
      <w:lvlJc w:val="left"/>
      <w:pPr>
        <w:ind w:left="254" w:hanging="525"/>
        <w:jc w:val="left"/>
      </w:pPr>
      <w:rPr>
        <w:rFonts w:hint="default"/>
        <w:lang w:val="en-US" w:eastAsia="zh-CN" w:bidi="ar-SA"/>
      </w:rPr>
    </w:lvl>
    <w:lvl w:ilvl="1">
      <w:start w:val="1"/>
      <w:numFmt w:val="decimal"/>
      <w:lvlText w:val="%1.%2"/>
      <w:lvlJc w:val="left"/>
      <w:pPr>
        <w:ind w:left="254"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304" w:hanging="525"/>
      </w:pPr>
      <w:rPr>
        <w:rFonts w:hint="default"/>
        <w:lang w:val="en-US" w:eastAsia="zh-CN" w:bidi="ar-SA"/>
      </w:rPr>
    </w:lvl>
    <w:lvl w:ilvl="3">
      <w:start w:val="0"/>
      <w:numFmt w:val="bullet"/>
      <w:lvlText w:val="•"/>
      <w:lvlJc w:val="left"/>
      <w:pPr>
        <w:ind w:left="3326" w:hanging="525"/>
      </w:pPr>
      <w:rPr>
        <w:rFonts w:hint="default"/>
        <w:lang w:val="en-US" w:eastAsia="zh-CN" w:bidi="ar-SA"/>
      </w:rPr>
    </w:lvl>
    <w:lvl w:ilvl="4">
      <w:start w:val="0"/>
      <w:numFmt w:val="bullet"/>
      <w:lvlText w:val="•"/>
      <w:lvlJc w:val="left"/>
      <w:pPr>
        <w:ind w:left="4348" w:hanging="525"/>
      </w:pPr>
      <w:rPr>
        <w:rFonts w:hint="default"/>
        <w:lang w:val="en-US" w:eastAsia="zh-CN" w:bidi="ar-SA"/>
      </w:rPr>
    </w:lvl>
    <w:lvl w:ilvl="5">
      <w:start w:val="0"/>
      <w:numFmt w:val="bullet"/>
      <w:lvlText w:val="•"/>
      <w:lvlJc w:val="left"/>
      <w:pPr>
        <w:ind w:left="5370" w:hanging="525"/>
      </w:pPr>
      <w:rPr>
        <w:rFonts w:hint="default"/>
        <w:lang w:val="en-US" w:eastAsia="zh-CN" w:bidi="ar-SA"/>
      </w:rPr>
    </w:lvl>
    <w:lvl w:ilvl="6">
      <w:start w:val="0"/>
      <w:numFmt w:val="bullet"/>
      <w:lvlText w:val="•"/>
      <w:lvlJc w:val="left"/>
      <w:pPr>
        <w:ind w:left="6392" w:hanging="525"/>
      </w:pPr>
      <w:rPr>
        <w:rFonts w:hint="default"/>
        <w:lang w:val="en-US" w:eastAsia="zh-CN" w:bidi="ar-SA"/>
      </w:rPr>
    </w:lvl>
    <w:lvl w:ilvl="7">
      <w:start w:val="0"/>
      <w:numFmt w:val="bullet"/>
      <w:lvlText w:val="•"/>
      <w:lvlJc w:val="left"/>
      <w:pPr>
        <w:ind w:left="7414" w:hanging="525"/>
      </w:pPr>
      <w:rPr>
        <w:rFonts w:hint="default"/>
        <w:lang w:val="en-US" w:eastAsia="zh-CN" w:bidi="ar-SA"/>
      </w:rPr>
    </w:lvl>
    <w:lvl w:ilvl="8">
      <w:start w:val="0"/>
      <w:numFmt w:val="bullet"/>
      <w:lvlText w:val="•"/>
      <w:lvlJc w:val="left"/>
      <w:pPr>
        <w:ind w:left="8436" w:hanging="525"/>
      </w:pPr>
      <w:rPr>
        <w:rFonts w:hint="default"/>
        <w:lang w:val="en-US" w:eastAsia="zh-CN" w:bidi="ar-SA"/>
      </w:rPr>
    </w:lvl>
  </w:abstractNum>
  <w:abstractNum w:abstractNumId="14">
    <w:nsid w:val="15B09A19"/>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15">
    <w:nsid w:val="16416E12"/>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16">
    <w:nsid w:val="177B6657"/>
    <w:multiLevelType w:val="hybridMultilevel"/>
    <w:tmpl w:val="00000000"/>
    <w:lvl w:ilvl="0">
      <w:start w:val="10"/>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17">
    <w:nsid w:val="1A1F51A9"/>
    <w:multiLevelType w:val="hybridMultilevel"/>
    <w:tmpl w:val="00000000"/>
    <w:lvl w:ilvl="0">
      <w:start w:val="1"/>
      <w:numFmt w:val="decimal"/>
      <w:lvlText w:val="%1."/>
      <w:lvlJc w:val="left"/>
      <w:pPr>
        <w:ind w:left="885" w:hanging="211"/>
        <w:jc w:val="left"/>
      </w:pPr>
      <w:rPr>
        <w:rFonts w:hint="default"/>
        <w:w w:val="100"/>
        <w:lang w:val="en-US" w:eastAsia="zh-CN" w:bidi="ar-SA"/>
      </w:rPr>
    </w:lvl>
    <w:lvl w:ilvl="1">
      <w:start w:val="1"/>
      <w:numFmt w:val="decimal"/>
      <w:lvlText w:val="%1.%2"/>
      <w:lvlJc w:val="left"/>
      <w:pPr>
        <w:ind w:left="1094"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142" w:hanging="420"/>
      </w:pPr>
      <w:rPr>
        <w:rFonts w:hint="default"/>
        <w:lang w:val="en-US" w:eastAsia="zh-CN" w:bidi="ar-SA"/>
      </w:rPr>
    </w:lvl>
    <w:lvl w:ilvl="3">
      <w:start w:val="0"/>
      <w:numFmt w:val="bullet"/>
      <w:lvlText w:val="•"/>
      <w:lvlJc w:val="left"/>
      <w:pPr>
        <w:ind w:left="3184" w:hanging="420"/>
      </w:pPr>
      <w:rPr>
        <w:rFonts w:hint="default"/>
        <w:lang w:val="en-US" w:eastAsia="zh-CN" w:bidi="ar-SA"/>
      </w:rPr>
    </w:lvl>
    <w:lvl w:ilvl="4">
      <w:start w:val="0"/>
      <w:numFmt w:val="bullet"/>
      <w:lvlText w:val="•"/>
      <w:lvlJc w:val="left"/>
      <w:pPr>
        <w:ind w:left="4226" w:hanging="420"/>
      </w:pPr>
      <w:rPr>
        <w:rFonts w:hint="default"/>
        <w:lang w:val="en-US" w:eastAsia="zh-CN" w:bidi="ar-SA"/>
      </w:rPr>
    </w:lvl>
    <w:lvl w:ilvl="5">
      <w:start w:val="0"/>
      <w:numFmt w:val="bullet"/>
      <w:lvlText w:val="•"/>
      <w:lvlJc w:val="left"/>
      <w:pPr>
        <w:ind w:left="5268" w:hanging="420"/>
      </w:pPr>
      <w:rPr>
        <w:rFonts w:hint="default"/>
        <w:lang w:val="en-US" w:eastAsia="zh-CN" w:bidi="ar-SA"/>
      </w:rPr>
    </w:lvl>
    <w:lvl w:ilvl="6">
      <w:start w:val="0"/>
      <w:numFmt w:val="bullet"/>
      <w:lvlText w:val="•"/>
      <w:lvlJc w:val="left"/>
      <w:pPr>
        <w:ind w:left="6311" w:hanging="420"/>
      </w:pPr>
      <w:rPr>
        <w:rFonts w:hint="default"/>
        <w:lang w:val="en-US" w:eastAsia="zh-CN" w:bidi="ar-SA"/>
      </w:rPr>
    </w:lvl>
    <w:lvl w:ilvl="7">
      <w:start w:val="0"/>
      <w:numFmt w:val="bullet"/>
      <w:lvlText w:val="•"/>
      <w:lvlJc w:val="left"/>
      <w:pPr>
        <w:ind w:left="7353" w:hanging="420"/>
      </w:pPr>
      <w:rPr>
        <w:rFonts w:hint="default"/>
        <w:lang w:val="en-US" w:eastAsia="zh-CN" w:bidi="ar-SA"/>
      </w:rPr>
    </w:lvl>
    <w:lvl w:ilvl="8">
      <w:start w:val="0"/>
      <w:numFmt w:val="bullet"/>
      <w:lvlText w:val="•"/>
      <w:lvlJc w:val="left"/>
      <w:pPr>
        <w:ind w:left="8395" w:hanging="420"/>
      </w:pPr>
      <w:rPr>
        <w:rFonts w:hint="default"/>
        <w:lang w:val="en-US" w:eastAsia="zh-CN" w:bidi="ar-SA"/>
      </w:rPr>
    </w:lvl>
  </w:abstractNum>
  <w:abstractNum w:abstractNumId="18">
    <w:nsid w:val="31DB009A"/>
    <w:multiLevelType w:val="hybridMultilevel"/>
    <w:tmpl w:val="00000000"/>
    <w:lvl w:ilvl="0">
      <w:start w:val="18"/>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19">
    <w:nsid w:val="33666703"/>
    <w:multiLevelType w:val="hybridMultilevel"/>
    <w:tmpl w:val="00000000"/>
    <w:lvl w:ilvl="0">
      <w:start w:val="1"/>
      <w:numFmt w:val="decimal"/>
      <w:lvlText w:val="（%1）"/>
      <w:lvlJc w:val="left"/>
      <w:pPr>
        <w:ind w:left="538"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1534" w:hanging="526"/>
      </w:pPr>
      <w:rPr>
        <w:rFonts w:hint="default"/>
        <w:lang w:val="en-US" w:eastAsia="zh-CN" w:bidi="ar-SA"/>
      </w:rPr>
    </w:lvl>
    <w:lvl w:ilvl="2">
      <w:start w:val="0"/>
      <w:numFmt w:val="bullet"/>
      <w:lvlText w:val="•"/>
      <w:lvlJc w:val="left"/>
      <w:pPr>
        <w:ind w:left="2528" w:hanging="526"/>
      </w:pPr>
      <w:rPr>
        <w:rFonts w:hint="default"/>
        <w:lang w:val="en-US" w:eastAsia="zh-CN" w:bidi="ar-SA"/>
      </w:rPr>
    </w:lvl>
    <w:lvl w:ilvl="3">
      <w:start w:val="0"/>
      <w:numFmt w:val="bullet"/>
      <w:lvlText w:val="•"/>
      <w:lvlJc w:val="left"/>
      <w:pPr>
        <w:ind w:left="3522" w:hanging="526"/>
      </w:pPr>
      <w:rPr>
        <w:rFonts w:hint="default"/>
        <w:lang w:val="en-US" w:eastAsia="zh-CN" w:bidi="ar-SA"/>
      </w:rPr>
    </w:lvl>
    <w:lvl w:ilvl="4">
      <w:start w:val="0"/>
      <w:numFmt w:val="bullet"/>
      <w:lvlText w:val="•"/>
      <w:lvlJc w:val="left"/>
      <w:pPr>
        <w:ind w:left="4516" w:hanging="526"/>
      </w:pPr>
      <w:rPr>
        <w:rFonts w:hint="default"/>
        <w:lang w:val="en-US" w:eastAsia="zh-CN" w:bidi="ar-SA"/>
      </w:rPr>
    </w:lvl>
    <w:lvl w:ilvl="5">
      <w:start w:val="0"/>
      <w:numFmt w:val="bullet"/>
      <w:lvlText w:val="•"/>
      <w:lvlJc w:val="left"/>
      <w:pPr>
        <w:ind w:left="5510" w:hanging="526"/>
      </w:pPr>
      <w:rPr>
        <w:rFonts w:hint="default"/>
        <w:lang w:val="en-US" w:eastAsia="zh-CN" w:bidi="ar-SA"/>
      </w:rPr>
    </w:lvl>
    <w:lvl w:ilvl="6">
      <w:start w:val="0"/>
      <w:numFmt w:val="bullet"/>
      <w:lvlText w:val="•"/>
      <w:lvlJc w:val="left"/>
      <w:pPr>
        <w:ind w:left="6504" w:hanging="526"/>
      </w:pPr>
      <w:rPr>
        <w:rFonts w:hint="default"/>
        <w:lang w:val="en-US" w:eastAsia="zh-CN" w:bidi="ar-SA"/>
      </w:rPr>
    </w:lvl>
    <w:lvl w:ilvl="7">
      <w:start w:val="0"/>
      <w:numFmt w:val="bullet"/>
      <w:lvlText w:val="•"/>
      <w:lvlJc w:val="left"/>
      <w:pPr>
        <w:ind w:left="7498" w:hanging="526"/>
      </w:pPr>
      <w:rPr>
        <w:rFonts w:hint="default"/>
        <w:lang w:val="en-US" w:eastAsia="zh-CN" w:bidi="ar-SA"/>
      </w:rPr>
    </w:lvl>
    <w:lvl w:ilvl="8">
      <w:start w:val="0"/>
      <w:numFmt w:val="bullet"/>
      <w:lvlText w:val="•"/>
      <w:lvlJc w:val="left"/>
      <w:pPr>
        <w:ind w:left="8492" w:hanging="526"/>
      </w:pPr>
      <w:rPr>
        <w:rFonts w:hint="default"/>
        <w:lang w:val="en-US" w:eastAsia="zh-CN" w:bidi="ar-SA"/>
      </w:rPr>
    </w:lvl>
  </w:abstractNum>
  <w:abstractNum w:abstractNumId="20">
    <w:nsid w:val="33742C29"/>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21">
    <w:nsid w:val="34DA31C9"/>
    <w:multiLevelType w:val="hybridMultilevel"/>
    <w:tmpl w:val="00000000"/>
    <w:lvl w:ilvl="0">
      <w:start w:val="13"/>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22">
    <w:nsid w:val="37AA568B"/>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23">
    <w:nsid w:val="387F1E93"/>
    <w:multiLevelType w:val="hybridMultilevel"/>
    <w:tmpl w:val="00000000"/>
    <w:lvl w:ilvl="0">
      <w:start w:val="22"/>
      <w:numFmt w:val="decimal"/>
      <w:lvlText w:val="%1"/>
      <w:lvlJc w:val="left"/>
      <w:pPr>
        <w:ind w:left="1202" w:hanging="529"/>
        <w:jc w:val="left"/>
      </w:pPr>
      <w:rPr>
        <w:rFonts w:hint="default"/>
        <w:lang w:val="en-US" w:eastAsia="zh-CN" w:bidi="ar-SA"/>
      </w:rPr>
    </w:lvl>
    <w:lvl w:ilvl="1">
      <w:start w:val="1"/>
      <w:numFmt w:val="decimal"/>
      <w:lvlText w:val="%1.%2"/>
      <w:lvlJc w:val="left"/>
      <w:pPr>
        <w:ind w:left="1202" w:hanging="529"/>
        <w:jc w:val="left"/>
      </w:pPr>
      <w:rPr>
        <w:rFonts w:ascii="微软雅黑" w:eastAsia="微软雅黑" w:hAnsi="微软雅黑" w:cs="微软雅黑" w:hint="default"/>
        <w:b/>
        <w:bCs/>
        <w:i w:val="0"/>
        <w:iCs w:val="0"/>
        <w:w w:val="81"/>
        <w:sz w:val="21"/>
        <w:szCs w:val="21"/>
        <w:lang w:val="en-US" w:eastAsia="zh-CN" w:bidi="ar-SA"/>
      </w:rPr>
    </w:lvl>
    <w:lvl w:ilvl="2">
      <w:start w:val="1"/>
      <w:numFmt w:val="decimal"/>
      <w:lvlText w:val="%1.%2.%3"/>
      <w:lvlJc w:val="left"/>
      <w:pPr>
        <w:ind w:left="1414" w:hanging="741"/>
        <w:jc w:val="left"/>
      </w:pPr>
      <w:rPr>
        <w:rFonts w:hint="default"/>
        <w:w w:val="81"/>
        <w:lang w:val="en-US" w:eastAsia="zh-CN" w:bidi="ar-SA"/>
      </w:rPr>
    </w:lvl>
    <w:lvl w:ilvl="3">
      <w:start w:val="1"/>
      <w:numFmt w:val="decimal"/>
      <w:lvlText w:val="%1.%2.%3.%4"/>
      <w:lvlJc w:val="left"/>
      <w:pPr>
        <w:ind w:left="1573" w:hanging="741"/>
        <w:jc w:val="left"/>
      </w:pPr>
      <w:rPr>
        <w:rFonts w:ascii="微软雅黑" w:eastAsia="微软雅黑" w:hAnsi="微软雅黑" w:cs="微软雅黑" w:hint="default"/>
        <w:b/>
        <w:bCs/>
        <w:i w:val="0"/>
        <w:iCs w:val="0"/>
        <w:w w:val="81"/>
        <w:sz w:val="21"/>
        <w:szCs w:val="21"/>
        <w:lang w:val="en-US" w:eastAsia="zh-CN" w:bidi="ar-SA"/>
      </w:rPr>
    </w:lvl>
    <w:lvl w:ilvl="4">
      <w:start w:val="0"/>
      <w:numFmt w:val="bullet"/>
      <w:lvlText w:val="•"/>
      <w:lvlJc w:val="left"/>
      <w:pPr>
        <w:ind w:left="1580" w:hanging="741"/>
      </w:pPr>
      <w:rPr>
        <w:rFonts w:hint="default"/>
        <w:lang w:val="en-US" w:eastAsia="zh-CN" w:bidi="ar-SA"/>
      </w:rPr>
    </w:lvl>
    <w:lvl w:ilvl="5">
      <w:start w:val="0"/>
      <w:numFmt w:val="bullet"/>
      <w:lvlText w:val="•"/>
      <w:lvlJc w:val="left"/>
      <w:pPr>
        <w:ind w:left="3063" w:hanging="741"/>
      </w:pPr>
      <w:rPr>
        <w:rFonts w:hint="default"/>
        <w:lang w:val="en-US" w:eastAsia="zh-CN" w:bidi="ar-SA"/>
      </w:rPr>
    </w:lvl>
    <w:lvl w:ilvl="6">
      <w:start w:val="0"/>
      <w:numFmt w:val="bullet"/>
      <w:lvlText w:val="•"/>
      <w:lvlJc w:val="left"/>
      <w:pPr>
        <w:ind w:left="4546" w:hanging="741"/>
      </w:pPr>
      <w:rPr>
        <w:rFonts w:hint="default"/>
        <w:lang w:val="en-US" w:eastAsia="zh-CN" w:bidi="ar-SA"/>
      </w:rPr>
    </w:lvl>
    <w:lvl w:ilvl="7">
      <w:start w:val="0"/>
      <w:numFmt w:val="bullet"/>
      <w:lvlText w:val="•"/>
      <w:lvlJc w:val="left"/>
      <w:pPr>
        <w:ind w:left="6030" w:hanging="741"/>
      </w:pPr>
      <w:rPr>
        <w:rFonts w:hint="default"/>
        <w:lang w:val="en-US" w:eastAsia="zh-CN" w:bidi="ar-SA"/>
      </w:rPr>
    </w:lvl>
    <w:lvl w:ilvl="8">
      <w:start w:val="0"/>
      <w:numFmt w:val="bullet"/>
      <w:lvlText w:val="•"/>
      <w:lvlJc w:val="left"/>
      <w:pPr>
        <w:ind w:left="7513" w:hanging="741"/>
      </w:pPr>
      <w:rPr>
        <w:rFonts w:hint="default"/>
        <w:lang w:val="en-US" w:eastAsia="zh-CN" w:bidi="ar-SA"/>
      </w:rPr>
    </w:lvl>
  </w:abstractNum>
  <w:abstractNum w:abstractNumId="24">
    <w:nsid w:val="3A129E5D"/>
    <w:multiLevelType w:val="hybridMultilevel"/>
    <w:tmpl w:val="00000000"/>
    <w:lvl w:ilvl="0">
      <w:start w:val="2"/>
      <w:numFmt w:val="decimal"/>
      <w:lvlText w:val="%1"/>
      <w:lvlJc w:val="left"/>
      <w:pPr>
        <w:ind w:left="1094" w:hanging="420"/>
        <w:jc w:val="left"/>
      </w:pPr>
      <w:rPr>
        <w:rFonts w:hint="default"/>
        <w:lang w:val="en-US" w:eastAsia="zh-CN" w:bidi="ar-SA"/>
      </w:rPr>
    </w:lvl>
    <w:lvl w:ilvl="1">
      <w:start w:val="1"/>
      <w:numFmt w:val="decimal"/>
      <w:lvlText w:val="%1.%2"/>
      <w:lvlJc w:val="left"/>
      <w:pPr>
        <w:ind w:left="1094"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76" w:hanging="420"/>
      </w:pPr>
      <w:rPr>
        <w:rFonts w:hint="default"/>
        <w:lang w:val="en-US" w:eastAsia="zh-CN" w:bidi="ar-SA"/>
      </w:rPr>
    </w:lvl>
    <w:lvl w:ilvl="3">
      <w:start w:val="0"/>
      <w:numFmt w:val="bullet"/>
      <w:lvlText w:val="•"/>
      <w:lvlJc w:val="left"/>
      <w:pPr>
        <w:ind w:left="3914" w:hanging="420"/>
      </w:pPr>
      <w:rPr>
        <w:rFonts w:hint="default"/>
        <w:lang w:val="en-US" w:eastAsia="zh-CN" w:bidi="ar-SA"/>
      </w:rPr>
    </w:lvl>
    <w:lvl w:ilvl="4">
      <w:start w:val="0"/>
      <w:numFmt w:val="bullet"/>
      <w:lvlText w:val="•"/>
      <w:lvlJc w:val="left"/>
      <w:pPr>
        <w:ind w:left="4852" w:hanging="420"/>
      </w:pPr>
      <w:rPr>
        <w:rFonts w:hint="default"/>
        <w:lang w:val="en-US" w:eastAsia="zh-CN" w:bidi="ar-SA"/>
      </w:rPr>
    </w:lvl>
    <w:lvl w:ilvl="5">
      <w:start w:val="0"/>
      <w:numFmt w:val="bullet"/>
      <w:lvlText w:val="•"/>
      <w:lvlJc w:val="left"/>
      <w:pPr>
        <w:ind w:left="5790" w:hanging="420"/>
      </w:pPr>
      <w:rPr>
        <w:rFonts w:hint="default"/>
        <w:lang w:val="en-US" w:eastAsia="zh-CN" w:bidi="ar-SA"/>
      </w:rPr>
    </w:lvl>
    <w:lvl w:ilvl="6">
      <w:start w:val="0"/>
      <w:numFmt w:val="bullet"/>
      <w:lvlText w:val="•"/>
      <w:lvlJc w:val="left"/>
      <w:pPr>
        <w:ind w:left="6728" w:hanging="420"/>
      </w:pPr>
      <w:rPr>
        <w:rFonts w:hint="default"/>
        <w:lang w:val="en-US" w:eastAsia="zh-CN" w:bidi="ar-SA"/>
      </w:rPr>
    </w:lvl>
    <w:lvl w:ilvl="7">
      <w:start w:val="0"/>
      <w:numFmt w:val="bullet"/>
      <w:lvlText w:val="•"/>
      <w:lvlJc w:val="left"/>
      <w:pPr>
        <w:ind w:left="7666" w:hanging="420"/>
      </w:pPr>
      <w:rPr>
        <w:rFonts w:hint="default"/>
        <w:lang w:val="en-US" w:eastAsia="zh-CN" w:bidi="ar-SA"/>
      </w:rPr>
    </w:lvl>
    <w:lvl w:ilvl="8">
      <w:start w:val="0"/>
      <w:numFmt w:val="bullet"/>
      <w:lvlText w:val="•"/>
      <w:lvlJc w:val="left"/>
      <w:pPr>
        <w:ind w:left="8604" w:hanging="420"/>
      </w:pPr>
      <w:rPr>
        <w:rFonts w:hint="default"/>
        <w:lang w:val="en-US" w:eastAsia="zh-CN" w:bidi="ar-SA"/>
      </w:rPr>
    </w:lvl>
  </w:abstractNum>
  <w:abstractNum w:abstractNumId="25">
    <w:nsid w:val="3D2F4FAE"/>
    <w:multiLevelType w:val="hybridMultilevel"/>
    <w:tmpl w:val="00000000"/>
    <w:lvl w:ilvl="0">
      <w:start w:val="3"/>
      <w:numFmt w:val="decimal"/>
      <w:lvlText w:val="%1"/>
      <w:lvlJc w:val="left"/>
      <w:pPr>
        <w:ind w:left="254" w:hanging="368"/>
        <w:jc w:val="left"/>
      </w:pPr>
      <w:rPr>
        <w:rFonts w:hint="default"/>
        <w:lang w:val="en-US" w:eastAsia="zh-CN" w:bidi="ar-SA"/>
      </w:rPr>
    </w:lvl>
    <w:lvl w:ilvl="1">
      <w:start w:val="1"/>
      <w:numFmt w:val="decimal"/>
      <w:lvlText w:val="%1.%2"/>
      <w:lvlJc w:val="left"/>
      <w:pPr>
        <w:ind w:left="254" w:hanging="368"/>
        <w:jc w:val="left"/>
      </w:pPr>
      <w:rPr>
        <w:rFonts w:hint="default"/>
        <w:w w:val="100"/>
        <w:lang w:val="en-US" w:eastAsia="zh-CN" w:bidi="ar-SA"/>
      </w:rPr>
    </w:lvl>
    <w:lvl w:ilvl="2">
      <w:start w:val="0"/>
      <w:numFmt w:val="bullet"/>
      <w:lvlText w:val="•"/>
      <w:lvlJc w:val="left"/>
      <w:pPr>
        <w:ind w:left="2304" w:hanging="368"/>
      </w:pPr>
      <w:rPr>
        <w:rFonts w:hint="default"/>
        <w:lang w:val="en-US" w:eastAsia="zh-CN" w:bidi="ar-SA"/>
      </w:rPr>
    </w:lvl>
    <w:lvl w:ilvl="3">
      <w:start w:val="0"/>
      <w:numFmt w:val="bullet"/>
      <w:lvlText w:val="•"/>
      <w:lvlJc w:val="left"/>
      <w:pPr>
        <w:ind w:left="3326" w:hanging="368"/>
      </w:pPr>
      <w:rPr>
        <w:rFonts w:hint="default"/>
        <w:lang w:val="en-US" w:eastAsia="zh-CN" w:bidi="ar-SA"/>
      </w:rPr>
    </w:lvl>
    <w:lvl w:ilvl="4">
      <w:start w:val="0"/>
      <w:numFmt w:val="bullet"/>
      <w:lvlText w:val="•"/>
      <w:lvlJc w:val="left"/>
      <w:pPr>
        <w:ind w:left="4348" w:hanging="368"/>
      </w:pPr>
      <w:rPr>
        <w:rFonts w:hint="default"/>
        <w:lang w:val="en-US" w:eastAsia="zh-CN" w:bidi="ar-SA"/>
      </w:rPr>
    </w:lvl>
    <w:lvl w:ilvl="5">
      <w:start w:val="0"/>
      <w:numFmt w:val="bullet"/>
      <w:lvlText w:val="•"/>
      <w:lvlJc w:val="left"/>
      <w:pPr>
        <w:ind w:left="5370" w:hanging="368"/>
      </w:pPr>
      <w:rPr>
        <w:rFonts w:hint="default"/>
        <w:lang w:val="en-US" w:eastAsia="zh-CN" w:bidi="ar-SA"/>
      </w:rPr>
    </w:lvl>
    <w:lvl w:ilvl="6">
      <w:start w:val="0"/>
      <w:numFmt w:val="bullet"/>
      <w:lvlText w:val="•"/>
      <w:lvlJc w:val="left"/>
      <w:pPr>
        <w:ind w:left="6392" w:hanging="368"/>
      </w:pPr>
      <w:rPr>
        <w:rFonts w:hint="default"/>
        <w:lang w:val="en-US" w:eastAsia="zh-CN" w:bidi="ar-SA"/>
      </w:rPr>
    </w:lvl>
    <w:lvl w:ilvl="7">
      <w:start w:val="0"/>
      <w:numFmt w:val="bullet"/>
      <w:lvlText w:val="•"/>
      <w:lvlJc w:val="left"/>
      <w:pPr>
        <w:ind w:left="7414" w:hanging="368"/>
      </w:pPr>
      <w:rPr>
        <w:rFonts w:hint="default"/>
        <w:lang w:val="en-US" w:eastAsia="zh-CN" w:bidi="ar-SA"/>
      </w:rPr>
    </w:lvl>
    <w:lvl w:ilvl="8">
      <w:start w:val="0"/>
      <w:numFmt w:val="bullet"/>
      <w:lvlText w:val="•"/>
      <w:lvlJc w:val="left"/>
      <w:pPr>
        <w:ind w:left="8436" w:hanging="368"/>
      </w:pPr>
      <w:rPr>
        <w:rFonts w:hint="default"/>
        <w:lang w:val="en-US" w:eastAsia="zh-CN" w:bidi="ar-SA"/>
      </w:rPr>
    </w:lvl>
  </w:abstractNum>
  <w:abstractNum w:abstractNumId="26">
    <w:nsid w:val="3D7BDC99"/>
    <w:multiLevelType w:val="hybridMultilevel"/>
    <w:tmpl w:val="00000000"/>
    <w:lvl w:ilvl="0">
      <w:start w:val="4"/>
      <w:numFmt w:val="decimal"/>
      <w:lvlText w:val="%1"/>
      <w:lvlJc w:val="left"/>
      <w:pPr>
        <w:ind w:left="1041" w:hanging="368"/>
        <w:jc w:val="left"/>
      </w:pPr>
      <w:rPr>
        <w:rFonts w:hint="default"/>
        <w:lang w:val="en-US" w:eastAsia="zh-CN" w:bidi="ar-SA"/>
      </w:rPr>
    </w:lvl>
    <w:lvl w:ilvl="1">
      <w:start w:val="1"/>
      <w:numFmt w:val="decimal"/>
      <w:lvlText w:val="%1.%2"/>
      <w:lvlJc w:val="left"/>
      <w:pPr>
        <w:ind w:left="1041" w:hanging="368"/>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28" w:hanging="368"/>
      </w:pPr>
      <w:rPr>
        <w:rFonts w:hint="default"/>
        <w:lang w:val="en-US" w:eastAsia="zh-CN" w:bidi="ar-SA"/>
      </w:rPr>
    </w:lvl>
    <w:lvl w:ilvl="3">
      <w:start w:val="0"/>
      <w:numFmt w:val="bullet"/>
      <w:lvlText w:val="•"/>
      <w:lvlJc w:val="left"/>
      <w:pPr>
        <w:ind w:left="3872" w:hanging="368"/>
      </w:pPr>
      <w:rPr>
        <w:rFonts w:hint="default"/>
        <w:lang w:val="en-US" w:eastAsia="zh-CN" w:bidi="ar-SA"/>
      </w:rPr>
    </w:lvl>
    <w:lvl w:ilvl="4">
      <w:start w:val="0"/>
      <w:numFmt w:val="bullet"/>
      <w:lvlText w:val="•"/>
      <w:lvlJc w:val="left"/>
      <w:pPr>
        <w:ind w:left="4816" w:hanging="368"/>
      </w:pPr>
      <w:rPr>
        <w:rFonts w:hint="default"/>
        <w:lang w:val="en-US" w:eastAsia="zh-CN" w:bidi="ar-SA"/>
      </w:rPr>
    </w:lvl>
    <w:lvl w:ilvl="5">
      <w:start w:val="0"/>
      <w:numFmt w:val="bullet"/>
      <w:lvlText w:val="•"/>
      <w:lvlJc w:val="left"/>
      <w:pPr>
        <w:ind w:left="5760" w:hanging="368"/>
      </w:pPr>
      <w:rPr>
        <w:rFonts w:hint="default"/>
        <w:lang w:val="en-US" w:eastAsia="zh-CN" w:bidi="ar-SA"/>
      </w:rPr>
    </w:lvl>
    <w:lvl w:ilvl="6">
      <w:start w:val="0"/>
      <w:numFmt w:val="bullet"/>
      <w:lvlText w:val="•"/>
      <w:lvlJc w:val="left"/>
      <w:pPr>
        <w:ind w:left="6704" w:hanging="368"/>
      </w:pPr>
      <w:rPr>
        <w:rFonts w:hint="default"/>
        <w:lang w:val="en-US" w:eastAsia="zh-CN" w:bidi="ar-SA"/>
      </w:rPr>
    </w:lvl>
    <w:lvl w:ilvl="7">
      <w:start w:val="0"/>
      <w:numFmt w:val="bullet"/>
      <w:lvlText w:val="•"/>
      <w:lvlJc w:val="left"/>
      <w:pPr>
        <w:ind w:left="7648" w:hanging="368"/>
      </w:pPr>
      <w:rPr>
        <w:rFonts w:hint="default"/>
        <w:lang w:val="en-US" w:eastAsia="zh-CN" w:bidi="ar-SA"/>
      </w:rPr>
    </w:lvl>
    <w:lvl w:ilvl="8">
      <w:start w:val="0"/>
      <w:numFmt w:val="bullet"/>
      <w:lvlText w:val="•"/>
      <w:lvlJc w:val="left"/>
      <w:pPr>
        <w:ind w:left="8592" w:hanging="368"/>
      </w:pPr>
      <w:rPr>
        <w:rFonts w:hint="default"/>
        <w:lang w:val="en-US" w:eastAsia="zh-CN" w:bidi="ar-SA"/>
      </w:rPr>
    </w:lvl>
  </w:abstractNum>
  <w:abstractNum w:abstractNumId="27">
    <w:nsid w:val="413DFF76"/>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28">
    <w:nsid w:val="448D2BC6"/>
    <w:multiLevelType w:val="hybridMultilevel"/>
    <w:tmpl w:val="00000000"/>
    <w:lvl w:ilvl="0">
      <w:start w:val="8"/>
      <w:numFmt w:val="decimal"/>
      <w:lvlText w:val="%1"/>
      <w:lvlJc w:val="left"/>
      <w:pPr>
        <w:ind w:left="254" w:hanging="368"/>
        <w:jc w:val="left"/>
      </w:pPr>
      <w:rPr>
        <w:rFonts w:hint="default"/>
        <w:lang w:val="en-US" w:eastAsia="zh-CN" w:bidi="ar-SA"/>
      </w:rPr>
    </w:lvl>
    <w:lvl w:ilvl="1">
      <w:start w:val="1"/>
      <w:numFmt w:val="decimal"/>
      <w:lvlText w:val="%1.%2"/>
      <w:lvlJc w:val="left"/>
      <w:pPr>
        <w:ind w:left="254" w:hanging="368"/>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304" w:hanging="368"/>
      </w:pPr>
      <w:rPr>
        <w:rFonts w:hint="default"/>
        <w:lang w:val="en-US" w:eastAsia="zh-CN" w:bidi="ar-SA"/>
      </w:rPr>
    </w:lvl>
    <w:lvl w:ilvl="3">
      <w:start w:val="0"/>
      <w:numFmt w:val="bullet"/>
      <w:lvlText w:val="•"/>
      <w:lvlJc w:val="left"/>
      <w:pPr>
        <w:ind w:left="3326" w:hanging="368"/>
      </w:pPr>
      <w:rPr>
        <w:rFonts w:hint="default"/>
        <w:lang w:val="en-US" w:eastAsia="zh-CN" w:bidi="ar-SA"/>
      </w:rPr>
    </w:lvl>
    <w:lvl w:ilvl="4">
      <w:start w:val="0"/>
      <w:numFmt w:val="bullet"/>
      <w:lvlText w:val="•"/>
      <w:lvlJc w:val="left"/>
      <w:pPr>
        <w:ind w:left="4348" w:hanging="368"/>
      </w:pPr>
      <w:rPr>
        <w:rFonts w:hint="default"/>
        <w:lang w:val="en-US" w:eastAsia="zh-CN" w:bidi="ar-SA"/>
      </w:rPr>
    </w:lvl>
    <w:lvl w:ilvl="5">
      <w:start w:val="0"/>
      <w:numFmt w:val="bullet"/>
      <w:lvlText w:val="•"/>
      <w:lvlJc w:val="left"/>
      <w:pPr>
        <w:ind w:left="5370" w:hanging="368"/>
      </w:pPr>
      <w:rPr>
        <w:rFonts w:hint="default"/>
        <w:lang w:val="en-US" w:eastAsia="zh-CN" w:bidi="ar-SA"/>
      </w:rPr>
    </w:lvl>
    <w:lvl w:ilvl="6">
      <w:start w:val="0"/>
      <w:numFmt w:val="bullet"/>
      <w:lvlText w:val="•"/>
      <w:lvlJc w:val="left"/>
      <w:pPr>
        <w:ind w:left="6392" w:hanging="368"/>
      </w:pPr>
      <w:rPr>
        <w:rFonts w:hint="default"/>
        <w:lang w:val="en-US" w:eastAsia="zh-CN" w:bidi="ar-SA"/>
      </w:rPr>
    </w:lvl>
    <w:lvl w:ilvl="7">
      <w:start w:val="0"/>
      <w:numFmt w:val="bullet"/>
      <w:lvlText w:val="•"/>
      <w:lvlJc w:val="left"/>
      <w:pPr>
        <w:ind w:left="7414" w:hanging="368"/>
      </w:pPr>
      <w:rPr>
        <w:rFonts w:hint="default"/>
        <w:lang w:val="en-US" w:eastAsia="zh-CN" w:bidi="ar-SA"/>
      </w:rPr>
    </w:lvl>
    <w:lvl w:ilvl="8">
      <w:start w:val="0"/>
      <w:numFmt w:val="bullet"/>
      <w:lvlText w:val="•"/>
      <w:lvlJc w:val="left"/>
      <w:pPr>
        <w:ind w:left="8436" w:hanging="368"/>
      </w:pPr>
      <w:rPr>
        <w:rFonts w:hint="default"/>
        <w:lang w:val="en-US" w:eastAsia="zh-CN" w:bidi="ar-SA"/>
      </w:rPr>
    </w:lvl>
  </w:abstractNum>
  <w:abstractNum w:abstractNumId="29">
    <w:nsid w:val="47051DEF"/>
    <w:multiLevelType w:val="hybridMultilevel"/>
    <w:tmpl w:val="00000000"/>
    <w:lvl w:ilvl="0">
      <w:start w:val="6"/>
      <w:numFmt w:val="decimal"/>
      <w:lvlText w:val="%1"/>
      <w:lvlJc w:val="left"/>
      <w:pPr>
        <w:ind w:left="990" w:hanging="316"/>
        <w:jc w:val="left"/>
      </w:pPr>
      <w:rPr>
        <w:rFonts w:hint="default"/>
        <w:lang w:val="en-US" w:eastAsia="zh-CN" w:bidi="ar-SA"/>
      </w:rPr>
    </w:lvl>
    <w:lvl w:ilvl="1">
      <w:start w:val="1"/>
      <w:numFmt w:val="decimal"/>
      <w:lvlText w:val="%1.%2"/>
      <w:lvlJc w:val="left"/>
      <w:pPr>
        <w:ind w:left="990" w:hanging="316"/>
        <w:jc w:val="left"/>
      </w:pPr>
      <w:rPr>
        <w:rFonts w:ascii="宋体" w:eastAsia="宋体" w:hAnsi="宋体" w:cs="宋体" w:hint="default"/>
        <w:b w:val="0"/>
        <w:bCs w:val="0"/>
        <w:i w:val="0"/>
        <w:iCs w:val="0"/>
        <w:w w:val="100"/>
        <w:sz w:val="19"/>
        <w:szCs w:val="19"/>
        <w:lang w:val="en-US" w:eastAsia="zh-CN" w:bidi="ar-SA"/>
      </w:rPr>
    </w:lvl>
    <w:lvl w:ilvl="2">
      <w:start w:val="0"/>
      <w:numFmt w:val="bullet"/>
      <w:lvlText w:val="•"/>
      <w:lvlJc w:val="left"/>
      <w:pPr>
        <w:ind w:left="2896" w:hanging="316"/>
      </w:pPr>
      <w:rPr>
        <w:rFonts w:hint="default"/>
        <w:lang w:val="en-US" w:eastAsia="zh-CN" w:bidi="ar-SA"/>
      </w:rPr>
    </w:lvl>
    <w:lvl w:ilvl="3">
      <w:start w:val="0"/>
      <w:numFmt w:val="bullet"/>
      <w:lvlText w:val="•"/>
      <w:lvlJc w:val="left"/>
      <w:pPr>
        <w:ind w:left="3844" w:hanging="316"/>
      </w:pPr>
      <w:rPr>
        <w:rFonts w:hint="default"/>
        <w:lang w:val="en-US" w:eastAsia="zh-CN" w:bidi="ar-SA"/>
      </w:rPr>
    </w:lvl>
    <w:lvl w:ilvl="4">
      <w:start w:val="0"/>
      <w:numFmt w:val="bullet"/>
      <w:lvlText w:val="•"/>
      <w:lvlJc w:val="left"/>
      <w:pPr>
        <w:ind w:left="4792" w:hanging="316"/>
      </w:pPr>
      <w:rPr>
        <w:rFonts w:hint="default"/>
        <w:lang w:val="en-US" w:eastAsia="zh-CN" w:bidi="ar-SA"/>
      </w:rPr>
    </w:lvl>
    <w:lvl w:ilvl="5">
      <w:start w:val="0"/>
      <w:numFmt w:val="bullet"/>
      <w:lvlText w:val="•"/>
      <w:lvlJc w:val="left"/>
      <w:pPr>
        <w:ind w:left="5740" w:hanging="316"/>
      </w:pPr>
      <w:rPr>
        <w:rFonts w:hint="default"/>
        <w:lang w:val="en-US" w:eastAsia="zh-CN" w:bidi="ar-SA"/>
      </w:rPr>
    </w:lvl>
    <w:lvl w:ilvl="6">
      <w:start w:val="0"/>
      <w:numFmt w:val="bullet"/>
      <w:lvlText w:val="•"/>
      <w:lvlJc w:val="left"/>
      <w:pPr>
        <w:ind w:left="6688" w:hanging="316"/>
      </w:pPr>
      <w:rPr>
        <w:rFonts w:hint="default"/>
        <w:lang w:val="en-US" w:eastAsia="zh-CN" w:bidi="ar-SA"/>
      </w:rPr>
    </w:lvl>
    <w:lvl w:ilvl="7">
      <w:start w:val="0"/>
      <w:numFmt w:val="bullet"/>
      <w:lvlText w:val="•"/>
      <w:lvlJc w:val="left"/>
      <w:pPr>
        <w:ind w:left="7636" w:hanging="316"/>
      </w:pPr>
      <w:rPr>
        <w:rFonts w:hint="default"/>
        <w:lang w:val="en-US" w:eastAsia="zh-CN" w:bidi="ar-SA"/>
      </w:rPr>
    </w:lvl>
    <w:lvl w:ilvl="8">
      <w:start w:val="0"/>
      <w:numFmt w:val="bullet"/>
      <w:lvlText w:val="•"/>
      <w:lvlJc w:val="left"/>
      <w:pPr>
        <w:ind w:left="8584" w:hanging="316"/>
      </w:pPr>
      <w:rPr>
        <w:rFonts w:hint="default"/>
        <w:lang w:val="en-US" w:eastAsia="zh-CN" w:bidi="ar-SA"/>
      </w:rPr>
    </w:lvl>
  </w:abstractNum>
  <w:abstractNum w:abstractNumId="30">
    <w:nsid w:val="4E81B62A"/>
    <w:multiLevelType w:val="hybridMultilevel"/>
    <w:tmpl w:val="00000000"/>
    <w:lvl w:ilvl="0">
      <w:start w:val="26"/>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31">
    <w:nsid w:val="52C6EA84"/>
    <w:multiLevelType w:val="hybridMultilevel"/>
    <w:tmpl w:val="00000000"/>
    <w:lvl w:ilvl="0">
      <w:start w:val="1"/>
      <w:numFmt w:val="decimal"/>
      <w:lvlText w:val="%1."/>
      <w:lvlJc w:val="left"/>
      <w:pPr>
        <w:ind w:left="885" w:hanging="211"/>
        <w:jc w:val="left"/>
      </w:pPr>
      <w:rPr>
        <w:rFonts w:hint="default"/>
        <w:w w:val="100"/>
        <w:lang w:val="en-US" w:eastAsia="zh-CN" w:bidi="ar-SA"/>
      </w:rPr>
    </w:lvl>
    <w:lvl w:ilvl="1">
      <w:start w:val="1"/>
      <w:numFmt w:val="decimal"/>
      <w:lvlText w:val="%1.%2"/>
      <w:lvlJc w:val="left"/>
      <w:pPr>
        <w:ind w:left="1094"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1100" w:hanging="420"/>
      </w:pPr>
      <w:rPr>
        <w:rFonts w:hint="default"/>
        <w:lang w:val="en-US" w:eastAsia="zh-CN" w:bidi="ar-SA"/>
      </w:rPr>
    </w:lvl>
    <w:lvl w:ilvl="3">
      <w:start w:val="0"/>
      <w:numFmt w:val="bullet"/>
      <w:lvlText w:val="•"/>
      <w:lvlJc w:val="left"/>
      <w:pPr>
        <w:ind w:left="2272" w:hanging="420"/>
      </w:pPr>
      <w:rPr>
        <w:rFonts w:hint="default"/>
        <w:lang w:val="en-US" w:eastAsia="zh-CN" w:bidi="ar-SA"/>
      </w:rPr>
    </w:lvl>
    <w:lvl w:ilvl="4">
      <w:start w:val="0"/>
      <w:numFmt w:val="bullet"/>
      <w:lvlText w:val="•"/>
      <w:lvlJc w:val="left"/>
      <w:pPr>
        <w:ind w:left="3445" w:hanging="420"/>
      </w:pPr>
      <w:rPr>
        <w:rFonts w:hint="default"/>
        <w:lang w:val="en-US" w:eastAsia="zh-CN" w:bidi="ar-SA"/>
      </w:rPr>
    </w:lvl>
    <w:lvl w:ilvl="5">
      <w:start w:val="0"/>
      <w:numFmt w:val="bullet"/>
      <w:lvlText w:val="•"/>
      <w:lvlJc w:val="left"/>
      <w:pPr>
        <w:ind w:left="4617" w:hanging="420"/>
      </w:pPr>
      <w:rPr>
        <w:rFonts w:hint="default"/>
        <w:lang w:val="en-US" w:eastAsia="zh-CN" w:bidi="ar-SA"/>
      </w:rPr>
    </w:lvl>
    <w:lvl w:ilvl="6">
      <w:start w:val="0"/>
      <w:numFmt w:val="bullet"/>
      <w:lvlText w:val="•"/>
      <w:lvlJc w:val="left"/>
      <w:pPr>
        <w:ind w:left="5790" w:hanging="420"/>
      </w:pPr>
      <w:rPr>
        <w:rFonts w:hint="default"/>
        <w:lang w:val="en-US" w:eastAsia="zh-CN" w:bidi="ar-SA"/>
      </w:rPr>
    </w:lvl>
    <w:lvl w:ilvl="7">
      <w:start w:val="0"/>
      <w:numFmt w:val="bullet"/>
      <w:lvlText w:val="•"/>
      <w:lvlJc w:val="left"/>
      <w:pPr>
        <w:ind w:left="6962" w:hanging="420"/>
      </w:pPr>
      <w:rPr>
        <w:rFonts w:hint="default"/>
        <w:lang w:val="en-US" w:eastAsia="zh-CN" w:bidi="ar-SA"/>
      </w:rPr>
    </w:lvl>
    <w:lvl w:ilvl="8">
      <w:start w:val="0"/>
      <w:numFmt w:val="bullet"/>
      <w:lvlText w:val="•"/>
      <w:lvlJc w:val="left"/>
      <w:pPr>
        <w:ind w:left="8135" w:hanging="420"/>
      </w:pPr>
      <w:rPr>
        <w:rFonts w:hint="default"/>
        <w:lang w:val="en-US" w:eastAsia="zh-CN" w:bidi="ar-SA"/>
      </w:rPr>
    </w:lvl>
  </w:abstractNum>
  <w:abstractNum w:abstractNumId="32">
    <w:nsid w:val="537424D6"/>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33">
    <w:nsid w:val="55158C98"/>
    <w:multiLevelType w:val="hybridMultilevel"/>
    <w:tmpl w:val="00000000"/>
    <w:lvl w:ilvl="0">
      <w:start w:val="20"/>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34">
    <w:nsid w:val="56D75AAC"/>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35">
    <w:nsid w:val="573B8C97"/>
    <w:multiLevelType w:val="hybridMultilevel"/>
    <w:tmpl w:val="00000000"/>
    <w:lvl w:ilvl="0">
      <w:start w:val="23"/>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36">
    <w:nsid w:val="5756B853"/>
    <w:multiLevelType w:val="hybridMultilevel"/>
    <w:tmpl w:val="00000000"/>
    <w:lvl w:ilvl="0">
      <w:start w:val="23"/>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37">
    <w:nsid w:val="5C5FDC10"/>
    <w:multiLevelType w:val="hybridMultilevel"/>
    <w:tmpl w:val="00000000"/>
    <w:lvl w:ilvl="0">
      <w:start w:val="15"/>
      <w:numFmt w:val="decimal"/>
      <w:lvlText w:val="%1."/>
      <w:lvlJc w:val="left"/>
      <w:pPr>
        <w:ind w:left="15" w:hanging="31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481" w:hanging="316"/>
      </w:pPr>
      <w:rPr>
        <w:rFonts w:hint="default"/>
        <w:lang w:val="en-US" w:eastAsia="zh-CN" w:bidi="ar-SA"/>
      </w:rPr>
    </w:lvl>
    <w:lvl w:ilvl="2">
      <w:start w:val="0"/>
      <w:numFmt w:val="bullet"/>
      <w:lvlText w:val="•"/>
      <w:lvlJc w:val="left"/>
      <w:pPr>
        <w:ind w:left="942" w:hanging="316"/>
      </w:pPr>
      <w:rPr>
        <w:rFonts w:hint="default"/>
        <w:lang w:val="en-US" w:eastAsia="zh-CN" w:bidi="ar-SA"/>
      </w:rPr>
    </w:lvl>
    <w:lvl w:ilvl="3">
      <w:start w:val="0"/>
      <w:numFmt w:val="bullet"/>
      <w:lvlText w:val="•"/>
      <w:lvlJc w:val="left"/>
      <w:pPr>
        <w:ind w:left="1403" w:hanging="316"/>
      </w:pPr>
      <w:rPr>
        <w:rFonts w:hint="default"/>
        <w:lang w:val="en-US" w:eastAsia="zh-CN" w:bidi="ar-SA"/>
      </w:rPr>
    </w:lvl>
    <w:lvl w:ilvl="4">
      <w:start w:val="0"/>
      <w:numFmt w:val="bullet"/>
      <w:lvlText w:val="•"/>
      <w:lvlJc w:val="left"/>
      <w:pPr>
        <w:ind w:left="1864" w:hanging="316"/>
      </w:pPr>
      <w:rPr>
        <w:rFonts w:hint="default"/>
        <w:lang w:val="en-US" w:eastAsia="zh-CN" w:bidi="ar-SA"/>
      </w:rPr>
    </w:lvl>
    <w:lvl w:ilvl="5">
      <w:start w:val="0"/>
      <w:numFmt w:val="bullet"/>
      <w:lvlText w:val="•"/>
      <w:lvlJc w:val="left"/>
      <w:pPr>
        <w:ind w:left="2325" w:hanging="316"/>
      </w:pPr>
      <w:rPr>
        <w:rFonts w:hint="default"/>
        <w:lang w:val="en-US" w:eastAsia="zh-CN" w:bidi="ar-SA"/>
      </w:rPr>
    </w:lvl>
    <w:lvl w:ilvl="6">
      <w:start w:val="0"/>
      <w:numFmt w:val="bullet"/>
      <w:lvlText w:val="•"/>
      <w:lvlJc w:val="left"/>
      <w:pPr>
        <w:ind w:left="2786" w:hanging="316"/>
      </w:pPr>
      <w:rPr>
        <w:rFonts w:hint="default"/>
        <w:lang w:val="en-US" w:eastAsia="zh-CN" w:bidi="ar-SA"/>
      </w:rPr>
    </w:lvl>
    <w:lvl w:ilvl="7">
      <w:start w:val="0"/>
      <w:numFmt w:val="bullet"/>
      <w:lvlText w:val="•"/>
      <w:lvlJc w:val="left"/>
      <w:pPr>
        <w:ind w:left="3247" w:hanging="316"/>
      </w:pPr>
      <w:rPr>
        <w:rFonts w:hint="default"/>
        <w:lang w:val="en-US" w:eastAsia="zh-CN" w:bidi="ar-SA"/>
      </w:rPr>
    </w:lvl>
    <w:lvl w:ilvl="8">
      <w:start w:val="0"/>
      <w:numFmt w:val="bullet"/>
      <w:lvlText w:val="•"/>
      <w:lvlJc w:val="left"/>
      <w:pPr>
        <w:ind w:left="3708" w:hanging="316"/>
      </w:pPr>
      <w:rPr>
        <w:rFonts w:hint="default"/>
        <w:lang w:val="en-US" w:eastAsia="zh-CN" w:bidi="ar-SA"/>
      </w:rPr>
    </w:lvl>
  </w:abstractNum>
  <w:abstractNum w:abstractNumId="38">
    <w:nsid w:val="5F66E9F2"/>
    <w:multiLevelType w:val="hybridMultilevel"/>
    <w:tmpl w:val="00000000"/>
    <w:lvl w:ilvl="0">
      <w:start w:val="5"/>
      <w:numFmt w:val="decimal"/>
      <w:lvlText w:val="%1"/>
      <w:lvlJc w:val="left"/>
      <w:pPr>
        <w:ind w:left="990" w:hanging="316"/>
        <w:jc w:val="left"/>
      </w:pPr>
      <w:rPr>
        <w:rFonts w:hint="default"/>
        <w:lang w:val="en-US" w:eastAsia="zh-CN" w:bidi="ar-SA"/>
      </w:rPr>
    </w:lvl>
    <w:lvl w:ilvl="1">
      <w:start w:val="1"/>
      <w:numFmt w:val="decimal"/>
      <w:lvlText w:val="%1.%2"/>
      <w:lvlJc w:val="left"/>
      <w:pPr>
        <w:ind w:left="990" w:hanging="316"/>
        <w:jc w:val="left"/>
      </w:pPr>
      <w:rPr>
        <w:rFonts w:ascii="宋体" w:eastAsia="宋体" w:hAnsi="宋体" w:cs="宋体" w:hint="default"/>
        <w:b w:val="0"/>
        <w:bCs w:val="0"/>
        <w:i w:val="0"/>
        <w:iCs w:val="0"/>
        <w:w w:val="100"/>
        <w:sz w:val="19"/>
        <w:szCs w:val="19"/>
        <w:lang w:val="en-US" w:eastAsia="zh-CN" w:bidi="ar-SA"/>
      </w:rPr>
    </w:lvl>
    <w:lvl w:ilvl="2">
      <w:start w:val="0"/>
      <w:numFmt w:val="bullet"/>
      <w:lvlText w:val="•"/>
      <w:lvlJc w:val="left"/>
      <w:pPr>
        <w:ind w:left="2896" w:hanging="316"/>
      </w:pPr>
      <w:rPr>
        <w:rFonts w:hint="default"/>
        <w:lang w:val="en-US" w:eastAsia="zh-CN" w:bidi="ar-SA"/>
      </w:rPr>
    </w:lvl>
    <w:lvl w:ilvl="3">
      <w:start w:val="0"/>
      <w:numFmt w:val="bullet"/>
      <w:lvlText w:val="•"/>
      <w:lvlJc w:val="left"/>
      <w:pPr>
        <w:ind w:left="3844" w:hanging="316"/>
      </w:pPr>
      <w:rPr>
        <w:rFonts w:hint="default"/>
        <w:lang w:val="en-US" w:eastAsia="zh-CN" w:bidi="ar-SA"/>
      </w:rPr>
    </w:lvl>
    <w:lvl w:ilvl="4">
      <w:start w:val="0"/>
      <w:numFmt w:val="bullet"/>
      <w:lvlText w:val="•"/>
      <w:lvlJc w:val="left"/>
      <w:pPr>
        <w:ind w:left="4792" w:hanging="316"/>
      </w:pPr>
      <w:rPr>
        <w:rFonts w:hint="default"/>
        <w:lang w:val="en-US" w:eastAsia="zh-CN" w:bidi="ar-SA"/>
      </w:rPr>
    </w:lvl>
    <w:lvl w:ilvl="5">
      <w:start w:val="0"/>
      <w:numFmt w:val="bullet"/>
      <w:lvlText w:val="•"/>
      <w:lvlJc w:val="left"/>
      <w:pPr>
        <w:ind w:left="5740" w:hanging="316"/>
      </w:pPr>
      <w:rPr>
        <w:rFonts w:hint="default"/>
        <w:lang w:val="en-US" w:eastAsia="zh-CN" w:bidi="ar-SA"/>
      </w:rPr>
    </w:lvl>
    <w:lvl w:ilvl="6">
      <w:start w:val="0"/>
      <w:numFmt w:val="bullet"/>
      <w:lvlText w:val="•"/>
      <w:lvlJc w:val="left"/>
      <w:pPr>
        <w:ind w:left="6688" w:hanging="316"/>
      </w:pPr>
      <w:rPr>
        <w:rFonts w:hint="default"/>
        <w:lang w:val="en-US" w:eastAsia="zh-CN" w:bidi="ar-SA"/>
      </w:rPr>
    </w:lvl>
    <w:lvl w:ilvl="7">
      <w:start w:val="0"/>
      <w:numFmt w:val="bullet"/>
      <w:lvlText w:val="•"/>
      <w:lvlJc w:val="left"/>
      <w:pPr>
        <w:ind w:left="7636" w:hanging="316"/>
      </w:pPr>
      <w:rPr>
        <w:rFonts w:hint="default"/>
        <w:lang w:val="en-US" w:eastAsia="zh-CN" w:bidi="ar-SA"/>
      </w:rPr>
    </w:lvl>
    <w:lvl w:ilvl="8">
      <w:start w:val="0"/>
      <w:numFmt w:val="bullet"/>
      <w:lvlText w:val="•"/>
      <w:lvlJc w:val="left"/>
      <w:pPr>
        <w:ind w:left="8584" w:hanging="316"/>
      </w:pPr>
      <w:rPr>
        <w:rFonts w:hint="default"/>
        <w:lang w:val="en-US" w:eastAsia="zh-CN" w:bidi="ar-SA"/>
      </w:rPr>
    </w:lvl>
  </w:abstractNum>
  <w:abstractNum w:abstractNumId="39">
    <w:nsid w:val="64830FF8"/>
    <w:multiLevelType w:val="hybridMultilevel"/>
    <w:tmpl w:val="00000000"/>
    <w:lvl w:ilvl="0">
      <w:start w:val="12"/>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40">
    <w:nsid w:val="67D40A8E"/>
    <w:multiLevelType w:val="hybridMultilevel"/>
    <w:tmpl w:val="00000000"/>
    <w:lvl w:ilvl="0">
      <w:start w:val="16"/>
      <w:numFmt w:val="decimal"/>
      <w:lvlText w:val="%1"/>
      <w:lvlJc w:val="left"/>
      <w:pPr>
        <w:ind w:left="254" w:hanging="525"/>
        <w:jc w:val="left"/>
      </w:pPr>
      <w:rPr>
        <w:rFonts w:hint="default"/>
        <w:lang w:val="en-US" w:eastAsia="zh-CN" w:bidi="ar-SA"/>
      </w:rPr>
    </w:lvl>
    <w:lvl w:ilvl="1">
      <w:start w:val="1"/>
      <w:numFmt w:val="decimal"/>
      <w:lvlText w:val="%1.%2"/>
      <w:lvlJc w:val="left"/>
      <w:pPr>
        <w:ind w:left="254"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304" w:hanging="525"/>
      </w:pPr>
      <w:rPr>
        <w:rFonts w:hint="default"/>
        <w:lang w:val="en-US" w:eastAsia="zh-CN" w:bidi="ar-SA"/>
      </w:rPr>
    </w:lvl>
    <w:lvl w:ilvl="3">
      <w:start w:val="0"/>
      <w:numFmt w:val="bullet"/>
      <w:lvlText w:val="•"/>
      <w:lvlJc w:val="left"/>
      <w:pPr>
        <w:ind w:left="3326" w:hanging="525"/>
      </w:pPr>
      <w:rPr>
        <w:rFonts w:hint="default"/>
        <w:lang w:val="en-US" w:eastAsia="zh-CN" w:bidi="ar-SA"/>
      </w:rPr>
    </w:lvl>
    <w:lvl w:ilvl="4">
      <w:start w:val="0"/>
      <w:numFmt w:val="bullet"/>
      <w:lvlText w:val="•"/>
      <w:lvlJc w:val="left"/>
      <w:pPr>
        <w:ind w:left="4348" w:hanging="525"/>
      </w:pPr>
      <w:rPr>
        <w:rFonts w:hint="default"/>
        <w:lang w:val="en-US" w:eastAsia="zh-CN" w:bidi="ar-SA"/>
      </w:rPr>
    </w:lvl>
    <w:lvl w:ilvl="5">
      <w:start w:val="0"/>
      <w:numFmt w:val="bullet"/>
      <w:lvlText w:val="•"/>
      <w:lvlJc w:val="left"/>
      <w:pPr>
        <w:ind w:left="5370" w:hanging="525"/>
      </w:pPr>
      <w:rPr>
        <w:rFonts w:hint="default"/>
        <w:lang w:val="en-US" w:eastAsia="zh-CN" w:bidi="ar-SA"/>
      </w:rPr>
    </w:lvl>
    <w:lvl w:ilvl="6">
      <w:start w:val="0"/>
      <w:numFmt w:val="bullet"/>
      <w:lvlText w:val="•"/>
      <w:lvlJc w:val="left"/>
      <w:pPr>
        <w:ind w:left="6392" w:hanging="525"/>
      </w:pPr>
      <w:rPr>
        <w:rFonts w:hint="default"/>
        <w:lang w:val="en-US" w:eastAsia="zh-CN" w:bidi="ar-SA"/>
      </w:rPr>
    </w:lvl>
    <w:lvl w:ilvl="7">
      <w:start w:val="0"/>
      <w:numFmt w:val="bullet"/>
      <w:lvlText w:val="•"/>
      <w:lvlJc w:val="left"/>
      <w:pPr>
        <w:ind w:left="7414" w:hanging="525"/>
      </w:pPr>
      <w:rPr>
        <w:rFonts w:hint="default"/>
        <w:lang w:val="en-US" w:eastAsia="zh-CN" w:bidi="ar-SA"/>
      </w:rPr>
    </w:lvl>
    <w:lvl w:ilvl="8">
      <w:start w:val="0"/>
      <w:numFmt w:val="bullet"/>
      <w:lvlText w:val="•"/>
      <w:lvlJc w:val="left"/>
      <w:pPr>
        <w:ind w:left="8436" w:hanging="525"/>
      </w:pPr>
      <w:rPr>
        <w:rFonts w:hint="default"/>
        <w:lang w:val="en-US" w:eastAsia="zh-CN" w:bidi="ar-SA"/>
      </w:rPr>
    </w:lvl>
  </w:abstractNum>
  <w:abstractNum w:abstractNumId="41">
    <w:nsid w:val="6BE7DAEA"/>
    <w:multiLevelType w:val="hybridMultilevel"/>
    <w:tmpl w:val="00000000"/>
    <w:lvl w:ilvl="0">
      <w:start w:val="11"/>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42">
    <w:nsid w:val="6E3C7872"/>
    <w:multiLevelType w:val="hybridMultilevel"/>
    <w:tmpl w:val="00000000"/>
    <w:lvl w:ilvl="0">
      <w:start w:val="28"/>
      <w:numFmt w:val="decimal"/>
      <w:lvlText w:val="%1"/>
      <w:lvlJc w:val="left"/>
      <w:pPr>
        <w:ind w:left="254" w:hanging="525"/>
        <w:jc w:val="left"/>
      </w:pPr>
      <w:rPr>
        <w:rFonts w:hint="default"/>
        <w:lang w:val="en-US" w:eastAsia="zh-CN" w:bidi="ar-SA"/>
      </w:rPr>
    </w:lvl>
    <w:lvl w:ilvl="1">
      <w:start w:val="1"/>
      <w:numFmt w:val="decimal"/>
      <w:lvlText w:val="%1.%2"/>
      <w:lvlJc w:val="left"/>
      <w:pPr>
        <w:ind w:left="254"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304" w:hanging="525"/>
      </w:pPr>
      <w:rPr>
        <w:rFonts w:hint="default"/>
        <w:lang w:val="en-US" w:eastAsia="zh-CN" w:bidi="ar-SA"/>
      </w:rPr>
    </w:lvl>
    <w:lvl w:ilvl="3">
      <w:start w:val="0"/>
      <w:numFmt w:val="bullet"/>
      <w:lvlText w:val="•"/>
      <w:lvlJc w:val="left"/>
      <w:pPr>
        <w:ind w:left="3326" w:hanging="525"/>
      </w:pPr>
      <w:rPr>
        <w:rFonts w:hint="default"/>
        <w:lang w:val="en-US" w:eastAsia="zh-CN" w:bidi="ar-SA"/>
      </w:rPr>
    </w:lvl>
    <w:lvl w:ilvl="4">
      <w:start w:val="0"/>
      <w:numFmt w:val="bullet"/>
      <w:lvlText w:val="•"/>
      <w:lvlJc w:val="left"/>
      <w:pPr>
        <w:ind w:left="4348" w:hanging="525"/>
      </w:pPr>
      <w:rPr>
        <w:rFonts w:hint="default"/>
        <w:lang w:val="en-US" w:eastAsia="zh-CN" w:bidi="ar-SA"/>
      </w:rPr>
    </w:lvl>
    <w:lvl w:ilvl="5">
      <w:start w:val="0"/>
      <w:numFmt w:val="bullet"/>
      <w:lvlText w:val="•"/>
      <w:lvlJc w:val="left"/>
      <w:pPr>
        <w:ind w:left="5370" w:hanging="525"/>
      </w:pPr>
      <w:rPr>
        <w:rFonts w:hint="default"/>
        <w:lang w:val="en-US" w:eastAsia="zh-CN" w:bidi="ar-SA"/>
      </w:rPr>
    </w:lvl>
    <w:lvl w:ilvl="6">
      <w:start w:val="0"/>
      <w:numFmt w:val="bullet"/>
      <w:lvlText w:val="•"/>
      <w:lvlJc w:val="left"/>
      <w:pPr>
        <w:ind w:left="6392" w:hanging="525"/>
      </w:pPr>
      <w:rPr>
        <w:rFonts w:hint="default"/>
        <w:lang w:val="en-US" w:eastAsia="zh-CN" w:bidi="ar-SA"/>
      </w:rPr>
    </w:lvl>
    <w:lvl w:ilvl="7">
      <w:start w:val="0"/>
      <w:numFmt w:val="bullet"/>
      <w:lvlText w:val="•"/>
      <w:lvlJc w:val="left"/>
      <w:pPr>
        <w:ind w:left="7414" w:hanging="525"/>
      </w:pPr>
      <w:rPr>
        <w:rFonts w:hint="default"/>
        <w:lang w:val="en-US" w:eastAsia="zh-CN" w:bidi="ar-SA"/>
      </w:rPr>
    </w:lvl>
    <w:lvl w:ilvl="8">
      <w:start w:val="0"/>
      <w:numFmt w:val="bullet"/>
      <w:lvlText w:val="•"/>
      <w:lvlJc w:val="left"/>
      <w:pPr>
        <w:ind w:left="8436" w:hanging="525"/>
      </w:pPr>
      <w:rPr>
        <w:rFonts w:hint="default"/>
        <w:lang w:val="en-US" w:eastAsia="zh-CN" w:bidi="ar-SA"/>
      </w:rPr>
    </w:lvl>
  </w:abstractNum>
  <w:abstractNum w:abstractNumId="43">
    <w:nsid w:val="7BF6F58F"/>
    <w:multiLevelType w:val="hybridMultilevel"/>
    <w:tmpl w:val="00000000"/>
    <w:lvl w:ilvl="0">
      <w:start w:val="1"/>
      <w:numFmt w:val="decimal"/>
      <w:lvlText w:val="（%1）"/>
      <w:lvlJc w:val="left"/>
      <w:pPr>
        <w:ind w:left="1200" w:hanging="52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2128" w:hanging="526"/>
      </w:pPr>
      <w:rPr>
        <w:rFonts w:hint="default"/>
        <w:lang w:val="en-US" w:eastAsia="zh-CN" w:bidi="ar-SA"/>
      </w:rPr>
    </w:lvl>
    <w:lvl w:ilvl="2">
      <w:start w:val="0"/>
      <w:numFmt w:val="bullet"/>
      <w:lvlText w:val="•"/>
      <w:lvlJc w:val="left"/>
      <w:pPr>
        <w:ind w:left="3056" w:hanging="526"/>
      </w:pPr>
      <w:rPr>
        <w:rFonts w:hint="default"/>
        <w:lang w:val="en-US" w:eastAsia="zh-CN" w:bidi="ar-SA"/>
      </w:rPr>
    </w:lvl>
    <w:lvl w:ilvl="3">
      <w:start w:val="0"/>
      <w:numFmt w:val="bullet"/>
      <w:lvlText w:val="•"/>
      <w:lvlJc w:val="left"/>
      <w:pPr>
        <w:ind w:left="3984" w:hanging="526"/>
      </w:pPr>
      <w:rPr>
        <w:rFonts w:hint="default"/>
        <w:lang w:val="en-US" w:eastAsia="zh-CN" w:bidi="ar-SA"/>
      </w:rPr>
    </w:lvl>
    <w:lvl w:ilvl="4">
      <w:start w:val="0"/>
      <w:numFmt w:val="bullet"/>
      <w:lvlText w:val="•"/>
      <w:lvlJc w:val="left"/>
      <w:pPr>
        <w:ind w:left="4912" w:hanging="526"/>
      </w:pPr>
      <w:rPr>
        <w:rFonts w:hint="default"/>
        <w:lang w:val="en-US" w:eastAsia="zh-CN" w:bidi="ar-SA"/>
      </w:rPr>
    </w:lvl>
    <w:lvl w:ilvl="5">
      <w:start w:val="0"/>
      <w:numFmt w:val="bullet"/>
      <w:lvlText w:val="•"/>
      <w:lvlJc w:val="left"/>
      <w:pPr>
        <w:ind w:left="5840" w:hanging="526"/>
      </w:pPr>
      <w:rPr>
        <w:rFonts w:hint="default"/>
        <w:lang w:val="en-US" w:eastAsia="zh-CN" w:bidi="ar-SA"/>
      </w:rPr>
    </w:lvl>
    <w:lvl w:ilvl="6">
      <w:start w:val="0"/>
      <w:numFmt w:val="bullet"/>
      <w:lvlText w:val="•"/>
      <w:lvlJc w:val="left"/>
      <w:pPr>
        <w:ind w:left="6768" w:hanging="526"/>
      </w:pPr>
      <w:rPr>
        <w:rFonts w:hint="default"/>
        <w:lang w:val="en-US" w:eastAsia="zh-CN" w:bidi="ar-SA"/>
      </w:rPr>
    </w:lvl>
    <w:lvl w:ilvl="7">
      <w:start w:val="0"/>
      <w:numFmt w:val="bullet"/>
      <w:lvlText w:val="•"/>
      <w:lvlJc w:val="left"/>
      <w:pPr>
        <w:ind w:left="7696" w:hanging="526"/>
      </w:pPr>
      <w:rPr>
        <w:rFonts w:hint="default"/>
        <w:lang w:val="en-US" w:eastAsia="zh-CN" w:bidi="ar-SA"/>
      </w:rPr>
    </w:lvl>
    <w:lvl w:ilvl="8">
      <w:start w:val="0"/>
      <w:numFmt w:val="bullet"/>
      <w:lvlText w:val="•"/>
      <w:lvlJc w:val="left"/>
      <w:pPr>
        <w:ind w:left="8624" w:hanging="526"/>
      </w:pPr>
      <w:rPr>
        <w:rFonts w:hint="default"/>
        <w:lang w:val="en-US" w:eastAsia="zh-CN" w:bidi="ar-SA"/>
      </w:rPr>
    </w:lvl>
  </w:abstractNum>
  <w:abstractNum w:abstractNumId="44">
    <w:nsid w:val="7D074D56"/>
    <w:multiLevelType w:val="hybridMultilevel"/>
    <w:tmpl w:val="00000000"/>
    <w:lvl w:ilvl="0">
      <w:start w:val="19"/>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abstractNum w:abstractNumId="45">
    <w:nsid w:val="7F67AF87"/>
    <w:multiLevelType w:val="hybridMultilevel"/>
    <w:tmpl w:val="00000000"/>
    <w:lvl w:ilvl="0">
      <w:start w:val="25"/>
      <w:numFmt w:val="decimal"/>
      <w:lvlText w:val="%1"/>
      <w:lvlJc w:val="left"/>
      <w:pPr>
        <w:ind w:left="1199" w:hanging="525"/>
        <w:jc w:val="left"/>
      </w:pPr>
      <w:rPr>
        <w:rFonts w:hint="default"/>
        <w:lang w:val="en-US" w:eastAsia="zh-CN" w:bidi="ar-SA"/>
      </w:rPr>
    </w:lvl>
    <w:lvl w:ilvl="1">
      <w:start w:val="1"/>
      <w:numFmt w:val="decimal"/>
      <w:lvlText w:val="%1.%2"/>
      <w:lvlJc w:val="left"/>
      <w:pPr>
        <w:ind w:left="1199"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3056" w:hanging="525"/>
      </w:pPr>
      <w:rPr>
        <w:rFonts w:hint="default"/>
        <w:lang w:val="en-US" w:eastAsia="zh-CN" w:bidi="ar-SA"/>
      </w:rPr>
    </w:lvl>
    <w:lvl w:ilvl="3">
      <w:start w:val="0"/>
      <w:numFmt w:val="bullet"/>
      <w:lvlText w:val="•"/>
      <w:lvlJc w:val="left"/>
      <w:pPr>
        <w:ind w:left="3984" w:hanging="525"/>
      </w:pPr>
      <w:rPr>
        <w:rFonts w:hint="default"/>
        <w:lang w:val="en-US" w:eastAsia="zh-CN" w:bidi="ar-SA"/>
      </w:rPr>
    </w:lvl>
    <w:lvl w:ilvl="4">
      <w:start w:val="0"/>
      <w:numFmt w:val="bullet"/>
      <w:lvlText w:val="•"/>
      <w:lvlJc w:val="left"/>
      <w:pPr>
        <w:ind w:left="4912" w:hanging="525"/>
      </w:pPr>
      <w:rPr>
        <w:rFonts w:hint="default"/>
        <w:lang w:val="en-US" w:eastAsia="zh-CN" w:bidi="ar-SA"/>
      </w:rPr>
    </w:lvl>
    <w:lvl w:ilvl="5">
      <w:start w:val="0"/>
      <w:numFmt w:val="bullet"/>
      <w:lvlText w:val="•"/>
      <w:lvlJc w:val="left"/>
      <w:pPr>
        <w:ind w:left="5840" w:hanging="525"/>
      </w:pPr>
      <w:rPr>
        <w:rFonts w:hint="default"/>
        <w:lang w:val="en-US" w:eastAsia="zh-CN" w:bidi="ar-SA"/>
      </w:rPr>
    </w:lvl>
    <w:lvl w:ilvl="6">
      <w:start w:val="0"/>
      <w:numFmt w:val="bullet"/>
      <w:lvlText w:val="•"/>
      <w:lvlJc w:val="left"/>
      <w:pPr>
        <w:ind w:left="6768" w:hanging="525"/>
      </w:pPr>
      <w:rPr>
        <w:rFonts w:hint="default"/>
        <w:lang w:val="en-US" w:eastAsia="zh-CN" w:bidi="ar-SA"/>
      </w:rPr>
    </w:lvl>
    <w:lvl w:ilvl="7">
      <w:start w:val="0"/>
      <w:numFmt w:val="bullet"/>
      <w:lvlText w:val="•"/>
      <w:lvlJc w:val="left"/>
      <w:pPr>
        <w:ind w:left="7696" w:hanging="525"/>
      </w:pPr>
      <w:rPr>
        <w:rFonts w:hint="default"/>
        <w:lang w:val="en-US" w:eastAsia="zh-CN" w:bidi="ar-SA"/>
      </w:rPr>
    </w:lvl>
    <w:lvl w:ilvl="8">
      <w:start w:val="0"/>
      <w:numFmt w:val="bullet"/>
      <w:lvlText w:val="•"/>
      <w:lvlJc w:val="left"/>
      <w:pPr>
        <w:ind w:left="8624" w:hanging="525"/>
      </w:pPr>
      <w:rPr>
        <w:rFonts w:hint="default"/>
        <w:lang w:val="en-US" w:eastAsia="zh-CN" w:bidi="ar-SA"/>
      </w:rPr>
    </w:lvl>
  </w:abstractNum>
  <w:num w:numId="1">
    <w:abstractNumId w:val="19"/>
  </w:num>
  <w:num w:numId="2">
    <w:abstractNumId w:val="0"/>
  </w:num>
  <w:num w:numId="3">
    <w:abstractNumId w:val="11"/>
  </w:num>
  <w:num w:numId="4">
    <w:abstractNumId w:val="12"/>
  </w:num>
  <w:num w:numId="5">
    <w:abstractNumId w:val="37"/>
  </w:num>
  <w:num w:numId="6">
    <w:abstractNumId w:val="1"/>
  </w:num>
  <w:num w:numId="7">
    <w:abstractNumId w:val="5"/>
  </w:num>
  <w:num w:numId="8">
    <w:abstractNumId w:val="42"/>
  </w:num>
  <w:num w:numId="9">
    <w:abstractNumId w:val="43"/>
  </w:num>
  <w:num w:numId="10">
    <w:abstractNumId w:val="13"/>
  </w:num>
  <w:num w:numId="11">
    <w:abstractNumId w:val="30"/>
  </w:num>
  <w:num w:numId="12">
    <w:abstractNumId w:val="45"/>
  </w:num>
  <w:num w:numId="13">
    <w:abstractNumId w:val="8"/>
  </w:num>
  <w:num w:numId="14">
    <w:abstractNumId w:val="35"/>
  </w:num>
  <w:num w:numId="15">
    <w:abstractNumId w:val="34"/>
  </w:num>
  <w:num w:numId="16">
    <w:abstractNumId w:val="20"/>
  </w:num>
  <w:num w:numId="17">
    <w:abstractNumId w:val="22"/>
  </w:num>
  <w:num w:numId="18">
    <w:abstractNumId w:val="23"/>
  </w:num>
  <w:num w:numId="19">
    <w:abstractNumId w:val="2"/>
  </w:num>
  <w:num w:numId="20">
    <w:abstractNumId w:val="33"/>
  </w:num>
  <w:num w:numId="21">
    <w:abstractNumId w:val="44"/>
  </w:num>
  <w:num w:numId="22">
    <w:abstractNumId w:val="18"/>
  </w:num>
  <w:num w:numId="23">
    <w:abstractNumId w:val="6"/>
  </w:num>
  <w:num w:numId="24">
    <w:abstractNumId w:val="40"/>
  </w:num>
  <w:num w:numId="25">
    <w:abstractNumId w:val="9"/>
  </w:num>
  <w:num w:numId="26">
    <w:abstractNumId w:val="3"/>
  </w:num>
  <w:num w:numId="27">
    <w:abstractNumId w:val="15"/>
  </w:num>
  <w:num w:numId="28">
    <w:abstractNumId w:val="21"/>
  </w:num>
  <w:num w:numId="29">
    <w:abstractNumId w:val="39"/>
  </w:num>
  <w:num w:numId="30">
    <w:abstractNumId w:val="41"/>
  </w:num>
  <w:num w:numId="31">
    <w:abstractNumId w:val="27"/>
  </w:num>
  <w:num w:numId="32">
    <w:abstractNumId w:val="16"/>
  </w:num>
  <w:num w:numId="33">
    <w:abstractNumId w:val="7"/>
  </w:num>
  <w:num w:numId="34">
    <w:abstractNumId w:val="28"/>
  </w:num>
  <w:num w:numId="35">
    <w:abstractNumId w:val="10"/>
  </w:num>
  <w:num w:numId="36">
    <w:abstractNumId w:val="29"/>
  </w:num>
  <w:num w:numId="37">
    <w:abstractNumId w:val="38"/>
  </w:num>
  <w:num w:numId="38">
    <w:abstractNumId w:val="26"/>
  </w:num>
  <w:num w:numId="39">
    <w:abstractNumId w:val="25"/>
  </w:num>
  <w:num w:numId="40">
    <w:abstractNumId w:val="24"/>
  </w:num>
  <w:num w:numId="41">
    <w:abstractNumId w:val="4"/>
  </w:num>
  <w:num w:numId="42">
    <w:abstractNumId w:val="32"/>
  </w:num>
  <w:num w:numId="43">
    <w:abstractNumId w:val="31"/>
  </w:num>
  <w:num w:numId="44">
    <w:abstractNumId w:val="14"/>
  </w:num>
  <w:num w:numId="45">
    <w:abstractNumId w:val="1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right="1"/>
      <w:jc w:val="center"/>
      <w:outlineLvl w:val="0"/>
    </w:pPr>
    <w:rPr>
      <w:rFonts w:ascii="Microsoft JhengHei" w:eastAsia="Microsoft JhengHei" w:hAnsi="Microsoft JhengHei" w:cs="Microsoft JhengHei"/>
      <w:b/>
      <w:bCs/>
      <w:sz w:val="36"/>
      <w:szCs w:val="36"/>
      <w:lang w:val="en-US" w:eastAsia="zh-CN" w:bidi="ar-SA"/>
    </w:rPr>
  </w:style>
  <w:style w:type="paragraph" w:styleId="Heading2">
    <w:name w:val="heading 2"/>
    <w:basedOn w:val="Normal"/>
    <w:uiPriority w:val="1"/>
    <w:qFormat/>
    <w:pPr>
      <w:ind w:left="538"/>
      <w:outlineLvl w:val="1"/>
    </w:pPr>
    <w:rPr>
      <w:rFonts w:ascii="黑体" w:eastAsia="黑体" w:hAnsi="黑体" w:cs="黑体"/>
      <w:sz w:val="36"/>
      <w:szCs w:val="36"/>
      <w:lang w:val="en-US" w:eastAsia="zh-CN" w:bidi="ar-SA"/>
    </w:rPr>
  </w:style>
  <w:style w:type="paragraph" w:styleId="Heading3">
    <w:name w:val="heading 3"/>
    <w:basedOn w:val="Normal"/>
    <w:uiPriority w:val="1"/>
    <w:qFormat/>
    <w:pPr>
      <w:ind w:left="254"/>
      <w:outlineLvl w:val="2"/>
    </w:pPr>
    <w:rPr>
      <w:rFonts w:ascii="Microsoft JhengHei" w:eastAsia="Microsoft JhengHei" w:hAnsi="Microsoft JhengHei" w:cs="Microsoft JhengHei"/>
      <w:b/>
      <w:bCs/>
      <w:sz w:val="28"/>
      <w:szCs w:val="28"/>
      <w:lang w:val="en-US" w:eastAsia="zh-CN" w:bidi="ar-SA"/>
    </w:rPr>
  </w:style>
  <w:style w:type="paragraph" w:styleId="Heading4">
    <w:name w:val="heading 4"/>
    <w:basedOn w:val="Normal"/>
    <w:uiPriority w:val="1"/>
    <w:qFormat/>
    <w:pPr>
      <w:ind w:left="254"/>
      <w:outlineLvl w:val="3"/>
    </w:pPr>
    <w:rPr>
      <w:rFonts w:ascii="Microsoft JhengHei" w:eastAsia="Microsoft JhengHei" w:hAnsi="Microsoft JhengHei" w:cs="Microsoft JhengHei"/>
      <w:b/>
      <w:bCs/>
      <w:sz w:val="24"/>
      <w:szCs w:val="24"/>
      <w:lang w:val="en-US" w:eastAsia="zh-CN" w:bidi="ar-SA"/>
    </w:rPr>
  </w:style>
  <w:style w:type="paragraph" w:styleId="Heading5">
    <w:name w:val="heading 5"/>
    <w:basedOn w:val="Normal"/>
    <w:uiPriority w:val="1"/>
    <w:qFormat/>
    <w:pPr>
      <w:ind w:left="674"/>
      <w:outlineLvl w:val="4"/>
    </w:pPr>
    <w:rPr>
      <w:rFonts w:ascii="Microsoft JhengHei" w:eastAsia="Microsoft JhengHei" w:hAnsi="Microsoft JhengHei" w:cs="Microsoft JhengHei"/>
      <w:b/>
      <w:bCs/>
      <w:sz w:val="21"/>
      <w:szCs w:val="21"/>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spacing w:line="1241" w:lineRule="exact"/>
      <w:jc w:val="center"/>
    </w:pPr>
    <w:rPr>
      <w:rFonts w:ascii="黑体" w:eastAsia="黑体" w:hAnsi="黑体" w:cs="黑体"/>
      <w:sz w:val="100"/>
      <w:szCs w:val="100"/>
      <w:lang w:val="en-US" w:eastAsia="zh-CN" w:bidi="ar-SA"/>
    </w:rPr>
  </w:style>
  <w:style w:type="paragraph" w:styleId="ListParagraph">
    <w:name w:val="List Paragraph"/>
    <w:basedOn w:val="Normal"/>
    <w:uiPriority w:val="1"/>
    <w:qFormat/>
    <w:pPr>
      <w:ind w:left="254" w:firstLine="42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498003000027006043"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2024-03-05T06:15:13Z</dcterms:created>
  <dcterms:modified xsi:type="dcterms:W3CDTF">2024-03-05T06:15:13Z</dcterms:modified>
</cp:coreProperties>
</file>